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AE6C2D" w:rsidP="00F11D94">
      <w:pPr>
        <w:spacing w:after="120"/>
        <w:jc w:val="right"/>
      </w:pPr>
      <w:bookmarkStart w:id="0" w:name="_GoBack"/>
      <w:bookmarkEnd w:id="0"/>
      <w:r w:rsidRPr="0042194C">
        <w:rPr>
          <w:noProof/>
          <w:lang w:val="en-US" w:eastAsia="en-US"/>
        </w:rPr>
        <w:drawing>
          <wp:inline distT="0" distB="0" distL="0" distR="0" wp14:anchorId="2C27A03A" wp14:editId="073A94E2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168EA4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" strokecolor="black [3040]">
                <w10:anchorlock/>
              </v:line>
            </w:pict>
          </mc:Fallback>
        </mc:AlternateContent>
      </w:r>
    </w:p>
    <w:p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SCCR/43/</w:t>
      </w:r>
      <w:bookmarkStart w:id="1" w:name="Code"/>
      <w:bookmarkEnd w:id="1"/>
      <w:r>
        <w:rPr>
          <w:rFonts w:ascii="Arial Black" w:hAnsi="Arial Black"/>
          <w:caps/>
          <w:sz w:val="15"/>
        </w:rPr>
        <w:t xml:space="preserve">7 </w:t>
      </w:r>
    </w:p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</w:rPr>
        <w:t>ИСПАНСКИЙ</w:t>
      </w:r>
    </w:p>
    <w:bookmarkEnd w:id="2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3" w:name="Date"/>
      <w:r>
        <w:rPr>
          <w:rFonts w:ascii="Arial Black" w:hAnsi="Arial Black"/>
          <w:caps/>
          <w:sz w:val="15"/>
        </w:rPr>
        <w:t>13 марта 2023 года</w:t>
      </w:r>
    </w:p>
    <w:bookmarkEnd w:id="3"/>
    <w:p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третья сессия</w:t>
      </w:r>
    </w:p>
    <w:p w:rsidR="008B2CC1" w:rsidRPr="009F3BF9" w:rsidRDefault="003F4808" w:rsidP="00CE65D4">
      <w:pPr>
        <w:spacing w:after="720"/>
      </w:pPr>
      <w:r>
        <w:rPr>
          <w:b/>
          <w:sz w:val="24"/>
        </w:rPr>
        <w:t>Женева, 13–17 марта 2023 года</w:t>
      </w:r>
    </w:p>
    <w:p w:rsidR="005E0F5F" w:rsidRPr="005E0F5F" w:rsidRDefault="005E0F5F" w:rsidP="005E0F5F">
      <w:pPr>
        <w:rPr>
          <w:caps/>
          <w:sz w:val="24"/>
        </w:rPr>
      </w:pPr>
      <w:bookmarkStart w:id="4" w:name="TitleOfDoc"/>
      <w:r>
        <w:rPr>
          <w:caps/>
          <w:sz w:val="24"/>
        </w:rPr>
        <w:t>ПРЕДЛОЖЕНИЕ О ПРОВЕДЕНИИ ИССЛЕДОВАНИЯ В ОБЛАСТИ ИСПОЛЬЗОВАНИЯ АВТОРСКОГО ПРАВА В ЦИФРОВОЙ СРЕДЕ</w:t>
      </w:r>
    </w:p>
    <w:p w:rsidR="008B2CC1" w:rsidRPr="009F3BF9" w:rsidRDefault="008B2CC1" w:rsidP="005E0F5F">
      <w:pPr>
        <w:jc w:val="center"/>
        <w:rPr>
          <w:caps/>
          <w:sz w:val="24"/>
        </w:rPr>
      </w:pPr>
    </w:p>
    <w:p w:rsidR="008B2CC1" w:rsidRPr="004D39C4" w:rsidRDefault="005E0F5F" w:rsidP="00CE65D4">
      <w:pPr>
        <w:spacing w:after="960"/>
        <w:rPr>
          <w:i/>
        </w:rPr>
      </w:pPr>
      <w:bookmarkStart w:id="5" w:name="Prepared"/>
      <w:bookmarkEnd w:id="4"/>
      <w:r>
        <w:t>представлено Группой стран Латинской Америки и Карибского бассейна (ГРУЛАК)</w:t>
      </w:r>
    </w:p>
    <w:bookmarkEnd w:id="5"/>
    <w:p w:rsidR="005E0F5F" w:rsidRDefault="005E0F5F">
      <w:r>
        <w:br w:type="page"/>
      </w:r>
    </w:p>
    <w:p w:rsidR="005E0F5F" w:rsidRPr="005E0F5F" w:rsidRDefault="005E0F5F" w:rsidP="005E0F5F">
      <w:pPr>
        <w:jc w:val="center"/>
        <w:rPr>
          <w:rFonts w:eastAsia="Calibri"/>
          <w:b/>
          <w:bCs/>
          <w:kern w:val="3"/>
        </w:rPr>
      </w:pPr>
      <w:r>
        <w:rPr>
          <w:b/>
        </w:rPr>
        <w:lastRenderedPageBreak/>
        <w:t>Декларация об организации в ВОИС постоянного диалога в интересах авторов, исполнителей и творческих работников для целей использования музыкальных произведений в цифровой среде</w:t>
      </w:r>
    </w:p>
    <w:p w:rsidR="005E0F5F" w:rsidRPr="00AE6C2D" w:rsidRDefault="005E0F5F" w:rsidP="005E0F5F">
      <w:pPr>
        <w:rPr>
          <w:rFonts w:eastAsia="Calibri"/>
          <w:b/>
          <w:bCs/>
          <w:kern w:val="3"/>
        </w:rPr>
      </w:pPr>
    </w:p>
    <w:p w:rsidR="005E0F5F" w:rsidRPr="005E0F5F" w:rsidRDefault="005E0F5F" w:rsidP="00786BE8">
      <w:pPr>
        <w:spacing w:after="240"/>
        <w:jc w:val="both"/>
        <w:rPr>
          <w:color w:val="000000"/>
          <w:kern w:val="3"/>
        </w:rPr>
      </w:pPr>
      <w:r>
        <w:rPr>
          <w:color w:val="000000"/>
        </w:rPr>
        <w:t xml:space="preserve">В рамках цифровой повестки важно развивать и укреплять принципы авторского права и связанных с ним прав человека, включая права музыкантов, а также ведущих и второстепенных исполнителей. </w:t>
      </w:r>
    </w:p>
    <w:p w:rsidR="005E0F5F" w:rsidRPr="005E0F5F" w:rsidRDefault="005E0F5F" w:rsidP="00786BE8">
      <w:pPr>
        <w:spacing w:after="240"/>
        <w:jc w:val="both"/>
        <w:rPr>
          <w:color w:val="000000"/>
          <w:kern w:val="3"/>
        </w:rPr>
      </w:pPr>
      <w:r>
        <w:rPr>
          <w:color w:val="000000"/>
        </w:rPr>
        <w:t>Будучи приверженной делу охраны искусства и творческих выражений, ГРУЛАК разделяет любовь к таким направлениям музыки, как сальса, босанова, регги, сон, бачата, меренге, калипсо, гуарача, мариачи, кумбия, танго, мамбо, самба, румба, реггетон, валленато и пасильо.</w:t>
      </w:r>
    </w:p>
    <w:p w:rsidR="005E0F5F" w:rsidRPr="005E0F5F" w:rsidRDefault="005E0F5F" w:rsidP="005E0F5F">
      <w:pPr>
        <w:jc w:val="both"/>
        <w:rPr>
          <w:color w:val="000000"/>
          <w:kern w:val="3"/>
        </w:rPr>
      </w:pPr>
      <w:r>
        <w:rPr>
          <w:color w:val="000000"/>
        </w:rPr>
        <w:t>Латинская Америка и Карибский бассейн – это регион, из которого вышли великие мастера, певцы и музыканты, которые, без сомнения, своим ежедневным трудом вносят вклад в благополучие человечества. Кроме того, это один из регионов с невероятным разнообразием традиционных выражений культуры, а самобытность народов, национальностей и общин сегодня неотделимы от коллективных прав, признанных в сфере интеллектуальной собственности и прав человека.</w:t>
      </w:r>
    </w:p>
    <w:p w:rsidR="005E0F5F" w:rsidRPr="005E0F5F" w:rsidRDefault="005E0F5F" w:rsidP="005E0F5F">
      <w:pPr>
        <w:pStyle w:val="ListParagraph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 xml:space="preserve">Договоры ВОИС в области Интернета, принятые в 1996 году, стали важным достижением XX века. Они внесли свой вклад в охрану прав правообладателей, подготовив почву для развития цифровой экономики. Однако </w:t>
      </w:r>
      <w:r>
        <w:rPr>
          <w:rFonts w:ascii="Arial" w:hAnsi="Arial"/>
          <w:b/>
          <w:color w:val="000000"/>
        </w:rPr>
        <w:t>спустя двадцать семь (27) лет</w:t>
      </w:r>
      <w:r>
        <w:rPr>
          <w:rFonts w:ascii="Arial" w:hAnsi="Arial"/>
          <w:color w:val="000000"/>
        </w:rPr>
        <w:t xml:space="preserve"> после принятия данных соглашений и ввиду того, что их составители не могли предвидеть бурный технологический прогресс последних лет, рынок подвергся нежелательному воздействию проблем, связанных с пандемией и использованием новых технологий для доступа к произведениям и исполнениям, охраняемым авторским правом и смежными правами.</w:t>
      </w:r>
    </w:p>
    <w:p w:rsidR="005E0F5F" w:rsidRPr="005E0F5F" w:rsidRDefault="005E0F5F" w:rsidP="005E0F5F">
      <w:pPr>
        <w:pStyle w:val="ListParagraph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>Одна из таких проблем заключается в том, что услуги, предоставляемые по запросу, в особенности потоковая передача, в настоящее время распространены повсеместно и постепенно, но неуклонно захватывают все большие сегменты рынка вещания, в результате чего право на доведение до всеобщего сведения, сведенное в «зонтичное решение», все больше походить на право на сообщение для всеобщего сведения, чем на право на распространение.</w:t>
      </w:r>
    </w:p>
    <w:p w:rsidR="005E0F5F" w:rsidRPr="005E0F5F" w:rsidRDefault="005E0F5F" w:rsidP="005E0F5F">
      <w:pPr>
        <w:pStyle w:val="ListParagraph"/>
        <w:numPr>
          <w:ilvl w:val="0"/>
          <w:numId w:val="7"/>
        </w:numPr>
        <w:spacing w:before="240" w:after="120" w:line="240" w:lineRule="auto"/>
        <w:ind w:left="426" w:hanging="426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 xml:space="preserve">При выработке этих договоров ВОИС также нельзя было предвидеть появление крупных платформ социальных сетей и «генерируемого пользователями контента». </w:t>
      </w:r>
      <w:r>
        <w:rPr>
          <w:rFonts w:ascii="Arial" w:hAnsi="Arial"/>
        </w:rPr>
        <w:t>Это привело к возникновению болезненного «ценностного разрыва», когда богатство, генерируемое потреблением охраняемого авторским правом контента, перенаправляется и накапливается в пользу технологических компаний, которые утверждают, что они только «делятся контентом своих пользователей», а не доводят этот контент до всеобщего сведения.</w:t>
      </w:r>
      <w:r>
        <w:rPr>
          <w:rFonts w:ascii="Arial" w:hAnsi="Arial"/>
          <w:color w:val="000000"/>
        </w:rPr>
        <w:t xml:space="preserve"> </w:t>
      </w:r>
    </w:p>
    <w:p w:rsidR="005E0F5F" w:rsidRPr="005E0F5F" w:rsidRDefault="005E0F5F" w:rsidP="005E0F5F">
      <w:pPr>
        <w:pStyle w:val="ListParagraph"/>
        <w:numPr>
          <w:ilvl w:val="0"/>
          <w:numId w:val="7"/>
        </w:numPr>
        <w:spacing w:before="240" w:after="0" w:line="240" w:lineRule="auto"/>
        <w:ind w:left="426" w:hanging="426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>Исследования, проведенные по поручению Постоянного комитета ВОИС по авторскому праву и смежным правам, указывают на существование трех (3) вопросов, требующих внимательного рассмотрения:</w:t>
      </w:r>
    </w:p>
    <w:p w:rsidR="005E0F5F" w:rsidRPr="005E0F5F" w:rsidRDefault="005E0F5F" w:rsidP="005E0F5F">
      <w:pPr>
        <w:spacing w:before="120"/>
        <w:ind w:left="1065" w:firstLine="351"/>
        <w:jc w:val="both"/>
        <w:rPr>
          <w:color w:val="000000"/>
          <w:kern w:val="3"/>
        </w:rPr>
      </w:pPr>
      <w:r>
        <w:rPr>
          <w:color w:val="000000"/>
        </w:rPr>
        <w:t xml:space="preserve">a) востребованность латиноамериканской музыки на цифровых платформах; </w:t>
      </w:r>
    </w:p>
    <w:p w:rsidR="005E0F5F" w:rsidRPr="005E0F5F" w:rsidRDefault="005E0F5F" w:rsidP="005E0F5F">
      <w:pPr>
        <w:spacing w:before="120" w:after="120"/>
        <w:ind w:left="714" w:firstLine="702"/>
        <w:jc w:val="both"/>
        <w:rPr>
          <w:color w:val="000000"/>
          <w:kern w:val="3"/>
        </w:rPr>
      </w:pPr>
      <w:r>
        <w:rPr>
          <w:color w:val="000000"/>
        </w:rPr>
        <w:t xml:space="preserve">b) низкое вознаграждение, получаемое авторами; и </w:t>
      </w:r>
    </w:p>
    <w:p w:rsidR="005E0F5F" w:rsidRPr="005E0F5F" w:rsidRDefault="005E0F5F" w:rsidP="005E0F5F">
      <w:pPr>
        <w:spacing w:before="120" w:after="120"/>
        <w:ind w:left="1065" w:firstLine="351"/>
        <w:jc w:val="both"/>
        <w:rPr>
          <w:color w:val="000000"/>
          <w:kern w:val="3"/>
        </w:rPr>
      </w:pPr>
      <w:r>
        <w:rPr>
          <w:color w:val="000000"/>
        </w:rPr>
        <w:t>c) отсутствие вознаграждения исполнителей.</w:t>
      </w:r>
    </w:p>
    <w:p w:rsidR="005E0F5F" w:rsidRPr="005E0F5F" w:rsidRDefault="005E0F5F" w:rsidP="005E0F5F">
      <w:pPr>
        <w:pStyle w:val="ListParagraph"/>
        <w:numPr>
          <w:ilvl w:val="0"/>
          <w:numId w:val="7"/>
        </w:numPr>
        <w:spacing w:before="240" w:after="120" w:line="240" w:lineRule="auto"/>
        <w:ind w:left="426" w:hanging="426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 xml:space="preserve">Выводы отчета под названием «Музыкальный рынок в странах Латинской Америки» (SCCR/41/4), подготовленного вице-президентом и руководителем отдела Латинской </w:t>
      </w:r>
      <w:r>
        <w:rPr>
          <w:rFonts w:ascii="Arial" w:hAnsi="Arial"/>
          <w:color w:val="000000"/>
        </w:rPr>
        <w:lastRenderedPageBreak/>
        <w:t>Америки издательства Billboard г-жой Лейлой Кобо, подтверждают влияние латиноамериканской музыки на мировые чарты на конкретных примерах исполнителей из стран нашего региона. Однако в отчете отмечается, что в Латинской Америке, «(...) регионе с высоким объемом потокового вещания и низким уровнем вознаграждений, рыночные условия отрицательно повлияли на доходы от прав на исполнение и синхронизацию, которые в процентном выражении выросли в Латинской Америке больше, чем в других регионах».</w:t>
      </w:r>
    </w:p>
    <w:p w:rsidR="005E0F5F" w:rsidRPr="005E0F5F" w:rsidRDefault="005E0F5F" w:rsidP="005E0F5F">
      <w:pPr>
        <w:spacing w:before="240" w:after="120"/>
        <w:ind w:left="426"/>
        <w:jc w:val="both"/>
        <w:rPr>
          <w:color w:val="000000"/>
          <w:kern w:val="3"/>
        </w:rPr>
      </w:pPr>
      <w:r>
        <w:rPr>
          <w:color w:val="000000"/>
        </w:rPr>
        <w:t>Данные условия явно не затрагивают Европу, Канаду и США и должны рассматриваться Постоянным комитетом ВОИС по авторскому праву и смежным правам как один из вопросов, требующих решения, тем более что, как указано в комментарии №17 Комитета DESC, значение термина «автор» художественных произведений, будь то мужчина, женщина, отдельное лицо или группа лиц, подразумевает, что все они могут воспользоваться охраной, предписываемой режимом прав человека.</w:t>
      </w:r>
    </w:p>
    <w:p w:rsidR="005E0F5F" w:rsidRPr="005E0F5F" w:rsidRDefault="005E0F5F" w:rsidP="005E0F5F">
      <w:pPr>
        <w:pStyle w:val="ListParagraph"/>
        <w:numPr>
          <w:ilvl w:val="0"/>
          <w:numId w:val="7"/>
        </w:numPr>
        <w:spacing w:before="240" w:after="120" w:line="240" w:lineRule="auto"/>
        <w:ind w:left="426" w:hanging="426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>В исследовании на тему «Исполнители на рынке цифровой музыки: экономические и правовые аспекты», подготовленном проф. Кристианом Л. Кастлом и проф. Клаудио Фейхоо, весьма однозначно подтверждается, что «(...) рыночные силы выявили очевидный дисбаланс между значительной коммерческой выгодой, получаемой платформами потокового вещания благодаря исполнителям во всем мире, и сравнительно небольшой финансовой выгодой, извлекаемой самими исполнителями».</w:t>
      </w:r>
    </w:p>
    <w:p w:rsidR="005E0F5F" w:rsidRPr="005E0F5F" w:rsidRDefault="005E0F5F" w:rsidP="005E0F5F">
      <w:pPr>
        <w:pStyle w:val="ListParagraph"/>
        <w:numPr>
          <w:ilvl w:val="0"/>
          <w:numId w:val="7"/>
        </w:numPr>
        <w:spacing w:before="240" w:after="120" w:line="240" w:lineRule="auto"/>
        <w:ind w:left="426" w:hanging="426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 xml:space="preserve">Как указано в Предложении о проведении исследования в области использования авторского права в цифровой среде (SCCR/31/4) и последующих рыночных исследованиях, с точки зрения авторов и исполнителей эти правообладатели, за редким исключением, не могут напрямую вести переговоры с международными поставщиками цифровых услуг (DSP), так как их права на систематической основе передаются продюсерам. </w:t>
      </w:r>
    </w:p>
    <w:p w:rsidR="005E0F5F" w:rsidRPr="005E0F5F" w:rsidRDefault="005E0F5F" w:rsidP="005E0F5F">
      <w:pPr>
        <w:spacing w:before="240" w:after="120"/>
        <w:ind w:left="426"/>
        <w:jc w:val="both"/>
        <w:rPr>
          <w:color w:val="000000"/>
          <w:kern w:val="3"/>
        </w:rPr>
      </w:pPr>
      <w:r>
        <w:rPr>
          <w:color w:val="000000"/>
        </w:rPr>
        <w:t xml:space="preserve">Без какого-либо механизма </w:t>
      </w:r>
      <w:r w:rsidR="00AE6C2D">
        <w:rPr>
          <w:color w:val="000000"/>
        </w:rPr>
        <w:t>институциональной</w:t>
      </w:r>
      <w:r>
        <w:rPr>
          <w:color w:val="000000"/>
        </w:rPr>
        <w:t xml:space="preserve"> поддержки авторы, ведущие и/или второстепенные исполнители не могут получить надлежащее, справедливое и достойное вознаграждение или подписать контракт, который позволил бы им обеспечить устойчивый сбор средств за использование их прав. В этой связи поступает множество жалоб, поскольку авторы и исполнители, сталкиваясь с риском остаться без вознаграждения, вынуждены принимать предложения продюсеров и заключать поистине согласительные контракты, которые во многих случаях приводят к ухудшению взаимоотношений, принося выгоду агрегаторам контента или другим посредникам, а не правообладателям.</w:t>
      </w:r>
    </w:p>
    <w:p w:rsidR="005E0F5F" w:rsidRPr="005E0F5F" w:rsidRDefault="005E0F5F" w:rsidP="005E0F5F">
      <w:pPr>
        <w:spacing w:before="240" w:after="120"/>
        <w:ind w:left="426"/>
        <w:jc w:val="both"/>
        <w:rPr>
          <w:color w:val="000000"/>
          <w:kern w:val="3"/>
        </w:rPr>
      </w:pPr>
      <w:r>
        <w:rPr>
          <w:color w:val="000000"/>
        </w:rPr>
        <w:t>Таким образом, исключительное право на доведение до общего сведения не несет какой-либо определенной дополнительной ценности для авторов, ведущих и/или второстепенных исполнителей.</w:t>
      </w:r>
    </w:p>
    <w:p w:rsidR="005E0F5F" w:rsidRPr="005E0F5F" w:rsidRDefault="005E0F5F" w:rsidP="005E0F5F">
      <w:pPr>
        <w:pStyle w:val="ListParagraph"/>
        <w:numPr>
          <w:ilvl w:val="0"/>
          <w:numId w:val="7"/>
        </w:numPr>
        <w:spacing w:before="240" w:after="120" w:line="240" w:lineRule="auto"/>
        <w:ind w:left="426" w:hanging="426"/>
        <w:contextualSpacing w:val="0"/>
        <w:jc w:val="both"/>
        <w:rPr>
          <w:rFonts w:ascii="Arial" w:eastAsia="SimSun" w:hAnsi="Arial" w:cs="Arial"/>
          <w:color w:val="000000"/>
          <w:kern w:val="3"/>
        </w:rPr>
      </w:pPr>
      <w:r>
        <w:rPr>
          <w:rFonts w:ascii="Arial" w:hAnsi="Arial"/>
          <w:color w:val="000000"/>
        </w:rPr>
        <w:t>Для ведения переговоров с практикующими такой подход транснациональными компаниями и другими субъектами, которые одновременно доводят миллионы отдельных исполнений до многомиллионной аудитории, нашим авторам, ведущим и второстепенным исполнителям требуется нормативно-правовая база с инструментами и механизмами, которые гарантируют соблюдение их прав без какой бы то ни было дискриминации и которые позволят государствам гармонизировать свое законодательство, обеспечив его большую прогрессивность, что является одной из главных особенностей интеллектуальных прав человека.</w:t>
      </w:r>
    </w:p>
    <w:p w:rsidR="005E0F5F" w:rsidRPr="005E0F5F" w:rsidRDefault="005E0F5F" w:rsidP="005E0F5F">
      <w:pPr>
        <w:spacing w:before="240" w:after="120"/>
        <w:ind w:left="426"/>
        <w:jc w:val="both"/>
        <w:rPr>
          <w:color w:val="000000"/>
          <w:kern w:val="3"/>
        </w:rPr>
      </w:pPr>
      <w:r>
        <w:rPr>
          <w:color w:val="000000"/>
        </w:rPr>
        <w:t xml:space="preserve">Крайне важно обеспечить равные условия для исполнителей, музыкантов и певцов, владельцев прав в области музыкального искусства, включая традиционные виды </w:t>
      </w:r>
      <w:r>
        <w:rPr>
          <w:color w:val="000000"/>
        </w:rPr>
        <w:lastRenderedPageBreak/>
        <w:t>такого искусства, и расширить их права и возможности так, чтобы правила позволяли им вести переговоры напрямую даже с международными DSP и, в соответствующих случаях, добиваться справедливого вознаграждения за некоммерческое и коммерческое использование музыкальных исполнений, и не могли быть отменены никакими контрактами, с учетом того, что согласно международному режиму, применимому в отношении государств – членов данной международной Организации, частные контракты всегда должны соответствовать определенным минимальным стандартам.</w:t>
      </w:r>
    </w:p>
    <w:p w:rsidR="005E0F5F" w:rsidRPr="005E0F5F" w:rsidRDefault="005E0F5F" w:rsidP="005E0F5F">
      <w:pPr>
        <w:spacing w:before="240" w:after="120"/>
        <w:ind w:left="426"/>
        <w:jc w:val="both"/>
        <w:rPr>
          <w:color w:val="000000"/>
          <w:kern w:val="3"/>
        </w:rPr>
      </w:pPr>
      <w:r>
        <w:rPr>
          <w:color w:val="000000"/>
        </w:rPr>
        <w:t>Исключительные права в цифровой среде по-прежнему являются лишь иллюзией. Право на справедливое и достойное вознаграждение всегда будет действенным инструментом защиты интересов авторов и исполнителей на цифровых платформах при условии, что оно в полной мере признается и применяется сообразно международному праву.</w:t>
      </w:r>
    </w:p>
    <w:p w:rsidR="005E0F5F" w:rsidRPr="005E0F5F" w:rsidRDefault="005E0F5F" w:rsidP="005E0F5F">
      <w:pPr>
        <w:spacing w:before="240" w:after="120"/>
        <w:ind w:left="426"/>
        <w:jc w:val="both"/>
        <w:rPr>
          <w:color w:val="000000"/>
          <w:kern w:val="3"/>
        </w:rPr>
      </w:pPr>
      <w:r>
        <w:rPr>
          <w:color w:val="000000"/>
        </w:rPr>
        <w:t>Предпринимаемые ВОИС в последнее время усилия, например публикация материалов о механизмах управления авторским и смежными правам, нередко осуществлявшаяся при участии нескольких заинтересованных государств-членов, также продемонстрировала, что такие механизмы, при условии применения должным образом и в соответствии с сущностью прав, могут служить эффективным и гибким инструментом обеспечения охраны прав авторов, в том числе исполнителей.</w:t>
      </w:r>
    </w:p>
    <w:p w:rsidR="005E0F5F" w:rsidRPr="005E0F5F" w:rsidRDefault="005E0F5F" w:rsidP="005E0F5F">
      <w:pPr>
        <w:spacing w:before="240" w:after="120"/>
        <w:ind w:left="426"/>
        <w:jc w:val="both"/>
        <w:rPr>
          <w:color w:val="000000"/>
          <w:kern w:val="3"/>
        </w:rPr>
      </w:pPr>
      <w:r>
        <w:rPr>
          <w:color w:val="000000"/>
        </w:rPr>
        <w:t>Благодаря состоявшейся вчера во второй половине дня информационной сессии у нас была возможность узнать о различных моделях организации потоковой передачи музыки, и в этой связи в контексте различных рассмотренных инструментов и механизмов нам представляется необходимым продолжить анализ для нахождения решений на основе принципа международной взаимности, который способствует суверенной гармонизации национального законодательства, в целях эффективного осуществления права человека на получение выгоды от использования его произведений и исполнений, которое присуще каждому исполнителю или автору как правообладателю.</w:t>
      </w:r>
    </w:p>
    <w:p w:rsidR="005E0F5F" w:rsidRPr="005E0F5F" w:rsidRDefault="005E0F5F" w:rsidP="005E0F5F">
      <w:pPr>
        <w:spacing w:before="240" w:after="120"/>
        <w:ind w:left="426"/>
        <w:jc w:val="both"/>
        <w:rPr>
          <w:color w:val="000000"/>
          <w:kern w:val="3"/>
        </w:rPr>
      </w:pPr>
      <w:r>
        <w:rPr>
          <w:color w:val="000000"/>
        </w:rPr>
        <w:t xml:space="preserve">Существует несколько инструментов, форма которых может быть адаптирована к национальному законодательству каждой страны для целей осуществления управления правом авторов и исполнителей на вознаграждение. Последние могут под контролем компетентных национальных органов в соответствии с такими руководящими принципами, как прозрачность, справедливость, солидарность, добросовестность, законность, недискриминация и эффективность, создать, например, механизм коллективного управления правами или иной механизм, который государства сочтут приемлемым для реализации таких прав.   </w:t>
      </w:r>
    </w:p>
    <w:p w:rsidR="005E0F5F" w:rsidRPr="005E0F5F" w:rsidRDefault="005E0F5F" w:rsidP="005E0F5F">
      <w:pPr>
        <w:spacing w:before="240" w:after="120"/>
        <w:ind w:left="426"/>
        <w:jc w:val="both"/>
        <w:rPr>
          <w:color w:val="000000"/>
          <w:kern w:val="3"/>
        </w:rPr>
      </w:pPr>
      <w:r>
        <w:rPr>
          <w:color w:val="000000"/>
        </w:rPr>
        <w:t xml:space="preserve">Государства – члены ГРУЛАК </w:t>
      </w:r>
      <w:r>
        <w:rPr>
          <w:b/>
          <w:color w:val="000000"/>
        </w:rPr>
        <w:t>убеждены</w:t>
      </w:r>
      <w:r>
        <w:rPr>
          <w:color w:val="000000"/>
        </w:rPr>
        <w:t xml:space="preserve"> в возможности достижения взаимного консенсуса для обеспечения соблюдения формальной и фактической сущности прав авторов и исполнителей, гарантирующего им справедливое вознаграждение в полном соответствии с целями Предложения о проведении исследования в области использования авторского права в цифровой среде (SCCR/31/4).</w:t>
      </w:r>
    </w:p>
    <w:p w:rsidR="005E0F5F" w:rsidRPr="005E0F5F" w:rsidRDefault="005E0F5F" w:rsidP="005E0F5F">
      <w:pPr>
        <w:spacing w:before="240" w:after="120"/>
        <w:ind w:left="426"/>
        <w:jc w:val="both"/>
        <w:rPr>
          <w:color w:val="000000"/>
          <w:kern w:val="3"/>
        </w:rPr>
      </w:pPr>
      <w:r>
        <w:rPr>
          <w:color w:val="000000"/>
        </w:rPr>
        <w:t>В этой связи ГРУЛАК предлагает включить данную инициативу, предложенную в качестве отдельного пункта, в повестку дня Постоянного комитета по авторскому праву и смежным правам и просить Секретариат ВОИС внести соответствующие предложения в целях изыскания эффективных и справедливых решений для обеспечения прав авторов и исполнителей в цифровой среде.</w:t>
      </w:r>
    </w:p>
    <w:p w:rsidR="005E0F5F" w:rsidRPr="005E0F5F" w:rsidRDefault="005E0F5F" w:rsidP="005E0F5F">
      <w:pPr>
        <w:spacing w:before="240" w:after="120"/>
        <w:ind w:left="426"/>
        <w:jc w:val="both"/>
        <w:rPr>
          <w:color w:val="000000"/>
          <w:kern w:val="3"/>
        </w:rPr>
      </w:pPr>
      <w:r>
        <w:rPr>
          <w:color w:val="000000"/>
        </w:rPr>
        <w:t xml:space="preserve">Наконец, ГРУЛАК призывает Комитет рассмотреть возможность включения в ежегодную повестку дня Генеральной Ассамблеи ВОИС темы авторского права и </w:t>
      </w:r>
      <w:r>
        <w:rPr>
          <w:color w:val="000000"/>
        </w:rPr>
        <w:lastRenderedPageBreak/>
        <w:t>смежных прав, что обеспечит постоянное внимание к данному вопросу, так как он затрагивает не только права интеллектуальной  собственности, но и право человека, охраняемое различными договорами, конвенциями и протоколами, на получение выгод от эксплуатации прав, и, как следствие, уточнение и расширение охвата этих прав, а также контроля за их соблюдением, с тем чтобы положить конец размыванию прочного фундамента авторского права и смежных прав по мере развития информационно-коммуникационных технологий, которое все больше подрывает законные права авторов и работников творческих отраслей на справедливое вознаграждение.</w:t>
      </w:r>
    </w:p>
    <w:p w:rsidR="002928D3" w:rsidRPr="005E0F5F" w:rsidRDefault="002928D3" w:rsidP="005E0F5F">
      <w:pPr>
        <w:ind w:left="5400"/>
      </w:pPr>
    </w:p>
    <w:p w:rsidR="005E0F5F" w:rsidRPr="005E0F5F" w:rsidRDefault="005E0F5F" w:rsidP="005E0F5F">
      <w:pPr>
        <w:ind w:left="5400"/>
      </w:pPr>
    </w:p>
    <w:p w:rsidR="005E0F5F" w:rsidRPr="005E0F5F" w:rsidRDefault="005E0F5F" w:rsidP="005E0F5F">
      <w:pPr>
        <w:ind w:left="5400"/>
      </w:pPr>
    </w:p>
    <w:p w:rsidR="005E0F5F" w:rsidRPr="005E0F5F" w:rsidRDefault="005E0F5F" w:rsidP="005E0F5F">
      <w:pPr>
        <w:ind w:left="5400"/>
      </w:pPr>
      <w:r>
        <w:t>[Конец документа]</w:t>
      </w:r>
    </w:p>
    <w:p w:rsidR="005E0F5F" w:rsidRDefault="005E0F5F">
      <w:pPr>
        <w:ind w:left="5400"/>
      </w:pPr>
    </w:p>
    <w:sectPr w:rsidR="005E0F5F" w:rsidSect="005E0F5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5F" w:rsidRDefault="005E0F5F">
      <w:r>
        <w:separator/>
      </w:r>
    </w:p>
  </w:endnote>
  <w:endnote w:type="continuationSeparator" w:id="0">
    <w:p w:rsidR="005E0F5F" w:rsidRDefault="005E0F5F" w:rsidP="003B38C1">
      <w:r>
        <w:separator/>
      </w:r>
    </w:p>
    <w:p w:rsidR="005E0F5F" w:rsidRPr="00AE6C2D" w:rsidRDefault="005E0F5F" w:rsidP="003B38C1">
      <w:pPr>
        <w:spacing w:after="60"/>
        <w:rPr>
          <w:sz w:val="17"/>
          <w:lang w:val="en-US"/>
        </w:rPr>
      </w:pPr>
      <w:r w:rsidRPr="00AE6C2D">
        <w:rPr>
          <w:sz w:val="17"/>
          <w:lang w:val="en-US"/>
        </w:rPr>
        <w:t>[Endnote continued from previous page]</w:t>
      </w:r>
    </w:p>
  </w:endnote>
  <w:endnote w:type="continuationNotice" w:id="1">
    <w:p w:rsidR="005E0F5F" w:rsidRPr="00AE6C2D" w:rsidRDefault="005E0F5F" w:rsidP="003B38C1">
      <w:pPr>
        <w:spacing w:before="60"/>
        <w:jc w:val="right"/>
        <w:rPr>
          <w:sz w:val="17"/>
          <w:szCs w:val="17"/>
          <w:lang w:val="en-US"/>
        </w:rPr>
      </w:pPr>
      <w:r w:rsidRPr="00AE6C2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5F" w:rsidRDefault="005E0F5F">
      <w:r>
        <w:separator/>
      </w:r>
    </w:p>
  </w:footnote>
  <w:footnote w:type="continuationSeparator" w:id="0">
    <w:p w:rsidR="005E0F5F" w:rsidRDefault="005E0F5F" w:rsidP="008B60B2">
      <w:r>
        <w:separator/>
      </w:r>
    </w:p>
    <w:p w:rsidR="005E0F5F" w:rsidRPr="00AE6C2D" w:rsidRDefault="005E0F5F" w:rsidP="008B60B2">
      <w:pPr>
        <w:spacing w:after="60"/>
        <w:rPr>
          <w:sz w:val="17"/>
          <w:szCs w:val="17"/>
          <w:lang w:val="en-US"/>
        </w:rPr>
      </w:pPr>
      <w:r w:rsidRPr="00AE6C2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5E0F5F" w:rsidRPr="00AE6C2D" w:rsidRDefault="005E0F5F" w:rsidP="008B60B2">
      <w:pPr>
        <w:spacing w:before="60"/>
        <w:jc w:val="right"/>
        <w:rPr>
          <w:sz w:val="17"/>
          <w:szCs w:val="17"/>
          <w:lang w:val="en-US"/>
        </w:rPr>
      </w:pPr>
      <w:r w:rsidRPr="00AE6C2D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E0F5F" w:rsidP="00477D6B">
    <w:pPr>
      <w:jc w:val="right"/>
    </w:pPr>
    <w:bookmarkStart w:id="6" w:name="Code2"/>
    <w:bookmarkEnd w:id="6"/>
    <w:r>
      <w:t>SCCR/43/7</w:t>
    </w:r>
  </w:p>
  <w:p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BA0716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C622D0"/>
    <w:multiLevelType w:val="hybridMultilevel"/>
    <w:tmpl w:val="86DC08E6"/>
    <w:lvl w:ilvl="0" w:tplc="F5D8E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5F"/>
    <w:rsid w:val="0001647B"/>
    <w:rsid w:val="00043CAA"/>
    <w:rsid w:val="00075432"/>
    <w:rsid w:val="000968ED"/>
    <w:rsid w:val="00096B1A"/>
    <w:rsid w:val="000F5E56"/>
    <w:rsid w:val="001024FE"/>
    <w:rsid w:val="001362EE"/>
    <w:rsid w:val="00142868"/>
    <w:rsid w:val="001832A6"/>
    <w:rsid w:val="001C6808"/>
    <w:rsid w:val="001D1DA3"/>
    <w:rsid w:val="002121F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808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94D27"/>
    <w:rsid w:val="005E0F5F"/>
    <w:rsid w:val="00601760"/>
    <w:rsid w:val="00605827"/>
    <w:rsid w:val="00640D02"/>
    <w:rsid w:val="00646050"/>
    <w:rsid w:val="006713CA"/>
    <w:rsid w:val="00676C5C"/>
    <w:rsid w:val="00695558"/>
    <w:rsid w:val="006D5E0F"/>
    <w:rsid w:val="007058FB"/>
    <w:rsid w:val="00782CAC"/>
    <w:rsid w:val="00786BE8"/>
    <w:rsid w:val="007B6A58"/>
    <w:rsid w:val="007D1613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778BF"/>
    <w:rsid w:val="00A85B8E"/>
    <w:rsid w:val="00AC205C"/>
    <w:rsid w:val="00AE6C2D"/>
    <w:rsid w:val="00AF5C73"/>
    <w:rsid w:val="00B05A69"/>
    <w:rsid w:val="00B40598"/>
    <w:rsid w:val="00B50B99"/>
    <w:rsid w:val="00B62CD9"/>
    <w:rsid w:val="00B9734B"/>
    <w:rsid w:val="00BA0716"/>
    <w:rsid w:val="00C11BFE"/>
    <w:rsid w:val="00C94629"/>
    <w:rsid w:val="00CE65D4"/>
    <w:rsid w:val="00D45252"/>
    <w:rsid w:val="00D71B4D"/>
    <w:rsid w:val="00D93D55"/>
    <w:rsid w:val="00E161A2"/>
    <w:rsid w:val="00E1703C"/>
    <w:rsid w:val="00E335FE"/>
    <w:rsid w:val="00E5021F"/>
    <w:rsid w:val="00E671A6"/>
    <w:rsid w:val="00EC4E49"/>
    <w:rsid w:val="00ED77FB"/>
    <w:rsid w:val="00F021A6"/>
    <w:rsid w:val="00F11D94"/>
    <w:rsid w:val="00F66152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3214C7B-5849-4C57-B6DD-3735DC20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E0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FE253-EEBF-4712-B92D-C3EB1092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SCCR_43 (E)</Template>
  <TotalTime>0</TotalTime>
  <Pages>5</Pages>
  <Words>1337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SCCR/43/7</vt:lpstr>
    </vt:vector>
  </TitlesOfParts>
  <Company>WIPO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SCCR/43/7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2023-03-16T08:32:00Z</dcterms:created>
  <dcterms:modified xsi:type="dcterms:W3CDTF">2023-03-16T08:32:00Z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