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3E" w:rsidRPr="008C646F" w:rsidRDefault="00911C51" w:rsidP="00746E45">
      <w:pPr>
        <w:pStyle w:val="Heading1"/>
        <w:rPr>
          <w:lang w:val="ru-RU"/>
        </w:rPr>
      </w:pPr>
      <w:bookmarkStart w:id="0" w:name="_GoBack"/>
      <w:bookmarkEnd w:id="0"/>
      <w:r w:rsidRPr="008C646F">
        <w:rPr>
          <w:lang w:val="ru-RU"/>
        </w:rPr>
        <w:t>Обновленное исследование и дополнительный анализ</w:t>
      </w:r>
    </w:p>
    <w:p w:rsidR="005E2E3E" w:rsidRPr="004E5144" w:rsidRDefault="00911C51" w:rsidP="00746E45">
      <w:pPr>
        <w:pStyle w:val="Heading2"/>
      </w:pPr>
      <w:r w:rsidRPr="00911C51">
        <w:t xml:space="preserve">Введение </w:t>
      </w:r>
    </w:p>
    <w:p w:rsidR="005E2E3E" w:rsidRPr="00911C51" w:rsidRDefault="00911C51" w:rsidP="00746E45">
      <w:pPr>
        <w:rPr>
          <w:lang w:val="ru-RU"/>
        </w:rPr>
      </w:pPr>
      <w:r w:rsidRPr="00911C51">
        <w:rPr>
          <w:lang w:val="ru-RU"/>
        </w:rPr>
        <w:t>После завершения ноябрьского исследования 2016</w:t>
      </w:r>
      <w:r w:rsidR="0060639B">
        <w:rPr>
          <w:lang w:val="ru-RU"/>
        </w:rPr>
        <w:t> </w:t>
      </w:r>
      <w:r w:rsidRPr="00911C51">
        <w:rPr>
          <w:lang w:val="ru-RU"/>
        </w:rPr>
        <w:t xml:space="preserve">г. государства-члены ВОИС </w:t>
      </w:r>
      <w:r w:rsidR="0060639B">
        <w:rPr>
          <w:lang w:val="ru-RU"/>
        </w:rPr>
        <w:t>направили просьбу о расширении существующего исследования</w:t>
      </w:r>
      <w:r w:rsidRPr="00911C51">
        <w:rPr>
          <w:lang w:val="ru-RU"/>
        </w:rPr>
        <w:t xml:space="preserve"> для изучения некоторых дополнительных вопросов</w:t>
      </w:r>
      <w:r w:rsidR="0060639B">
        <w:rPr>
          <w:lang w:val="ru-RU"/>
        </w:rPr>
        <w:t xml:space="preserve"> </w:t>
      </w:r>
      <w:r w:rsidR="0060639B" w:rsidRPr="0060639B">
        <w:rPr>
          <w:lang w:val="ru-RU"/>
        </w:rPr>
        <w:t>в интересах</w:t>
      </w:r>
      <w:r w:rsidR="0060639B">
        <w:rPr>
          <w:lang w:val="ru-RU"/>
        </w:rPr>
        <w:t xml:space="preserve"> </w:t>
      </w:r>
      <w:r w:rsidRPr="00911C51">
        <w:rPr>
          <w:lang w:val="ru-RU"/>
        </w:rPr>
        <w:t>у</w:t>
      </w:r>
      <w:r w:rsidR="0060639B">
        <w:rPr>
          <w:lang w:val="ru-RU"/>
        </w:rPr>
        <w:t xml:space="preserve">глубления </w:t>
      </w:r>
      <w:r w:rsidRPr="00911C51">
        <w:rPr>
          <w:lang w:val="ru-RU"/>
        </w:rPr>
        <w:t>наше</w:t>
      </w:r>
      <w:r w:rsidR="0060639B">
        <w:rPr>
          <w:lang w:val="ru-RU"/>
        </w:rPr>
        <w:t>го</w:t>
      </w:r>
      <w:r w:rsidRPr="00911C51">
        <w:rPr>
          <w:lang w:val="ru-RU"/>
        </w:rPr>
        <w:t xml:space="preserve"> понима</w:t>
      </w:r>
      <w:r w:rsidR="0060639B">
        <w:rPr>
          <w:lang w:val="ru-RU"/>
        </w:rPr>
        <w:t>ния</w:t>
      </w:r>
      <w:r w:rsidRPr="00911C51">
        <w:rPr>
          <w:lang w:val="ru-RU"/>
        </w:rPr>
        <w:t xml:space="preserve"> действия ограничений и исключений из авторского права в отношении </w:t>
      </w:r>
      <w:r w:rsidR="0060639B" w:rsidRPr="0060639B">
        <w:rPr>
          <w:lang w:val="ru-RU"/>
        </w:rPr>
        <w:t>образовательных учреждений</w:t>
      </w:r>
      <w:r w:rsidRPr="00911C51">
        <w:rPr>
          <w:lang w:val="ru-RU"/>
        </w:rPr>
        <w:t xml:space="preserve">. </w:t>
      </w:r>
      <w:r w:rsidRPr="0060639B">
        <w:rPr>
          <w:lang w:val="ru-RU"/>
        </w:rPr>
        <w:t xml:space="preserve">Эти вопросы включают: </w:t>
      </w:r>
    </w:p>
    <w:p w:rsidR="005E2E3E" w:rsidRPr="00911C51" w:rsidRDefault="00911C51" w:rsidP="00746E45">
      <w:pPr>
        <w:pStyle w:val="ListParagraph1"/>
        <w:numPr>
          <w:ilvl w:val="0"/>
          <w:numId w:val="2"/>
        </w:numPr>
        <w:rPr>
          <w:lang w:val="ru-RU"/>
        </w:rPr>
      </w:pPr>
      <w:r w:rsidRPr="00911C51">
        <w:rPr>
          <w:lang w:val="ru-RU"/>
        </w:rPr>
        <w:t>применение ограничений и исключений, позволяющее использовать в образовательной деятельности адапт</w:t>
      </w:r>
      <w:r w:rsidR="0060639B">
        <w:rPr>
          <w:lang w:val="ru-RU"/>
        </w:rPr>
        <w:t xml:space="preserve">ации </w:t>
      </w:r>
      <w:r w:rsidRPr="00911C51">
        <w:rPr>
          <w:lang w:val="ru-RU"/>
        </w:rPr>
        <w:t xml:space="preserve">и переводы </w:t>
      </w:r>
      <w:r w:rsidR="0060639B">
        <w:rPr>
          <w:lang w:val="ru-RU"/>
        </w:rPr>
        <w:t>произведений</w:t>
      </w:r>
      <w:r w:rsidR="0060639B" w:rsidRPr="00911C51">
        <w:rPr>
          <w:lang w:val="ru-RU"/>
        </w:rPr>
        <w:t xml:space="preserve"> </w:t>
      </w:r>
      <w:r w:rsidR="008C646F">
        <w:rPr>
          <w:lang w:val="ru-RU"/>
        </w:rPr>
        <w:t>в ситуациях</w:t>
      </w:r>
      <w:r w:rsidRPr="00911C51">
        <w:rPr>
          <w:lang w:val="ru-RU"/>
        </w:rPr>
        <w:t xml:space="preserve">, </w:t>
      </w:r>
      <w:r w:rsidR="008C646F">
        <w:rPr>
          <w:lang w:val="ru-RU"/>
        </w:rPr>
        <w:t xml:space="preserve">не </w:t>
      </w:r>
      <w:r w:rsidRPr="00911C51">
        <w:rPr>
          <w:lang w:val="ru-RU"/>
        </w:rPr>
        <w:t xml:space="preserve">регулируемых </w:t>
      </w:r>
      <w:r w:rsidR="0060639B" w:rsidRPr="0060639B">
        <w:rPr>
          <w:lang w:val="ru-RU"/>
        </w:rPr>
        <w:t>положени</w:t>
      </w:r>
      <w:r w:rsidR="0060639B">
        <w:rPr>
          <w:lang w:val="ru-RU"/>
        </w:rPr>
        <w:t>ями Дополнительного раздела</w:t>
      </w:r>
      <w:r w:rsidRPr="00911C51">
        <w:rPr>
          <w:lang w:val="ru-RU"/>
        </w:rPr>
        <w:t xml:space="preserve"> Бернской конвенции;</w:t>
      </w:r>
    </w:p>
    <w:p w:rsidR="005E2E3E" w:rsidRPr="00911C51" w:rsidRDefault="00911C51" w:rsidP="00746E45">
      <w:pPr>
        <w:pStyle w:val="ListParagraph1"/>
        <w:numPr>
          <w:ilvl w:val="0"/>
          <w:numId w:val="2"/>
        </w:numPr>
        <w:rPr>
          <w:lang w:val="ru-RU"/>
        </w:rPr>
      </w:pPr>
      <w:r w:rsidRPr="00911C51">
        <w:rPr>
          <w:lang w:val="ru-RU"/>
        </w:rPr>
        <w:t xml:space="preserve">сферу применимости положений, ограничивающих ответственность </w:t>
      </w:r>
      <w:r w:rsidR="0060639B" w:rsidRPr="0060639B">
        <w:rPr>
          <w:lang w:val="ru-RU"/>
        </w:rPr>
        <w:t>образовательных учреждений</w:t>
      </w:r>
      <w:r w:rsidR="0060639B">
        <w:rPr>
          <w:lang w:val="ru-RU"/>
        </w:rPr>
        <w:t xml:space="preserve"> </w:t>
      </w:r>
      <w:r w:rsidRPr="00911C51">
        <w:rPr>
          <w:lang w:val="ru-RU"/>
        </w:rPr>
        <w:t xml:space="preserve">за нарушения авторского права; </w:t>
      </w:r>
    </w:p>
    <w:p w:rsidR="005E2E3E" w:rsidRPr="00911C51" w:rsidRDefault="00911C51" w:rsidP="00746E45">
      <w:pPr>
        <w:pStyle w:val="ListParagraph1"/>
        <w:numPr>
          <w:ilvl w:val="0"/>
          <w:numId w:val="2"/>
        </w:numPr>
        <w:rPr>
          <w:lang w:val="ru-RU"/>
        </w:rPr>
      </w:pPr>
      <w:r w:rsidRPr="00911C51">
        <w:rPr>
          <w:lang w:val="ru-RU"/>
        </w:rPr>
        <w:t xml:space="preserve">применение положений, ограничивающих сферу применимости договоров, </w:t>
      </w:r>
      <w:r w:rsidR="0060639B">
        <w:rPr>
          <w:lang w:val="ru-RU"/>
        </w:rPr>
        <w:t>направленных на отмену действия</w:t>
      </w:r>
      <w:r w:rsidRPr="00911C51">
        <w:rPr>
          <w:lang w:val="ru-RU"/>
        </w:rPr>
        <w:t xml:space="preserve"> ограничений и исключений из авторского права в образовательной сфере;</w:t>
      </w:r>
    </w:p>
    <w:p w:rsidR="005E2E3E" w:rsidRPr="00911C51" w:rsidRDefault="00911C51" w:rsidP="00746E45">
      <w:pPr>
        <w:pStyle w:val="ListParagraph1"/>
        <w:numPr>
          <w:ilvl w:val="0"/>
          <w:numId w:val="2"/>
        </w:numPr>
        <w:rPr>
          <w:lang w:val="ru-RU"/>
        </w:rPr>
      </w:pPr>
      <w:r w:rsidRPr="00911C51">
        <w:rPr>
          <w:lang w:val="ru-RU"/>
        </w:rPr>
        <w:t xml:space="preserve">объем цифрового копирования и </w:t>
      </w:r>
      <w:r w:rsidR="0060639B">
        <w:rPr>
          <w:lang w:val="ru-RU"/>
        </w:rPr>
        <w:t>цифрового</w:t>
      </w:r>
      <w:r w:rsidR="0060639B" w:rsidRPr="00911C51">
        <w:rPr>
          <w:lang w:val="ru-RU"/>
        </w:rPr>
        <w:t xml:space="preserve"> </w:t>
      </w:r>
      <w:r w:rsidRPr="00911C51">
        <w:rPr>
          <w:lang w:val="ru-RU"/>
        </w:rPr>
        <w:t xml:space="preserve">распространения материалов в </w:t>
      </w:r>
      <w:r w:rsidR="0060639B">
        <w:rPr>
          <w:lang w:val="ru-RU"/>
        </w:rPr>
        <w:t xml:space="preserve">пределах </w:t>
      </w:r>
      <w:r w:rsidR="0060639B" w:rsidRPr="00911C51">
        <w:rPr>
          <w:lang w:val="ru-RU"/>
        </w:rPr>
        <w:t xml:space="preserve">ситуаций, регулируемых </w:t>
      </w:r>
      <w:r w:rsidR="0060639B" w:rsidRPr="0060639B">
        <w:rPr>
          <w:lang w:val="ru-RU"/>
        </w:rPr>
        <w:t>положени</w:t>
      </w:r>
      <w:r w:rsidR="0060639B">
        <w:rPr>
          <w:lang w:val="ru-RU"/>
        </w:rPr>
        <w:t xml:space="preserve">ями </w:t>
      </w:r>
      <w:r w:rsidRPr="00911C51">
        <w:rPr>
          <w:lang w:val="ru-RU"/>
        </w:rPr>
        <w:t xml:space="preserve">Дополнительного раздела Бернской конвенции; и </w:t>
      </w:r>
    </w:p>
    <w:p w:rsidR="005E2E3E" w:rsidRPr="00911C51" w:rsidRDefault="00911C51" w:rsidP="00830237">
      <w:pPr>
        <w:pStyle w:val="ListParagraph1"/>
        <w:numPr>
          <w:ilvl w:val="0"/>
          <w:numId w:val="2"/>
        </w:numPr>
        <w:rPr>
          <w:lang w:val="ru-RU"/>
        </w:rPr>
      </w:pPr>
      <w:r w:rsidRPr="00911C51">
        <w:rPr>
          <w:lang w:val="ru-RU"/>
        </w:rPr>
        <w:t xml:space="preserve">анализ положений о гибких возможностях, ограничениях и исключениях из применения технических мер </w:t>
      </w:r>
      <w:r w:rsidR="0060639B" w:rsidRPr="0060639B">
        <w:rPr>
          <w:lang w:val="ru-RU"/>
        </w:rPr>
        <w:t>защит</w:t>
      </w:r>
      <w:r w:rsidR="0060639B">
        <w:rPr>
          <w:lang w:val="ru-RU"/>
        </w:rPr>
        <w:t>ы</w:t>
      </w:r>
      <w:r w:rsidRPr="0060639B">
        <w:rPr>
          <w:lang w:val="ru-RU"/>
        </w:rPr>
        <w:t>/и</w:t>
      </w:r>
      <w:r w:rsidRPr="00911C51">
        <w:rPr>
          <w:lang w:val="ru-RU"/>
        </w:rPr>
        <w:t>нформации об упра</w:t>
      </w:r>
      <w:r w:rsidR="0060639B">
        <w:rPr>
          <w:lang w:val="ru-RU"/>
        </w:rPr>
        <w:t>влении правами в образовательных целях</w:t>
      </w:r>
      <w:r w:rsidRPr="00911C51">
        <w:rPr>
          <w:lang w:val="ru-RU"/>
        </w:rPr>
        <w:t xml:space="preserve">, с </w:t>
      </w:r>
      <w:r w:rsidR="0060639B">
        <w:rPr>
          <w:lang w:val="ru-RU"/>
        </w:rPr>
        <w:t xml:space="preserve">уделением особого </w:t>
      </w:r>
      <w:r w:rsidR="0060639B" w:rsidRPr="0060639B">
        <w:rPr>
          <w:lang w:val="ru-RU"/>
        </w:rPr>
        <w:t>внимани</w:t>
      </w:r>
      <w:r w:rsidR="0060639B">
        <w:rPr>
          <w:lang w:val="ru-RU"/>
        </w:rPr>
        <w:t>я вопросам</w:t>
      </w:r>
      <w:r w:rsidRPr="00911C51">
        <w:rPr>
          <w:lang w:val="ru-RU"/>
        </w:rPr>
        <w:t xml:space="preserve"> участия государств-членов в Договоре ВОИС по авторскому праву (ДАП) и Договоре ВОИС по исполнениям и фонограммам (ДИФ). </w:t>
      </w:r>
    </w:p>
    <w:p w:rsidR="005E2E3E" w:rsidRPr="00911C51" w:rsidRDefault="0060639B" w:rsidP="00746E45">
      <w:pPr>
        <w:rPr>
          <w:lang w:val="ru-RU"/>
        </w:rPr>
      </w:pPr>
      <w:r>
        <w:rPr>
          <w:lang w:val="ru-RU"/>
        </w:rPr>
        <w:t xml:space="preserve">Хотя </w:t>
      </w:r>
      <w:r w:rsidR="00911C51" w:rsidRPr="00911C51">
        <w:rPr>
          <w:lang w:val="ru-RU"/>
        </w:rPr>
        <w:t xml:space="preserve">некоторые из этих вопросов были рассмотрены в предыдущем исследовании (так, в предыдущем исследовании </w:t>
      </w:r>
      <w:r>
        <w:rPr>
          <w:lang w:val="ru-RU"/>
        </w:rPr>
        <w:t>рассматривался</w:t>
      </w:r>
      <w:r w:rsidR="00911C51" w:rsidRPr="00911C51">
        <w:rPr>
          <w:lang w:val="ru-RU"/>
        </w:rPr>
        <w:t xml:space="preserve"> вопрос о применении ограничений и исключений, позволя</w:t>
      </w:r>
      <w:r>
        <w:rPr>
          <w:lang w:val="ru-RU"/>
        </w:rPr>
        <w:t>ющих использовать адаптации</w:t>
      </w:r>
      <w:r w:rsidR="00911C51" w:rsidRPr="00911C51">
        <w:rPr>
          <w:lang w:val="ru-RU"/>
        </w:rPr>
        <w:t xml:space="preserve"> и переводы </w:t>
      </w:r>
      <w:r w:rsidRPr="00911C51">
        <w:rPr>
          <w:lang w:val="ru-RU"/>
        </w:rPr>
        <w:t>произ</w:t>
      </w:r>
      <w:r>
        <w:rPr>
          <w:lang w:val="ru-RU"/>
        </w:rPr>
        <w:t>ведений</w:t>
      </w:r>
      <w:r w:rsidRPr="00911C51">
        <w:rPr>
          <w:lang w:val="ru-RU"/>
        </w:rPr>
        <w:t xml:space="preserve"> </w:t>
      </w:r>
      <w:r w:rsidR="00911C51" w:rsidRPr="00911C51">
        <w:rPr>
          <w:lang w:val="ru-RU"/>
        </w:rPr>
        <w:t xml:space="preserve">в образовательной деятельности в контексте </w:t>
      </w:r>
      <w:r w:rsidRPr="0060639B">
        <w:rPr>
          <w:lang w:val="ru-RU"/>
        </w:rPr>
        <w:t>положени</w:t>
      </w:r>
      <w:r>
        <w:rPr>
          <w:lang w:val="ru-RU"/>
        </w:rPr>
        <w:t xml:space="preserve">й </w:t>
      </w:r>
      <w:r w:rsidR="00911C51" w:rsidRPr="00911C51">
        <w:rPr>
          <w:lang w:val="ru-RU"/>
        </w:rPr>
        <w:t xml:space="preserve">Дополнительного раздела Бернской Конвенции, а также </w:t>
      </w:r>
      <w:r>
        <w:rPr>
          <w:lang w:val="ru-RU"/>
        </w:rPr>
        <w:t>анализировались</w:t>
      </w:r>
      <w:r w:rsidR="00911C51" w:rsidRPr="00911C51">
        <w:rPr>
          <w:lang w:val="ru-RU"/>
        </w:rPr>
        <w:t xml:space="preserve"> некоторые положения, ограничивающие ответственность образовательных учреждений и </w:t>
      </w:r>
      <w:r w:rsidRPr="0060639B">
        <w:rPr>
          <w:lang w:val="ru-RU"/>
        </w:rPr>
        <w:t>объе</w:t>
      </w:r>
      <w:r>
        <w:rPr>
          <w:lang w:val="ru-RU"/>
        </w:rPr>
        <w:t>м</w:t>
      </w:r>
      <w:r w:rsidR="00911C51" w:rsidRPr="00911C51">
        <w:rPr>
          <w:lang w:val="ru-RU"/>
        </w:rPr>
        <w:t xml:space="preserve"> применимости договоров в конкретных сферах образования), </w:t>
      </w:r>
      <w:r w:rsidR="00A73DED">
        <w:rPr>
          <w:lang w:val="ru-RU"/>
        </w:rPr>
        <w:t>данное обновленное</w:t>
      </w:r>
      <w:r>
        <w:rPr>
          <w:lang w:val="ru-RU"/>
        </w:rPr>
        <w:t xml:space="preserve"> </w:t>
      </w:r>
      <w:r w:rsidR="00A73DED">
        <w:rPr>
          <w:lang w:val="ru-RU"/>
        </w:rPr>
        <w:t>исследование</w:t>
      </w:r>
      <w:r w:rsidR="00911C51" w:rsidRPr="00911C51">
        <w:rPr>
          <w:lang w:val="ru-RU"/>
        </w:rPr>
        <w:t xml:space="preserve"> </w:t>
      </w:r>
      <w:r w:rsidR="00A73DED">
        <w:rPr>
          <w:lang w:val="ru-RU"/>
        </w:rPr>
        <w:t xml:space="preserve">дало </w:t>
      </w:r>
      <w:r w:rsidR="00A73DED" w:rsidRPr="00911C51">
        <w:rPr>
          <w:lang w:val="ru-RU"/>
        </w:rPr>
        <w:t>автор</w:t>
      </w:r>
      <w:r w:rsidR="00A73DED">
        <w:rPr>
          <w:lang w:val="ru-RU"/>
        </w:rPr>
        <w:t>у</w:t>
      </w:r>
      <w:r w:rsidR="00A73DED" w:rsidRPr="00911C51">
        <w:rPr>
          <w:lang w:val="ru-RU"/>
        </w:rPr>
        <w:t xml:space="preserve"> </w:t>
      </w:r>
      <w:r w:rsidR="00A73DED">
        <w:rPr>
          <w:lang w:val="ru-RU"/>
        </w:rPr>
        <w:t>возможность</w:t>
      </w:r>
      <w:r w:rsidR="00911C51" w:rsidRPr="00911C51">
        <w:rPr>
          <w:lang w:val="ru-RU"/>
        </w:rPr>
        <w:t xml:space="preserve"> расширить и углубить анализ вышеуказанных проблем. </w:t>
      </w:r>
      <w:r w:rsidR="00A73DED" w:rsidRPr="00A73DED">
        <w:rPr>
          <w:lang w:val="ru-RU"/>
        </w:rPr>
        <w:t>Соответств</w:t>
      </w:r>
      <w:r w:rsidR="00A73DED">
        <w:rPr>
          <w:lang w:val="ru-RU"/>
        </w:rPr>
        <w:t xml:space="preserve">енно, </w:t>
      </w:r>
      <w:r w:rsidR="00911C51" w:rsidRPr="00911C51">
        <w:rPr>
          <w:lang w:val="ru-RU"/>
        </w:rPr>
        <w:t xml:space="preserve">данное обновленное исследование представляет собой </w:t>
      </w:r>
      <w:r w:rsidR="00A73DED">
        <w:rPr>
          <w:lang w:val="ru-RU"/>
        </w:rPr>
        <w:t xml:space="preserve">новый </w:t>
      </w:r>
      <w:r w:rsidR="00911C51" w:rsidRPr="00911C51">
        <w:rPr>
          <w:lang w:val="ru-RU"/>
        </w:rPr>
        <w:t>обзор национального законодательства всех государств-членов ВОИС (191 страны)</w:t>
      </w:r>
      <w:r w:rsidR="00A73DED">
        <w:rPr>
          <w:lang w:val="ru-RU"/>
        </w:rPr>
        <w:t xml:space="preserve"> </w:t>
      </w:r>
      <w:r w:rsidR="00A73DED" w:rsidRPr="00A73DED">
        <w:rPr>
          <w:lang w:val="ru-RU"/>
        </w:rPr>
        <w:t>по вопросам</w:t>
      </w:r>
      <w:r w:rsidR="00A73DED">
        <w:rPr>
          <w:lang w:val="ru-RU"/>
        </w:rPr>
        <w:t xml:space="preserve"> авторского права</w:t>
      </w:r>
      <w:r w:rsidR="00911C51" w:rsidRPr="00911C51">
        <w:rPr>
          <w:lang w:val="ru-RU"/>
        </w:rPr>
        <w:t>, основанный на после</w:t>
      </w:r>
      <w:r w:rsidR="00A73DED">
        <w:rPr>
          <w:lang w:val="ru-RU"/>
        </w:rPr>
        <w:t>дних версиях их законодательных актов</w:t>
      </w:r>
      <w:r w:rsidR="00911C51" w:rsidRPr="00911C51">
        <w:rPr>
          <w:lang w:val="ru-RU"/>
        </w:rPr>
        <w:t xml:space="preserve">, размещенных на вебсайте </w:t>
      </w:r>
      <w:r w:rsidR="00911C51" w:rsidRPr="00D257F5">
        <w:t>WIPOLex</w:t>
      </w:r>
      <w:r w:rsidR="00911C51" w:rsidRPr="00911C51">
        <w:rPr>
          <w:lang w:val="ru-RU"/>
        </w:rPr>
        <w:t xml:space="preserve">. </w:t>
      </w:r>
      <w:r w:rsidR="00A73DED" w:rsidRPr="00A73DED">
        <w:rPr>
          <w:lang w:val="ru-RU"/>
        </w:rPr>
        <w:t>Поскольку</w:t>
      </w:r>
      <w:r w:rsidR="00A73DED">
        <w:rPr>
          <w:lang w:val="ru-RU"/>
        </w:rPr>
        <w:t xml:space="preserve"> </w:t>
      </w:r>
      <w:r w:rsidR="00A73DED" w:rsidRPr="00911C51">
        <w:rPr>
          <w:lang w:val="ru-RU"/>
        </w:rPr>
        <w:t xml:space="preserve">в период, прошедший после публикации предыдущего исследования, </w:t>
      </w:r>
      <w:r w:rsidR="00911C51" w:rsidRPr="00911C51">
        <w:rPr>
          <w:lang w:val="ru-RU"/>
        </w:rPr>
        <w:t>ряд госуд</w:t>
      </w:r>
      <w:r w:rsidR="00A73DED">
        <w:rPr>
          <w:lang w:val="ru-RU"/>
        </w:rPr>
        <w:t>арств-членов ВОИС также обновил</w:t>
      </w:r>
      <w:r w:rsidR="00911C51" w:rsidRPr="00911C51">
        <w:rPr>
          <w:lang w:val="ru-RU"/>
        </w:rPr>
        <w:t xml:space="preserve"> свое национальное законодательство</w:t>
      </w:r>
      <w:r w:rsidR="00A73DED">
        <w:rPr>
          <w:lang w:val="ru-RU"/>
        </w:rPr>
        <w:t>,</w:t>
      </w:r>
      <w:r w:rsidR="00911C51" w:rsidRPr="00911C51">
        <w:rPr>
          <w:lang w:val="ru-RU"/>
        </w:rPr>
        <w:t xml:space="preserve"> обновленное исследование оказалось </w:t>
      </w:r>
      <w:r w:rsidR="00A73DED">
        <w:rPr>
          <w:lang w:val="ru-RU"/>
        </w:rPr>
        <w:t xml:space="preserve">весьма </w:t>
      </w:r>
      <w:r w:rsidR="00911C51" w:rsidRPr="00911C51">
        <w:rPr>
          <w:lang w:val="ru-RU"/>
        </w:rPr>
        <w:t xml:space="preserve">необходимым и своевременным. Ниже приводятся основные положения этого исследования. </w:t>
      </w:r>
    </w:p>
    <w:p w:rsidR="005E2E3E" w:rsidRPr="00911C51" w:rsidRDefault="00911C51" w:rsidP="00746E45">
      <w:pPr>
        <w:rPr>
          <w:lang w:val="ru-RU"/>
        </w:rPr>
      </w:pPr>
      <w:r w:rsidRPr="00911C51">
        <w:rPr>
          <w:lang w:val="ru-RU"/>
        </w:rPr>
        <w:t xml:space="preserve">Государства-члены ВОИС также просили включить в исследование Бангийское соглашение, представляющее собой региональное соглашение по вопросам интеллектуальной собственности </w:t>
      </w:r>
      <w:r w:rsidR="00A73DED">
        <w:rPr>
          <w:lang w:val="ru-RU"/>
        </w:rPr>
        <w:t>следующих государств</w:t>
      </w:r>
      <w:r w:rsidRPr="00911C51">
        <w:rPr>
          <w:lang w:val="ru-RU"/>
        </w:rPr>
        <w:t>: Бенин</w:t>
      </w:r>
      <w:r w:rsidR="00A73DED">
        <w:rPr>
          <w:lang w:val="ru-RU"/>
        </w:rPr>
        <w:t>а</w:t>
      </w:r>
      <w:r w:rsidRPr="00911C51">
        <w:rPr>
          <w:lang w:val="ru-RU"/>
        </w:rPr>
        <w:t>, Буркина-Фасо, Камерун</w:t>
      </w:r>
      <w:r w:rsidR="00A73DED">
        <w:rPr>
          <w:lang w:val="ru-RU"/>
        </w:rPr>
        <w:t>а, Центральноафриканской Республики</w:t>
      </w:r>
      <w:r w:rsidRPr="00911C51">
        <w:rPr>
          <w:lang w:val="ru-RU"/>
        </w:rPr>
        <w:t>, Чад</w:t>
      </w:r>
      <w:r w:rsidR="00A73DED">
        <w:rPr>
          <w:lang w:val="ru-RU"/>
        </w:rPr>
        <w:t>а, Коморских Островов</w:t>
      </w:r>
      <w:r w:rsidRPr="00911C51">
        <w:rPr>
          <w:lang w:val="ru-RU"/>
        </w:rPr>
        <w:t>, Ко</w:t>
      </w:r>
      <w:r w:rsidR="00A73DED">
        <w:rPr>
          <w:lang w:val="ru-RU"/>
        </w:rPr>
        <w:t>нго, Кот-д'Ивуар, Экваториальной</w:t>
      </w:r>
      <w:r w:rsidRPr="00911C51">
        <w:rPr>
          <w:lang w:val="ru-RU"/>
        </w:rPr>
        <w:t xml:space="preserve"> Гвин</w:t>
      </w:r>
      <w:r w:rsidR="00A73DED">
        <w:rPr>
          <w:lang w:val="ru-RU"/>
        </w:rPr>
        <w:t>еи</w:t>
      </w:r>
      <w:r w:rsidRPr="00911C51">
        <w:rPr>
          <w:lang w:val="ru-RU"/>
        </w:rPr>
        <w:t>, Габон</w:t>
      </w:r>
      <w:r w:rsidR="00A73DED">
        <w:rPr>
          <w:lang w:val="ru-RU"/>
        </w:rPr>
        <w:t>а, Гвинеи, Гвинеи-Бисау, Мали, Мавритании</w:t>
      </w:r>
      <w:r w:rsidRPr="00911C51">
        <w:rPr>
          <w:lang w:val="ru-RU"/>
        </w:rPr>
        <w:t>, Нигер</w:t>
      </w:r>
      <w:r w:rsidR="00A73DED">
        <w:rPr>
          <w:lang w:val="ru-RU"/>
        </w:rPr>
        <w:t>а</w:t>
      </w:r>
      <w:r w:rsidRPr="00911C51">
        <w:rPr>
          <w:lang w:val="ru-RU"/>
        </w:rPr>
        <w:t>, Сенегал</w:t>
      </w:r>
      <w:r w:rsidR="00A73DED">
        <w:rPr>
          <w:lang w:val="ru-RU"/>
        </w:rPr>
        <w:t>а</w:t>
      </w:r>
      <w:r w:rsidRPr="00911C51">
        <w:rPr>
          <w:lang w:val="ru-RU"/>
        </w:rPr>
        <w:t xml:space="preserve"> и Того. Кроме того, государства-члены ВОИС также просили отразить в исследовании статус </w:t>
      </w:r>
      <w:r w:rsidRPr="00911C51">
        <w:rPr>
          <w:lang w:val="ru-RU"/>
        </w:rPr>
        <w:lastRenderedPageBreak/>
        <w:t xml:space="preserve">каждого государства-члена </w:t>
      </w:r>
      <w:r w:rsidR="00A73DED" w:rsidRPr="00A73DED">
        <w:rPr>
          <w:lang w:val="ru-RU"/>
        </w:rPr>
        <w:t xml:space="preserve">в отношении </w:t>
      </w:r>
      <w:r w:rsidRPr="00911C51">
        <w:rPr>
          <w:lang w:val="ru-RU"/>
        </w:rPr>
        <w:t xml:space="preserve">ратификации ДАП и ДИФ и присоединения к этим договорам. </w:t>
      </w:r>
    </w:p>
    <w:p w:rsidR="005E2E3E" w:rsidRPr="00911C51" w:rsidRDefault="00911C51" w:rsidP="00746E45">
      <w:pPr>
        <w:rPr>
          <w:lang w:val="ru-RU"/>
        </w:rPr>
      </w:pPr>
      <w:r w:rsidRPr="00911C51">
        <w:rPr>
          <w:lang w:val="ru-RU"/>
        </w:rPr>
        <w:t xml:space="preserve">Приложения, </w:t>
      </w:r>
      <w:r w:rsidR="00A73DED" w:rsidRPr="00A73DED">
        <w:rPr>
          <w:lang w:val="ru-RU"/>
        </w:rPr>
        <w:t>посвященн</w:t>
      </w:r>
      <w:r w:rsidR="00A73DED">
        <w:rPr>
          <w:lang w:val="ru-RU"/>
        </w:rPr>
        <w:t>ые</w:t>
      </w:r>
      <w:r w:rsidRPr="00911C51">
        <w:rPr>
          <w:lang w:val="ru-RU"/>
        </w:rPr>
        <w:t xml:space="preserve"> конкретным государствам-членам, также были уточнены</w:t>
      </w:r>
      <w:r w:rsidR="00A73DED">
        <w:rPr>
          <w:lang w:val="ru-RU"/>
        </w:rPr>
        <w:t xml:space="preserve">, чтобы отразить </w:t>
      </w:r>
      <w:r w:rsidR="00A73DED" w:rsidRPr="00A73DED">
        <w:rPr>
          <w:lang w:val="ru-RU"/>
        </w:rPr>
        <w:t>ситуаци</w:t>
      </w:r>
      <w:r w:rsidR="00A73DED">
        <w:rPr>
          <w:lang w:val="ru-RU"/>
        </w:rPr>
        <w:t xml:space="preserve">ю </w:t>
      </w:r>
      <w:r w:rsidR="00A73DED" w:rsidRPr="00A73DED">
        <w:rPr>
          <w:lang w:val="ru-RU"/>
        </w:rPr>
        <w:t xml:space="preserve">в отношении </w:t>
      </w:r>
      <w:r w:rsidRPr="00911C51">
        <w:rPr>
          <w:lang w:val="ru-RU"/>
        </w:rPr>
        <w:t>Бангийс</w:t>
      </w:r>
      <w:r w:rsidR="00A73DED">
        <w:rPr>
          <w:lang w:val="ru-RU"/>
        </w:rPr>
        <w:t>кого соглашения, а также статус</w:t>
      </w:r>
      <w:r w:rsidRPr="00911C51">
        <w:rPr>
          <w:lang w:val="ru-RU"/>
        </w:rPr>
        <w:t xml:space="preserve"> государств-членов ВОИС в отношении ратификации Бернской конвенции, ДАП и ДИФ и присоединения к ним. </w:t>
      </w:r>
    </w:p>
    <w:p w:rsidR="005E2E3E" w:rsidRPr="00911C51" w:rsidRDefault="00911C51" w:rsidP="00746E45">
      <w:pPr>
        <w:rPr>
          <w:lang w:val="ru-RU"/>
        </w:rPr>
      </w:pPr>
      <w:r w:rsidRPr="00911C51">
        <w:rPr>
          <w:lang w:val="ru-RU"/>
        </w:rPr>
        <w:t>В настоящем исследовании автор стреми</w:t>
      </w:r>
      <w:r w:rsidR="00A73DED">
        <w:rPr>
          <w:lang w:val="ru-RU"/>
        </w:rPr>
        <w:t>л</w:t>
      </w:r>
      <w:r w:rsidRPr="00911C51">
        <w:rPr>
          <w:lang w:val="ru-RU"/>
        </w:rPr>
        <w:t xml:space="preserve">ся отразить </w:t>
      </w:r>
      <w:r w:rsidR="00A73DED">
        <w:rPr>
          <w:lang w:val="ru-RU"/>
        </w:rPr>
        <w:t xml:space="preserve">состояние </w:t>
      </w:r>
      <w:r w:rsidRPr="00911C51">
        <w:rPr>
          <w:lang w:val="ru-RU"/>
        </w:rPr>
        <w:t>законодательства государств-членов ВОИС в области авторского пр</w:t>
      </w:r>
      <w:r w:rsidR="00A73DED">
        <w:rPr>
          <w:lang w:val="ru-RU"/>
        </w:rPr>
        <w:t>ава по состоянию на август 2017 </w:t>
      </w:r>
      <w:r w:rsidRPr="00911C51">
        <w:rPr>
          <w:lang w:val="ru-RU"/>
        </w:rPr>
        <w:t xml:space="preserve">г. </w:t>
      </w:r>
    </w:p>
    <w:p w:rsidR="005E2E3E" w:rsidRDefault="00911C51" w:rsidP="00746E45">
      <w:pPr>
        <w:pStyle w:val="Heading2"/>
      </w:pPr>
      <w:r w:rsidRPr="00911C51">
        <w:t>Адаптация и перевод</w:t>
      </w:r>
    </w:p>
    <w:p w:rsidR="005E2E3E" w:rsidRPr="00911C51" w:rsidRDefault="00911C51" w:rsidP="00746E45">
      <w:pPr>
        <w:rPr>
          <w:lang w:val="ru-RU"/>
        </w:rPr>
      </w:pPr>
      <w:r w:rsidRPr="00911C51">
        <w:rPr>
          <w:lang w:val="ru-RU"/>
        </w:rPr>
        <w:t>В предыдущем исследовании анализ положений об использовании адапт</w:t>
      </w:r>
      <w:r w:rsidR="008C646F">
        <w:rPr>
          <w:lang w:val="ru-RU"/>
        </w:rPr>
        <w:t xml:space="preserve">аций и переводов </w:t>
      </w:r>
      <w:r w:rsidR="008C646F" w:rsidRPr="008C646F">
        <w:rPr>
          <w:lang w:val="ru-RU"/>
        </w:rPr>
        <w:t>произведени</w:t>
      </w:r>
      <w:r w:rsidR="008C646F">
        <w:rPr>
          <w:lang w:val="ru-RU"/>
        </w:rPr>
        <w:t>й</w:t>
      </w:r>
      <w:r w:rsidRPr="00911C51">
        <w:rPr>
          <w:lang w:val="ru-RU"/>
        </w:rPr>
        <w:t xml:space="preserve"> был выполнен в связи с положениями о лицензировании, </w:t>
      </w:r>
      <w:r w:rsidR="008C646F" w:rsidRPr="008C646F">
        <w:rPr>
          <w:lang w:val="ru-RU"/>
        </w:rPr>
        <w:t>содерж</w:t>
      </w:r>
      <w:r w:rsidR="008C646F">
        <w:rPr>
          <w:lang w:val="ru-RU"/>
        </w:rPr>
        <w:t>ащимися в Дополнительном разделе</w:t>
      </w:r>
      <w:r w:rsidRPr="00911C51">
        <w:rPr>
          <w:lang w:val="ru-RU"/>
        </w:rPr>
        <w:t xml:space="preserve"> Бернской конвенции. </w:t>
      </w:r>
      <w:r w:rsidR="008C646F" w:rsidRPr="008C646F">
        <w:rPr>
          <w:lang w:val="ru-RU"/>
        </w:rPr>
        <w:t>Государства-члены</w:t>
      </w:r>
      <w:r w:rsidR="008C646F">
        <w:rPr>
          <w:lang w:val="ru-RU"/>
        </w:rPr>
        <w:t xml:space="preserve"> </w:t>
      </w:r>
      <w:r w:rsidRPr="00911C51">
        <w:rPr>
          <w:lang w:val="ru-RU"/>
        </w:rPr>
        <w:t>прос</w:t>
      </w:r>
      <w:r w:rsidR="008C646F">
        <w:rPr>
          <w:lang w:val="ru-RU"/>
        </w:rPr>
        <w:t xml:space="preserve">или </w:t>
      </w:r>
      <w:r w:rsidRPr="00911C51">
        <w:rPr>
          <w:lang w:val="ru-RU"/>
        </w:rPr>
        <w:t xml:space="preserve">распространить этот анализ на </w:t>
      </w:r>
      <w:r w:rsidR="008C646F">
        <w:rPr>
          <w:lang w:val="ru-RU"/>
        </w:rPr>
        <w:t>ситуации</w:t>
      </w:r>
      <w:r w:rsidR="008C646F" w:rsidRPr="00911C51">
        <w:rPr>
          <w:lang w:val="ru-RU"/>
        </w:rPr>
        <w:t xml:space="preserve">, </w:t>
      </w:r>
      <w:r w:rsidR="008C646F">
        <w:rPr>
          <w:lang w:val="ru-RU"/>
        </w:rPr>
        <w:t>не регулируемые</w:t>
      </w:r>
      <w:r w:rsidR="008C646F" w:rsidRPr="00911C51">
        <w:rPr>
          <w:lang w:val="ru-RU"/>
        </w:rPr>
        <w:t xml:space="preserve"> </w:t>
      </w:r>
      <w:r w:rsidR="008C646F" w:rsidRPr="0060639B">
        <w:rPr>
          <w:lang w:val="ru-RU"/>
        </w:rPr>
        <w:t>положени</w:t>
      </w:r>
      <w:r w:rsidR="008C646F">
        <w:rPr>
          <w:lang w:val="ru-RU"/>
        </w:rPr>
        <w:t xml:space="preserve">ями </w:t>
      </w:r>
      <w:r w:rsidRPr="00911C51">
        <w:rPr>
          <w:lang w:val="ru-RU"/>
        </w:rPr>
        <w:t xml:space="preserve">Дополнительного раздела Бернской конвенции. </w:t>
      </w:r>
    </w:p>
    <w:p w:rsidR="005E2E3E" w:rsidRPr="00911C51" w:rsidRDefault="00911C51" w:rsidP="00F16BBF">
      <w:pPr>
        <w:rPr>
          <w:lang w:val="ru-RU"/>
        </w:rPr>
      </w:pPr>
      <w:r w:rsidRPr="00911C51">
        <w:rPr>
          <w:lang w:val="ru-RU"/>
        </w:rPr>
        <w:t xml:space="preserve">Данное новое исследование показало, что ограничения и исключения, допускающие адаптацию и перевод </w:t>
      </w:r>
      <w:r w:rsidR="00F25716" w:rsidRPr="00F25716">
        <w:rPr>
          <w:lang w:val="ru-RU"/>
        </w:rPr>
        <w:t>произведени</w:t>
      </w:r>
      <w:r w:rsidR="00F25716">
        <w:rPr>
          <w:lang w:val="ru-RU"/>
        </w:rPr>
        <w:t>й</w:t>
      </w:r>
      <w:r w:rsidRPr="00911C51">
        <w:rPr>
          <w:lang w:val="ru-RU"/>
        </w:rPr>
        <w:t xml:space="preserve"> в образовательных целях, применяются в трех основных формах и путем использования трех различных терминов, </w:t>
      </w:r>
      <w:r w:rsidR="00F25716">
        <w:rPr>
          <w:lang w:val="ru-RU"/>
        </w:rPr>
        <w:t xml:space="preserve">относящихся к </w:t>
      </w:r>
      <w:r w:rsidRPr="00911C51">
        <w:rPr>
          <w:lang w:val="ru-RU"/>
        </w:rPr>
        <w:t>ограничения</w:t>
      </w:r>
      <w:r w:rsidR="00F25716">
        <w:rPr>
          <w:lang w:val="ru-RU"/>
        </w:rPr>
        <w:t>м</w:t>
      </w:r>
      <w:r w:rsidRPr="00911C51">
        <w:rPr>
          <w:lang w:val="ru-RU"/>
        </w:rPr>
        <w:t xml:space="preserve"> и исключения</w:t>
      </w:r>
      <w:r w:rsidR="00F25716">
        <w:rPr>
          <w:lang w:val="ru-RU"/>
        </w:rPr>
        <w:t>м</w:t>
      </w:r>
      <w:r w:rsidRPr="00911C51">
        <w:rPr>
          <w:lang w:val="ru-RU"/>
        </w:rPr>
        <w:t xml:space="preserve">: «адаптация или перевод», «оригинальное произведение» и «использование». </w:t>
      </w:r>
    </w:p>
    <w:p w:rsidR="005E2E3E" w:rsidRPr="00911C51" w:rsidRDefault="00911C51" w:rsidP="00746E45">
      <w:pPr>
        <w:rPr>
          <w:lang w:val="ru-RU"/>
        </w:rPr>
      </w:pPr>
      <w:r w:rsidRPr="007F36FA">
        <w:rPr>
          <w:lang w:val="ru-RU"/>
        </w:rPr>
        <w:t xml:space="preserve">Во-первых, эти положения, в рамках сферы их применимости, могут предусматривать, в дополнение к действиям, на которые распространяется исключение, таким как воспроизведение или передача произведения, </w:t>
      </w:r>
      <w:r w:rsidR="00F25716" w:rsidRPr="00F25716">
        <w:rPr>
          <w:lang w:val="ru-RU"/>
        </w:rPr>
        <w:t>возможн</w:t>
      </w:r>
      <w:r w:rsidR="00F25716">
        <w:rPr>
          <w:lang w:val="ru-RU"/>
        </w:rPr>
        <w:t>ость адаптации</w:t>
      </w:r>
      <w:r w:rsidRPr="007F36FA">
        <w:rPr>
          <w:lang w:val="ru-RU"/>
        </w:rPr>
        <w:t xml:space="preserve"> или перевод</w:t>
      </w:r>
      <w:r w:rsidR="00F25716">
        <w:rPr>
          <w:lang w:val="ru-RU"/>
        </w:rPr>
        <w:t>а</w:t>
      </w:r>
      <w:r w:rsidRPr="007F36FA">
        <w:rPr>
          <w:lang w:val="ru-RU"/>
        </w:rPr>
        <w:t xml:space="preserve"> произведения (термин «адаптация или перевод»)</w:t>
      </w:r>
      <w:r>
        <w:rPr>
          <w:rStyle w:val="FootnoteReference"/>
        </w:rPr>
        <w:footnoteReference w:id="1"/>
      </w:r>
      <w:r w:rsidRPr="007F36FA">
        <w:rPr>
          <w:lang w:val="ru-RU"/>
        </w:rPr>
        <w:t>.</w:t>
      </w:r>
      <w:r>
        <w:rPr>
          <w:lang w:val="ru-RU"/>
        </w:rPr>
        <w:t xml:space="preserve"> </w:t>
      </w:r>
      <w:r w:rsidR="005E2E3E" w:rsidRPr="00911C51">
        <w:rPr>
          <w:lang w:val="ru-RU"/>
        </w:rPr>
        <w:t xml:space="preserve"> </w:t>
      </w:r>
      <w:r w:rsidRPr="007F36FA">
        <w:rPr>
          <w:lang w:val="ru-RU"/>
        </w:rPr>
        <w:t xml:space="preserve">В настоящем исследовании выявлено 128 законодательных положений (в 66 государствах-членах), в которых применяется данный термин. Большинство этих положений – это положения, </w:t>
      </w:r>
      <w:r w:rsidR="00F25716" w:rsidRPr="00F25716">
        <w:rPr>
          <w:lang w:val="ru-RU"/>
        </w:rPr>
        <w:t>касающи</w:t>
      </w:r>
      <w:r w:rsidR="00F25716">
        <w:rPr>
          <w:lang w:val="ru-RU"/>
        </w:rPr>
        <w:t>еся прав</w:t>
      </w:r>
      <w:r w:rsidRPr="007F36FA">
        <w:rPr>
          <w:lang w:val="ru-RU"/>
        </w:rPr>
        <w:t xml:space="preserve"> на частное использование произведений (42 положения, 40 государств-членов), копирование произведений в образовательных целях (36 положений, 23 государства-члена) и использование произведений для целей цитирования (24 положения, 21 государство-член).</w:t>
      </w:r>
    </w:p>
    <w:p w:rsidR="005E2E3E" w:rsidRPr="00911C51" w:rsidRDefault="00911C51" w:rsidP="00F16BBF">
      <w:pPr>
        <w:rPr>
          <w:lang w:val="ru-RU"/>
        </w:rPr>
      </w:pPr>
      <w:r w:rsidRPr="00911C51">
        <w:rPr>
          <w:lang w:val="ru-RU"/>
        </w:rPr>
        <w:t>Еще одна распространенная форма применения термина «адаптация или перевод» рядом государств-членов связана с до</w:t>
      </w:r>
      <w:r w:rsidR="00F25716">
        <w:rPr>
          <w:lang w:val="ru-RU"/>
        </w:rPr>
        <w:t>полнением существующих ограничений и исключений такими действиями</w:t>
      </w:r>
      <w:r w:rsidR="00F25716" w:rsidRPr="00911C51">
        <w:rPr>
          <w:lang w:val="ru-RU"/>
        </w:rPr>
        <w:t>, как адаптация, перевод и переработка произведений</w:t>
      </w:r>
      <w:r w:rsidRPr="00911C51">
        <w:rPr>
          <w:lang w:val="ru-RU"/>
        </w:rPr>
        <w:t xml:space="preserve">. </w:t>
      </w:r>
    </w:p>
    <w:p w:rsidR="005E2E3E" w:rsidRPr="00911C51" w:rsidRDefault="00911C51" w:rsidP="00746E45">
      <w:pPr>
        <w:rPr>
          <w:lang w:val="ru-RU"/>
        </w:rPr>
      </w:pPr>
      <w:r w:rsidRPr="00911C51">
        <w:rPr>
          <w:lang w:val="ru-RU"/>
        </w:rPr>
        <w:t xml:space="preserve">Во-вторых, </w:t>
      </w:r>
      <w:r w:rsidR="00F25716">
        <w:rPr>
          <w:lang w:val="ru-RU"/>
        </w:rPr>
        <w:t xml:space="preserve">такие </w:t>
      </w:r>
      <w:r w:rsidRPr="00911C51">
        <w:rPr>
          <w:lang w:val="ru-RU"/>
        </w:rPr>
        <w:t xml:space="preserve">положения могут допускать, помимо действий с переводным произведением, которые </w:t>
      </w:r>
      <w:r w:rsidR="00F25716">
        <w:rPr>
          <w:lang w:val="ru-RU"/>
        </w:rPr>
        <w:t xml:space="preserve">допускаются </w:t>
      </w:r>
      <w:r w:rsidRPr="00911C51">
        <w:rPr>
          <w:lang w:val="ru-RU"/>
        </w:rPr>
        <w:t>исключение</w:t>
      </w:r>
      <w:r w:rsidR="00F25716">
        <w:rPr>
          <w:lang w:val="ru-RU"/>
        </w:rPr>
        <w:t>м</w:t>
      </w:r>
      <w:r w:rsidRPr="00911C51">
        <w:rPr>
          <w:lang w:val="ru-RU"/>
        </w:rPr>
        <w:t xml:space="preserve">, также копирование, использование или иные </w:t>
      </w:r>
      <w:r w:rsidR="00F25716">
        <w:rPr>
          <w:lang w:val="ru-RU"/>
        </w:rPr>
        <w:t xml:space="preserve">действия </w:t>
      </w:r>
      <w:r w:rsidRPr="00911C51">
        <w:rPr>
          <w:lang w:val="ru-RU"/>
        </w:rPr>
        <w:t xml:space="preserve">с оригинальным произведением, которые </w:t>
      </w:r>
      <w:r w:rsidR="00F25716">
        <w:rPr>
          <w:lang w:val="ru-RU"/>
        </w:rPr>
        <w:t xml:space="preserve">допускаются </w:t>
      </w:r>
      <w:r w:rsidR="00F25716" w:rsidRPr="00911C51">
        <w:rPr>
          <w:lang w:val="ru-RU"/>
        </w:rPr>
        <w:t>исключение</w:t>
      </w:r>
      <w:r w:rsidR="00F25716">
        <w:rPr>
          <w:lang w:val="ru-RU"/>
        </w:rPr>
        <w:t xml:space="preserve">м </w:t>
      </w:r>
      <w:r w:rsidRPr="00911C51">
        <w:rPr>
          <w:lang w:val="ru-RU"/>
        </w:rPr>
        <w:t xml:space="preserve">(термин «оригинальное произведение»). В данном исследовании были выявлены в общей сложности 153 таких положения (в 33 государствах-членах). Из этого следует, что ограничения и исключения освобождают бенефициара исключения от ответственности по законодательству об авторском праве в случае возбуждения </w:t>
      </w:r>
      <w:r w:rsidR="00F25716">
        <w:rPr>
          <w:lang w:val="ru-RU"/>
        </w:rPr>
        <w:t xml:space="preserve">судебных действий </w:t>
      </w:r>
      <w:r w:rsidRPr="00911C51">
        <w:rPr>
          <w:lang w:val="ru-RU"/>
        </w:rPr>
        <w:t>против него не только переводчиком произведения, но и автором</w:t>
      </w:r>
      <w:r w:rsidR="00F25716">
        <w:rPr>
          <w:lang w:val="ru-RU"/>
        </w:rPr>
        <w:t xml:space="preserve"> переведенного произведения</w:t>
      </w:r>
      <w:r w:rsidRPr="00911C51">
        <w:rPr>
          <w:lang w:val="ru-RU"/>
        </w:rPr>
        <w:t xml:space="preserve">. </w:t>
      </w:r>
      <w:r w:rsidR="00F25716">
        <w:rPr>
          <w:lang w:val="ru-RU"/>
        </w:rPr>
        <w:t xml:space="preserve">По понятным причинам </w:t>
      </w:r>
      <w:r w:rsidRPr="00911C51">
        <w:rPr>
          <w:lang w:val="ru-RU"/>
        </w:rPr>
        <w:t xml:space="preserve">этот термин чаще всего встречается в положениях, допускающих цитирование (34 положения, 30 государств-членов), но он также применяется </w:t>
      </w:r>
      <w:r w:rsidR="00F25716">
        <w:rPr>
          <w:lang w:val="ru-RU"/>
        </w:rPr>
        <w:t xml:space="preserve">в тексте </w:t>
      </w:r>
      <w:r w:rsidRPr="00911C51">
        <w:rPr>
          <w:lang w:val="ru-RU"/>
        </w:rPr>
        <w:t xml:space="preserve">ограничений и исключений, допускающих копирование для научно-исследовательских и образовательных целей (33 положения, 18 государств-членов), а также </w:t>
      </w:r>
      <w:r w:rsidR="00F25716">
        <w:rPr>
          <w:lang w:val="ru-RU"/>
        </w:rPr>
        <w:t>частное</w:t>
      </w:r>
      <w:r w:rsidRPr="00911C51">
        <w:rPr>
          <w:lang w:val="ru-RU"/>
        </w:rPr>
        <w:t xml:space="preserve"> и л</w:t>
      </w:r>
      <w:r w:rsidR="00F25716">
        <w:rPr>
          <w:lang w:val="ru-RU"/>
        </w:rPr>
        <w:t xml:space="preserve">ичное использование </w:t>
      </w:r>
      <w:r w:rsidR="00F25716" w:rsidRPr="00F25716">
        <w:rPr>
          <w:lang w:val="ru-RU"/>
        </w:rPr>
        <w:t>произведени</w:t>
      </w:r>
      <w:r w:rsidR="00F25716">
        <w:rPr>
          <w:lang w:val="ru-RU"/>
        </w:rPr>
        <w:t>й</w:t>
      </w:r>
      <w:r w:rsidRPr="00911C51">
        <w:rPr>
          <w:lang w:val="ru-RU"/>
        </w:rPr>
        <w:t xml:space="preserve"> (29 положений, 24 государства-члена). </w:t>
      </w:r>
    </w:p>
    <w:p w:rsidR="005E2E3E" w:rsidRPr="00911C51" w:rsidRDefault="00911C51" w:rsidP="00F16BBF">
      <w:pPr>
        <w:rPr>
          <w:lang w:val="ru-RU"/>
        </w:rPr>
      </w:pPr>
      <w:r w:rsidRPr="00911C51">
        <w:rPr>
          <w:lang w:val="ru-RU"/>
        </w:rPr>
        <w:lastRenderedPageBreak/>
        <w:t xml:space="preserve">Термин «адаптация или перевод» может использоваться в сочетании с термином «оригинальное произведение» для расширения сферы применимости ограничения или исключения. </w:t>
      </w:r>
    </w:p>
    <w:p w:rsidR="005E2E3E" w:rsidRPr="00911C51" w:rsidRDefault="00911C51">
      <w:pPr>
        <w:rPr>
          <w:lang w:val="ru-RU"/>
        </w:rPr>
      </w:pPr>
      <w:r w:rsidRPr="00911C51">
        <w:rPr>
          <w:lang w:val="ru-RU"/>
        </w:rPr>
        <w:t xml:space="preserve">В-третьих, термин «адаптация или перевод» и термин «оригинальное произведение» следует отличать от положений, дающих право на «использование» произведения. Термин «использование» взят из текста статьи 10 (2) Бернской конвенции, которая гласит: </w:t>
      </w:r>
    </w:p>
    <w:p w:rsidR="005E2E3E" w:rsidRPr="00911C51" w:rsidRDefault="00911C51" w:rsidP="000B4EEB">
      <w:pPr>
        <w:pStyle w:val="Provision"/>
        <w:rPr>
          <w:lang w:val="ru-RU"/>
        </w:rPr>
      </w:pPr>
      <w:r w:rsidRPr="00911C51">
        <w:rPr>
          <w:lang w:val="ru-RU"/>
        </w:rPr>
        <w:t xml:space="preserve">Статья 10. Определенные случаи свободного использования произведений: </w:t>
      </w:r>
    </w:p>
    <w:p w:rsidR="005E2E3E" w:rsidRPr="00911C51" w:rsidRDefault="00911C51" w:rsidP="000B4EEB">
      <w:pPr>
        <w:pStyle w:val="Provision"/>
        <w:rPr>
          <w:lang w:val="ru-RU"/>
        </w:rPr>
      </w:pPr>
      <w:r w:rsidRPr="00911C51">
        <w:rPr>
          <w:lang w:val="ru-RU"/>
        </w:rPr>
        <w:t xml:space="preserve">2. Иллюстрации с целью обучения; </w:t>
      </w:r>
    </w:p>
    <w:p w:rsidR="005E2E3E" w:rsidRPr="00911C51" w:rsidRDefault="00911C51" w:rsidP="000B4EEB">
      <w:pPr>
        <w:pStyle w:val="Provision"/>
        <w:rPr>
          <w:lang w:val="ru-RU"/>
        </w:rPr>
      </w:pPr>
      <w:r w:rsidRPr="00911C51">
        <w:rPr>
          <w:lang w:val="ru-RU"/>
        </w:rPr>
        <w:t xml:space="preserve">(2) Законодательством стран Союза и специальными соглашениями, которые заключены или будут заключены между ними, может быть разрешено </w:t>
      </w:r>
      <w:r w:rsidRPr="00505B56">
        <w:rPr>
          <w:i/>
          <w:lang w:val="ru-RU"/>
        </w:rPr>
        <w:t>использование</w:t>
      </w:r>
      <w:r w:rsidRPr="00911C51">
        <w:rPr>
          <w:lang w:val="ru-RU"/>
        </w:rPr>
        <w:t xml:space="preserve"> литературных или художественных произведений в объеме, оправданном поставленной целью, в качестве иллюстраций в изданиях, радио- и телевизионных передачах и записях звука или изображения учебного характера при условии, что такое использование осуществляется при соблюдении добрых обычаев [курсив автора].</w:t>
      </w:r>
    </w:p>
    <w:p w:rsidR="005E2E3E" w:rsidRDefault="00911C51">
      <w:pPr>
        <w:rPr>
          <w:lang w:val="ru-RU"/>
        </w:rPr>
      </w:pPr>
      <w:r w:rsidRPr="007F36FA">
        <w:rPr>
          <w:lang w:val="ru-RU"/>
        </w:rPr>
        <w:t xml:space="preserve">На первый взгляд может показаться, что термин «адаптация или перевод», который </w:t>
      </w:r>
      <w:r w:rsidR="00505B56">
        <w:rPr>
          <w:lang w:val="ru-RU"/>
        </w:rPr>
        <w:t>относится к исключению</w:t>
      </w:r>
      <w:r w:rsidRPr="007F36FA">
        <w:rPr>
          <w:lang w:val="ru-RU"/>
        </w:rPr>
        <w:t xml:space="preserve"> из права на </w:t>
      </w:r>
      <w:r w:rsidRPr="00970916">
        <w:rPr>
          <w:lang w:val="ru-RU"/>
        </w:rPr>
        <w:t>адаптацию/перевод</w:t>
      </w:r>
      <w:r w:rsidRPr="007F36FA">
        <w:rPr>
          <w:lang w:val="ru-RU"/>
        </w:rPr>
        <w:t xml:space="preserve">, </w:t>
      </w:r>
      <w:r w:rsidR="00505B56">
        <w:rPr>
          <w:lang w:val="ru-RU"/>
        </w:rPr>
        <w:t xml:space="preserve">и </w:t>
      </w:r>
      <w:r w:rsidRPr="007F36FA">
        <w:rPr>
          <w:lang w:val="ru-RU"/>
        </w:rPr>
        <w:t xml:space="preserve">термин «оригинальное произведение», который </w:t>
      </w:r>
      <w:r w:rsidR="00505B56">
        <w:rPr>
          <w:lang w:val="ru-RU"/>
        </w:rPr>
        <w:t>касается освобождения</w:t>
      </w:r>
      <w:r w:rsidRPr="007F36FA">
        <w:rPr>
          <w:lang w:val="ru-RU"/>
        </w:rPr>
        <w:t xml:space="preserve"> бенефициара исключения от необходимости получения предварительного согласия автора первоначального произведения, не охватываются термином «использование». Однако тщательный анализ подготовительных материалов Бернской конвенции (Стокгольмский акт), на основе которых </w:t>
      </w:r>
      <w:r w:rsidR="00505B56">
        <w:rPr>
          <w:lang w:val="ru-RU"/>
        </w:rPr>
        <w:t xml:space="preserve">сложился </w:t>
      </w:r>
      <w:r w:rsidRPr="007F36FA">
        <w:rPr>
          <w:lang w:val="ru-RU"/>
        </w:rPr>
        <w:t xml:space="preserve">нынешний текст статьи 10, позволяет сделать вывод о том, что </w:t>
      </w:r>
      <w:r w:rsidR="00505B56">
        <w:rPr>
          <w:lang w:val="ru-RU"/>
        </w:rPr>
        <w:t xml:space="preserve">делегаты </w:t>
      </w:r>
      <w:r w:rsidRPr="007F36FA">
        <w:rPr>
          <w:lang w:val="ru-RU"/>
        </w:rPr>
        <w:t xml:space="preserve">признали, что термин «использование», употребляемый в статье 10(2) Бернской конвенции должен применяться </w:t>
      </w:r>
      <w:r w:rsidR="00505B56">
        <w:rPr>
          <w:lang w:val="ru-RU"/>
        </w:rPr>
        <w:t>так</w:t>
      </w:r>
      <w:r w:rsidRPr="007F36FA">
        <w:rPr>
          <w:lang w:val="ru-RU"/>
        </w:rPr>
        <w:t xml:space="preserve">, чтобы </w:t>
      </w:r>
      <w:r w:rsidR="00505B56">
        <w:rPr>
          <w:lang w:val="ru-RU"/>
        </w:rPr>
        <w:t xml:space="preserve">допускать </w:t>
      </w:r>
      <w:r w:rsidRPr="007F36FA">
        <w:rPr>
          <w:lang w:val="ru-RU"/>
        </w:rPr>
        <w:t xml:space="preserve">исключение из права на </w:t>
      </w:r>
      <w:r w:rsidRPr="00970916">
        <w:rPr>
          <w:lang w:val="ru-RU"/>
        </w:rPr>
        <w:t>адаптацию/перевод</w:t>
      </w:r>
      <w:r w:rsidRPr="007F36FA">
        <w:rPr>
          <w:lang w:val="ru-RU"/>
        </w:rPr>
        <w:t xml:space="preserve"> </w:t>
      </w:r>
      <w:r w:rsidR="00505B56" w:rsidRPr="00505B56">
        <w:rPr>
          <w:lang w:val="ru-RU"/>
        </w:rPr>
        <w:t>произведени</w:t>
      </w:r>
      <w:r w:rsidR="00505B56">
        <w:rPr>
          <w:lang w:val="ru-RU"/>
        </w:rPr>
        <w:t xml:space="preserve">я </w:t>
      </w:r>
      <w:r w:rsidRPr="007F36FA">
        <w:rPr>
          <w:lang w:val="ru-RU"/>
        </w:rPr>
        <w:t>при условии соблюдения условий первоначального исключения</w:t>
      </w:r>
      <w:r w:rsidR="005E2E3E">
        <w:rPr>
          <w:rStyle w:val="FootnoteReference"/>
        </w:rPr>
        <w:footnoteReference w:id="2"/>
      </w:r>
      <w:r w:rsidR="00505B56">
        <w:rPr>
          <w:lang w:val="ru-RU"/>
        </w:rPr>
        <w:t xml:space="preserve"> (</w:t>
      </w:r>
      <w:r w:rsidRPr="00911C51">
        <w:rPr>
          <w:lang w:val="ru-RU"/>
        </w:rPr>
        <w:t>термин «адаптация или перевод»</w:t>
      </w:r>
      <w:r w:rsidR="00505B56">
        <w:rPr>
          <w:lang w:val="ru-RU"/>
        </w:rPr>
        <w:t>)</w:t>
      </w:r>
      <w:r w:rsidRPr="00911C51">
        <w:rPr>
          <w:lang w:val="ru-RU"/>
        </w:rPr>
        <w:t xml:space="preserve">. </w:t>
      </w:r>
      <w:r w:rsidRPr="007F36FA">
        <w:rPr>
          <w:lang w:val="ru-RU"/>
        </w:rPr>
        <w:t xml:space="preserve">Несмотря на </w:t>
      </w:r>
      <w:r w:rsidR="00A70C70">
        <w:rPr>
          <w:lang w:val="ru-RU"/>
        </w:rPr>
        <w:t>некоторые расхождения во мнениях</w:t>
      </w:r>
      <w:r w:rsidRPr="007F36FA">
        <w:rPr>
          <w:lang w:val="ru-RU"/>
        </w:rPr>
        <w:t>, делегаты также согласились с тем</w:t>
      </w:r>
      <w:r w:rsidR="00505B56">
        <w:rPr>
          <w:lang w:val="ru-RU"/>
        </w:rPr>
        <w:t xml:space="preserve"> </w:t>
      </w:r>
      <w:r w:rsidR="00A70C70">
        <w:rPr>
          <w:lang w:val="ru-RU"/>
        </w:rPr>
        <w:t>мнением</w:t>
      </w:r>
      <w:r w:rsidRPr="007F36FA">
        <w:rPr>
          <w:lang w:val="ru-RU"/>
        </w:rPr>
        <w:t xml:space="preserve">, что статья 10(2) в </w:t>
      </w:r>
      <w:r w:rsidR="00505B56">
        <w:rPr>
          <w:lang w:val="ru-RU"/>
        </w:rPr>
        <w:t xml:space="preserve">ее действующей </w:t>
      </w:r>
      <w:r w:rsidRPr="007F36FA">
        <w:rPr>
          <w:lang w:val="ru-RU"/>
        </w:rPr>
        <w:t>формулировке достаточно широка, чтобы охватывать использование произведения не только в его оригинальной, но и в его переводной версии</w:t>
      </w:r>
      <w:r w:rsidR="005E2E3E">
        <w:rPr>
          <w:rStyle w:val="FootnoteReference"/>
        </w:rPr>
        <w:footnoteReference w:id="3"/>
      </w:r>
      <w:r w:rsidR="005E2E3E" w:rsidRPr="00911C51">
        <w:rPr>
          <w:lang w:val="ru-RU"/>
        </w:rPr>
        <w:t xml:space="preserve"> </w:t>
      </w:r>
      <w:r w:rsidR="00505B56">
        <w:rPr>
          <w:lang w:val="ru-RU"/>
        </w:rPr>
        <w:t>(</w:t>
      </w:r>
      <w:r w:rsidRPr="007F36FA">
        <w:rPr>
          <w:lang w:val="ru-RU"/>
        </w:rPr>
        <w:t>термин «оригинальное произведение»</w:t>
      </w:r>
      <w:r w:rsidR="00505B56">
        <w:rPr>
          <w:lang w:val="ru-RU"/>
        </w:rPr>
        <w:t>)</w:t>
      </w:r>
      <w:r w:rsidRPr="007F36FA">
        <w:rPr>
          <w:lang w:val="ru-RU"/>
        </w:rPr>
        <w:t xml:space="preserve">. Как отмечали многие делегаты Стокгольмской конференции в связи со статьей 10(2), </w:t>
      </w:r>
      <w:r w:rsidR="00A70C70">
        <w:rPr>
          <w:lang w:val="ru-RU"/>
        </w:rPr>
        <w:t xml:space="preserve">ценность </w:t>
      </w:r>
      <w:r w:rsidRPr="007F36FA">
        <w:rPr>
          <w:lang w:val="ru-RU"/>
        </w:rPr>
        <w:t>термина «использование» будет в значительной степени утрачена, если ограничение или исключение будет ограничиваться переводным произведением, и разрешение автора оригинального произведения по-прежнему будет необходимым</w:t>
      </w:r>
      <w:r w:rsidR="005E2E3E">
        <w:rPr>
          <w:rStyle w:val="FootnoteReference"/>
        </w:rPr>
        <w:footnoteReference w:id="4"/>
      </w:r>
      <w:r>
        <w:rPr>
          <w:lang w:val="ru-RU"/>
        </w:rPr>
        <w:t>.</w:t>
      </w:r>
      <w:r w:rsidR="005E2E3E" w:rsidRPr="00911C51">
        <w:rPr>
          <w:lang w:val="ru-RU"/>
        </w:rPr>
        <w:t xml:space="preserve"> </w:t>
      </w:r>
      <w:r w:rsidR="00970916" w:rsidRPr="00970916">
        <w:rPr>
          <w:lang w:val="ru-RU"/>
        </w:rPr>
        <w:t xml:space="preserve">Иными словами, </w:t>
      </w:r>
      <w:r w:rsidR="00A70C70" w:rsidRPr="00A70C70">
        <w:rPr>
          <w:lang w:val="ru-RU"/>
        </w:rPr>
        <w:t>материал</w:t>
      </w:r>
      <w:r w:rsidR="00A70C70">
        <w:rPr>
          <w:lang w:val="ru-RU"/>
        </w:rPr>
        <w:t>ы обсуждения</w:t>
      </w:r>
      <w:r w:rsidR="00970916" w:rsidRPr="00970916">
        <w:rPr>
          <w:lang w:val="ru-RU"/>
        </w:rPr>
        <w:t xml:space="preserve"> данного вопроса на Ст</w:t>
      </w:r>
      <w:r w:rsidR="00A70C70">
        <w:rPr>
          <w:lang w:val="ru-RU"/>
        </w:rPr>
        <w:t>окгольмской конференции позволяю</w:t>
      </w:r>
      <w:r w:rsidR="00970916" w:rsidRPr="00970916">
        <w:rPr>
          <w:lang w:val="ru-RU"/>
        </w:rPr>
        <w:t xml:space="preserve">т понять, что </w:t>
      </w:r>
      <w:r w:rsidR="00A70C70">
        <w:rPr>
          <w:lang w:val="ru-RU"/>
        </w:rPr>
        <w:t xml:space="preserve">применяемый </w:t>
      </w:r>
      <w:r w:rsidR="00A70C70" w:rsidRPr="00A70C70">
        <w:rPr>
          <w:lang w:val="ru-RU"/>
        </w:rPr>
        <w:t>в настоящее время</w:t>
      </w:r>
      <w:r w:rsidR="00A70C70">
        <w:rPr>
          <w:lang w:val="ru-RU"/>
        </w:rPr>
        <w:t xml:space="preserve"> </w:t>
      </w:r>
      <w:r w:rsidR="00970916" w:rsidRPr="00970916">
        <w:rPr>
          <w:lang w:val="ru-RU"/>
        </w:rPr>
        <w:t>термин «использование» представляет с</w:t>
      </w:r>
      <w:r w:rsidR="00A70C70">
        <w:rPr>
          <w:lang w:val="ru-RU"/>
        </w:rPr>
        <w:t>обой синтез термина</w:t>
      </w:r>
      <w:r w:rsidR="00970916" w:rsidRPr="00970916">
        <w:rPr>
          <w:lang w:val="ru-RU"/>
        </w:rPr>
        <w:t xml:space="preserve"> «адаптация или перевод» </w:t>
      </w:r>
      <w:r w:rsidR="00970916" w:rsidRPr="00A70C70">
        <w:rPr>
          <w:i/>
          <w:lang w:val="ru-RU"/>
        </w:rPr>
        <w:t>и</w:t>
      </w:r>
      <w:r w:rsidR="00970916" w:rsidRPr="00970916">
        <w:rPr>
          <w:lang w:val="ru-RU"/>
        </w:rPr>
        <w:t xml:space="preserve"> </w:t>
      </w:r>
      <w:r w:rsidR="00A70C70">
        <w:rPr>
          <w:lang w:val="ru-RU"/>
        </w:rPr>
        <w:t xml:space="preserve">термина </w:t>
      </w:r>
      <w:r w:rsidR="00970916" w:rsidRPr="00970916">
        <w:rPr>
          <w:lang w:val="ru-RU"/>
        </w:rPr>
        <w:t>«оригинальное произведение».</w:t>
      </w:r>
      <w:r w:rsidR="00970916">
        <w:rPr>
          <w:lang w:val="ru-RU"/>
        </w:rPr>
        <w:t xml:space="preserve"> </w:t>
      </w:r>
    </w:p>
    <w:p w:rsidR="005E2E3E" w:rsidRPr="00970916" w:rsidRDefault="00970916" w:rsidP="008D392F">
      <w:pPr>
        <w:rPr>
          <w:lang w:val="ru-RU"/>
        </w:rPr>
      </w:pPr>
      <w:r w:rsidRPr="00970916">
        <w:rPr>
          <w:lang w:val="ru-RU"/>
        </w:rPr>
        <w:t xml:space="preserve">В связи с этим необходим тщательный анализ термина «использование». Как показано в Таблице 1, термин «использование» используется в положениях наиболее часто, особенно применительно к копированию произведений в научно-исследовательских и образовательных целях (69 положений, 59 государств-членов), а также трансляциям и передаче учебных </w:t>
      </w:r>
      <w:r w:rsidR="00A70C70" w:rsidRPr="00A70C70">
        <w:rPr>
          <w:lang w:val="ru-RU"/>
        </w:rPr>
        <w:t>материал</w:t>
      </w:r>
      <w:r w:rsidR="00A70C70">
        <w:rPr>
          <w:lang w:val="ru-RU"/>
        </w:rPr>
        <w:t>ов</w:t>
      </w:r>
      <w:r w:rsidRPr="00970916">
        <w:rPr>
          <w:lang w:val="ru-RU"/>
        </w:rPr>
        <w:t xml:space="preserve"> (77 положений, 62 государства-члена). Это не удивительно, поскольку этот термин непосред</w:t>
      </w:r>
      <w:r w:rsidR="00A70C70">
        <w:rPr>
          <w:lang w:val="ru-RU"/>
        </w:rPr>
        <w:t>ственно вытекает из текста статьи </w:t>
      </w:r>
      <w:r w:rsidRPr="00970916">
        <w:rPr>
          <w:lang w:val="ru-RU"/>
        </w:rPr>
        <w:t xml:space="preserve">10(2). Многие государства-члены </w:t>
      </w:r>
      <w:r w:rsidR="00A70C70">
        <w:rPr>
          <w:lang w:val="ru-RU"/>
        </w:rPr>
        <w:t xml:space="preserve">четко следуют ее формулировкам </w:t>
      </w:r>
      <w:r w:rsidRPr="00970916">
        <w:rPr>
          <w:lang w:val="ru-RU"/>
        </w:rPr>
        <w:t xml:space="preserve">в своем законодательстве, хотя некоторые из них </w:t>
      </w:r>
      <w:r w:rsidR="00A70C70">
        <w:rPr>
          <w:lang w:val="ru-RU"/>
        </w:rPr>
        <w:t xml:space="preserve">подвергают </w:t>
      </w:r>
      <w:r w:rsidRPr="00970916">
        <w:rPr>
          <w:lang w:val="ru-RU"/>
        </w:rPr>
        <w:t>термин «использование», фигурирующи</w:t>
      </w:r>
      <w:r w:rsidR="00A70C70">
        <w:rPr>
          <w:lang w:val="ru-RU"/>
        </w:rPr>
        <w:t xml:space="preserve">й в тексте статьи 10(2), определенной адаптации в своем </w:t>
      </w:r>
      <w:r w:rsidR="00A70C70" w:rsidRPr="00A70C70">
        <w:rPr>
          <w:lang w:val="ru-RU"/>
        </w:rPr>
        <w:t>законодательств</w:t>
      </w:r>
      <w:r w:rsidR="00A70C70">
        <w:rPr>
          <w:lang w:val="ru-RU"/>
        </w:rPr>
        <w:t xml:space="preserve">е </w:t>
      </w:r>
      <w:r w:rsidRPr="00970916">
        <w:rPr>
          <w:lang w:val="ru-RU"/>
        </w:rPr>
        <w:t xml:space="preserve">и </w:t>
      </w:r>
      <w:r w:rsidR="00A70C70">
        <w:rPr>
          <w:lang w:val="ru-RU"/>
        </w:rPr>
        <w:t xml:space="preserve">вводят </w:t>
      </w:r>
      <w:r w:rsidR="00A70C70" w:rsidRPr="00A70C70">
        <w:rPr>
          <w:lang w:val="ru-RU"/>
        </w:rPr>
        <w:t>какие-то</w:t>
      </w:r>
      <w:r w:rsidR="00A70C70">
        <w:rPr>
          <w:lang w:val="ru-RU"/>
        </w:rPr>
        <w:t xml:space="preserve"> </w:t>
      </w:r>
      <w:r w:rsidR="00A70C70" w:rsidRPr="00970916">
        <w:rPr>
          <w:lang w:val="ru-RU"/>
        </w:rPr>
        <w:t>дополнительные условия</w:t>
      </w:r>
      <w:r w:rsidR="00A70C70">
        <w:rPr>
          <w:lang w:val="ru-RU"/>
        </w:rPr>
        <w:t xml:space="preserve"> </w:t>
      </w:r>
      <w:r w:rsidRPr="00970916">
        <w:rPr>
          <w:lang w:val="ru-RU"/>
        </w:rPr>
        <w:t xml:space="preserve">использования произведений в образовательных целях. </w:t>
      </w:r>
    </w:p>
    <w:p w:rsidR="005E2E3E" w:rsidRPr="00970916" w:rsidRDefault="00970916" w:rsidP="00F16BBF">
      <w:pPr>
        <w:rPr>
          <w:lang w:val="ru-RU"/>
        </w:rPr>
      </w:pPr>
      <w:r w:rsidRPr="00970916">
        <w:rPr>
          <w:lang w:val="ru-RU"/>
        </w:rPr>
        <w:t xml:space="preserve">Некоторые государства-члены пошли еще дальше </w:t>
      </w:r>
      <w:r w:rsidR="00A70C70">
        <w:rPr>
          <w:lang w:val="ru-RU"/>
        </w:rPr>
        <w:t>по этому пути, объединив</w:t>
      </w:r>
      <w:r w:rsidRPr="00970916">
        <w:rPr>
          <w:lang w:val="ru-RU"/>
        </w:rPr>
        <w:t xml:space="preserve"> термин «адаптация или перевод» с термином «использование» или термин «оригинальное произведение» с термином «использование» (24 положения, 10 государств-членов) («гибридный подход»). </w:t>
      </w:r>
    </w:p>
    <w:p w:rsidR="005E2E3E" w:rsidRPr="00D653FC" w:rsidRDefault="00D653FC" w:rsidP="00746E45">
      <w:pPr>
        <w:rPr>
          <w:lang w:val="ru-RU"/>
        </w:rPr>
      </w:pPr>
      <w:r w:rsidRPr="00D653FC">
        <w:rPr>
          <w:lang w:val="ru-RU"/>
        </w:rPr>
        <w:t xml:space="preserve">Таким образом, термин «использование» применяется в положениях о частном и личном использовании (44 положения, 42 государства-члена), положениях о копировании в образовательных целях (69 положений, 59 государств-членов) и положениях о трансляциях, передаче и записи учебных программ (77 положений, 62 государства-члена). </w:t>
      </w:r>
    </w:p>
    <w:p w:rsidR="005E2E3E" w:rsidRPr="00D653FC" w:rsidRDefault="00D653FC" w:rsidP="00746E45">
      <w:pPr>
        <w:rPr>
          <w:lang w:val="ru-RU"/>
        </w:rPr>
      </w:pPr>
      <w:r w:rsidRPr="00D653FC">
        <w:rPr>
          <w:lang w:val="ru-RU"/>
        </w:rPr>
        <w:t xml:space="preserve">В целом можно сказать, что государства-члены ВОИС широко применяют положения, дающие право на адаптацию и перевод произведений, а также на использование произведений в тех случаях, когда </w:t>
      </w:r>
      <w:r w:rsidR="00A70C70">
        <w:rPr>
          <w:lang w:val="ru-RU"/>
        </w:rPr>
        <w:t xml:space="preserve">они </w:t>
      </w:r>
      <w:r w:rsidRPr="00D653FC">
        <w:rPr>
          <w:lang w:val="ru-RU"/>
        </w:rPr>
        <w:t xml:space="preserve">сами являются адаптированными и переводными версиями произведений, в образовательных целях. </w:t>
      </w:r>
    </w:p>
    <w:p w:rsidR="005E2E3E" w:rsidRPr="00D653FC" w:rsidRDefault="00D653FC" w:rsidP="00A70C70">
      <w:pPr>
        <w:pStyle w:val="Heading2"/>
        <w:jc w:val="left"/>
        <w:rPr>
          <w:lang w:val="ru-RU"/>
        </w:rPr>
      </w:pPr>
      <w:r w:rsidRPr="00D653FC">
        <w:rPr>
          <w:lang w:val="ru-RU"/>
        </w:rPr>
        <w:t>Ограничение ответственности образовательных учреждений</w:t>
      </w:r>
      <w:r w:rsidR="00A70C70">
        <w:rPr>
          <w:lang w:val="ru-RU"/>
        </w:rPr>
        <w:t xml:space="preserve"> по законодательству</w:t>
      </w:r>
      <w:r w:rsidRPr="00D653FC">
        <w:rPr>
          <w:lang w:val="ru-RU"/>
        </w:rPr>
        <w:t xml:space="preserve"> об авторском праве </w:t>
      </w:r>
    </w:p>
    <w:p w:rsidR="005E2E3E" w:rsidRPr="00D653FC" w:rsidRDefault="001C2D88" w:rsidP="00746E45">
      <w:pPr>
        <w:rPr>
          <w:lang w:val="ru-RU"/>
        </w:rPr>
      </w:pPr>
      <w:r>
        <w:rPr>
          <w:lang w:val="ru-RU"/>
        </w:rPr>
        <w:t xml:space="preserve">Рассматриваемый </w:t>
      </w:r>
      <w:r w:rsidRPr="0010213E">
        <w:rPr>
          <w:lang w:val="ru-RU"/>
        </w:rPr>
        <w:t>здесь</w:t>
      </w:r>
      <w:r>
        <w:rPr>
          <w:lang w:val="ru-RU"/>
        </w:rPr>
        <w:t xml:space="preserve"> </w:t>
      </w:r>
      <w:r w:rsidRPr="0010213E">
        <w:rPr>
          <w:lang w:val="ru-RU"/>
        </w:rPr>
        <w:t>в</w:t>
      </w:r>
      <w:r w:rsidR="00D653FC" w:rsidRPr="0010213E">
        <w:rPr>
          <w:lang w:val="ru-RU"/>
        </w:rPr>
        <w:t>опрос</w:t>
      </w:r>
      <w:r>
        <w:rPr>
          <w:lang w:val="ru-RU"/>
        </w:rPr>
        <w:t xml:space="preserve"> </w:t>
      </w:r>
      <w:r w:rsidR="00D653FC" w:rsidRPr="0010213E">
        <w:rPr>
          <w:lang w:val="ru-RU"/>
        </w:rPr>
        <w:t xml:space="preserve">касается положений, ограничивающих </w:t>
      </w:r>
      <w:r>
        <w:rPr>
          <w:lang w:val="ru-RU"/>
        </w:rPr>
        <w:t xml:space="preserve">правовую </w:t>
      </w:r>
      <w:r w:rsidR="00D653FC" w:rsidRPr="0010213E">
        <w:rPr>
          <w:lang w:val="ru-RU"/>
        </w:rPr>
        <w:t xml:space="preserve">ответственность учебных заведений. В каком-то смысле режим ограничений и исключений в пользу </w:t>
      </w:r>
      <w:r w:rsidR="00D653FC" w:rsidRPr="001C2D88">
        <w:rPr>
          <w:i/>
          <w:lang w:val="ru-RU"/>
        </w:rPr>
        <w:t>конкретных</w:t>
      </w:r>
      <w:r w:rsidR="00D653FC" w:rsidRPr="0010213E">
        <w:rPr>
          <w:lang w:val="ru-RU"/>
        </w:rPr>
        <w:t xml:space="preserve"> видов деятельности, рассмотренный в </w:t>
      </w:r>
      <w:r w:rsidRPr="001C2D88">
        <w:rPr>
          <w:lang w:val="ru-RU"/>
        </w:rPr>
        <w:t>предыдущ</w:t>
      </w:r>
      <w:r>
        <w:rPr>
          <w:lang w:val="ru-RU"/>
        </w:rPr>
        <w:t>ем</w:t>
      </w:r>
      <w:r w:rsidR="00D653FC" w:rsidRPr="0010213E">
        <w:rPr>
          <w:lang w:val="ru-RU"/>
        </w:rPr>
        <w:t xml:space="preserve"> исследовании, уже обеспечивает ограничение ответственности образовательных учреждений, санкционируя </w:t>
      </w:r>
      <w:r>
        <w:rPr>
          <w:lang w:val="ru-RU"/>
        </w:rPr>
        <w:t xml:space="preserve">те </w:t>
      </w:r>
      <w:r w:rsidR="00D653FC" w:rsidRPr="0010213E">
        <w:rPr>
          <w:lang w:val="ru-RU"/>
        </w:rPr>
        <w:t>виды образовательной деятельности, на которые в ином случае требовалось бы разрешение правообладателя. В</w:t>
      </w:r>
      <w:r w:rsidR="00D653FC" w:rsidRPr="001C2D88">
        <w:rPr>
          <w:lang w:val="ru-RU"/>
        </w:rPr>
        <w:t xml:space="preserve"> </w:t>
      </w:r>
      <w:r w:rsidR="00D653FC" w:rsidRPr="0010213E">
        <w:rPr>
          <w:lang w:val="ru-RU"/>
        </w:rPr>
        <w:t>обновленном</w:t>
      </w:r>
      <w:r w:rsidR="00D653FC" w:rsidRPr="001C2D88">
        <w:rPr>
          <w:lang w:val="ru-RU"/>
        </w:rPr>
        <w:t xml:space="preserve"> </w:t>
      </w:r>
      <w:r w:rsidR="00D653FC" w:rsidRPr="0010213E">
        <w:rPr>
          <w:lang w:val="ru-RU"/>
        </w:rPr>
        <w:t>исследовании</w:t>
      </w:r>
      <w:r w:rsidR="00D653FC" w:rsidRPr="001C2D88">
        <w:rPr>
          <w:lang w:val="ru-RU"/>
        </w:rPr>
        <w:t xml:space="preserve"> </w:t>
      </w:r>
      <w:r w:rsidR="00D653FC" w:rsidRPr="0010213E">
        <w:rPr>
          <w:lang w:val="ru-RU"/>
        </w:rPr>
        <w:t>автор</w:t>
      </w:r>
      <w:r w:rsidR="00D653FC" w:rsidRPr="001C2D88">
        <w:rPr>
          <w:lang w:val="ru-RU"/>
        </w:rPr>
        <w:t xml:space="preserve"> </w:t>
      </w:r>
      <w:r w:rsidR="00D653FC" w:rsidRPr="0010213E">
        <w:rPr>
          <w:lang w:val="ru-RU"/>
        </w:rPr>
        <w:t>стремится</w:t>
      </w:r>
      <w:r w:rsidR="00D653FC" w:rsidRPr="001C2D88">
        <w:rPr>
          <w:lang w:val="ru-RU"/>
        </w:rPr>
        <w:t xml:space="preserve"> </w:t>
      </w:r>
      <w:r w:rsidR="00D653FC" w:rsidRPr="0010213E">
        <w:rPr>
          <w:lang w:val="ru-RU"/>
        </w:rPr>
        <w:t>проанализировать</w:t>
      </w:r>
      <w:r w:rsidR="00D653FC" w:rsidRPr="001C2D88">
        <w:rPr>
          <w:lang w:val="ru-RU"/>
        </w:rPr>
        <w:t xml:space="preserve"> </w:t>
      </w:r>
      <w:r w:rsidR="00D653FC" w:rsidRPr="0010213E">
        <w:rPr>
          <w:lang w:val="ru-RU"/>
        </w:rPr>
        <w:t>положения</w:t>
      </w:r>
      <w:r w:rsidR="00D653FC" w:rsidRPr="001C2D88">
        <w:rPr>
          <w:lang w:val="ru-RU"/>
        </w:rPr>
        <w:t xml:space="preserve">, </w:t>
      </w:r>
      <w:r w:rsidR="00D653FC" w:rsidRPr="0010213E">
        <w:rPr>
          <w:lang w:val="ru-RU"/>
        </w:rPr>
        <w:t>которые</w:t>
      </w:r>
      <w:r w:rsidR="00D653FC" w:rsidRPr="001C2D88">
        <w:rPr>
          <w:lang w:val="ru-RU"/>
        </w:rPr>
        <w:t xml:space="preserve"> </w:t>
      </w:r>
      <w:r w:rsidR="00D653FC" w:rsidRPr="0010213E">
        <w:rPr>
          <w:lang w:val="ru-RU"/>
        </w:rPr>
        <w:t>ограничивают</w:t>
      </w:r>
      <w:r w:rsidR="00D653FC" w:rsidRPr="001C2D88">
        <w:rPr>
          <w:lang w:val="ru-RU"/>
        </w:rPr>
        <w:t xml:space="preserve"> </w:t>
      </w:r>
      <w:r>
        <w:rPr>
          <w:lang w:val="ru-RU"/>
        </w:rPr>
        <w:t xml:space="preserve">правовую </w:t>
      </w:r>
      <w:r w:rsidR="00D653FC" w:rsidRPr="0010213E">
        <w:rPr>
          <w:lang w:val="ru-RU"/>
        </w:rPr>
        <w:t>ответственность</w:t>
      </w:r>
      <w:r w:rsidR="00D653FC" w:rsidRPr="001C2D88">
        <w:rPr>
          <w:lang w:val="ru-RU"/>
        </w:rPr>
        <w:t xml:space="preserve"> </w:t>
      </w:r>
      <w:r w:rsidR="00D653FC">
        <w:rPr>
          <w:lang w:val="ru-RU"/>
        </w:rPr>
        <w:t>образовательных</w:t>
      </w:r>
      <w:r w:rsidR="00D653FC" w:rsidRPr="001C2D88">
        <w:rPr>
          <w:lang w:val="ru-RU"/>
        </w:rPr>
        <w:t xml:space="preserve"> </w:t>
      </w:r>
      <w:r w:rsidR="00D653FC" w:rsidRPr="00D653FC">
        <w:rPr>
          <w:lang w:val="ru-RU"/>
        </w:rPr>
        <w:t>учреждени</w:t>
      </w:r>
      <w:r w:rsidR="00D653FC">
        <w:rPr>
          <w:lang w:val="ru-RU"/>
        </w:rPr>
        <w:t>й</w:t>
      </w:r>
      <w:r>
        <w:rPr>
          <w:lang w:val="ru-RU"/>
        </w:rPr>
        <w:t xml:space="preserve"> </w:t>
      </w:r>
      <w:r w:rsidRPr="001C2D88">
        <w:rPr>
          <w:i/>
          <w:lang w:val="ru-RU"/>
        </w:rPr>
        <w:t>в общем плане</w:t>
      </w:r>
      <w:r w:rsidR="00D653FC">
        <w:rPr>
          <w:rStyle w:val="FootnoteReference"/>
        </w:rPr>
        <w:footnoteReference w:id="5"/>
      </w:r>
      <w:r w:rsidR="00D653FC" w:rsidRPr="001C2D88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D653FC" w:rsidRPr="00D653FC">
        <w:rPr>
          <w:lang w:val="ru-RU"/>
        </w:rPr>
        <w:t xml:space="preserve">Учитывая широкий характер ограничений и исключений из авторского права, не удивительно, что в ходе этого анализа в законодательстве государств-членов ВОИС об авторском праве было выявлено только восемь таких общих положений. </w:t>
      </w:r>
    </w:p>
    <w:p w:rsidR="005E2E3E" w:rsidRPr="00D653FC" w:rsidRDefault="00D653FC" w:rsidP="00746E45">
      <w:pPr>
        <w:rPr>
          <w:lang w:val="ru-RU"/>
        </w:rPr>
      </w:pPr>
      <w:r w:rsidRPr="00D653FC">
        <w:rPr>
          <w:lang w:val="ru-RU"/>
        </w:rPr>
        <w:t xml:space="preserve">Эти восемь положений могут быть сгруппированы следующим образом: два положения освобождают образовательные учреждения от ответственности за нарушения авторского права, связанные с автоматическим или временным хранением материалов, охраняемых авторским правом, в компьютерных сетях в учебных целях; одно положение </w:t>
      </w:r>
      <w:r w:rsidR="00E66F18">
        <w:rPr>
          <w:lang w:val="ru-RU"/>
        </w:rPr>
        <w:t>освобождает образовательные учреждения</w:t>
      </w:r>
      <w:r w:rsidRPr="00D653FC">
        <w:rPr>
          <w:lang w:val="ru-RU"/>
        </w:rPr>
        <w:t xml:space="preserve"> </w:t>
      </w:r>
      <w:r w:rsidR="00E66F18">
        <w:rPr>
          <w:lang w:val="ru-RU"/>
        </w:rPr>
        <w:t>от преследования</w:t>
      </w:r>
      <w:r w:rsidR="00E66F18" w:rsidRPr="00D653FC">
        <w:rPr>
          <w:lang w:val="ru-RU"/>
        </w:rPr>
        <w:t xml:space="preserve"> </w:t>
      </w:r>
      <w:r w:rsidRPr="00D653FC">
        <w:rPr>
          <w:lang w:val="ru-RU"/>
        </w:rPr>
        <w:t xml:space="preserve">за нарушение авторских прав в коммерческих масштабах, одно положение освобождает образовательное учреждение от признания </w:t>
      </w:r>
      <w:r w:rsidR="00E66F18">
        <w:rPr>
          <w:lang w:val="ru-RU"/>
        </w:rPr>
        <w:t>ответственным</w:t>
      </w:r>
      <w:r w:rsidRPr="00D653FC">
        <w:rPr>
          <w:lang w:val="ru-RU"/>
        </w:rPr>
        <w:t xml:space="preserve"> за совершение действий, нарушающих права</w:t>
      </w:r>
      <w:r w:rsidR="00E66F18">
        <w:rPr>
          <w:lang w:val="ru-RU"/>
        </w:rPr>
        <w:t>,</w:t>
      </w:r>
      <w:r w:rsidRPr="00D653FC">
        <w:rPr>
          <w:lang w:val="ru-RU"/>
        </w:rPr>
        <w:t xml:space="preserve"> и непринятие мер в ситуациях, когда ему известно о действиях его профессорско-преподавательского состава, студентов магистратуры или аспирантов</w:t>
      </w:r>
      <w:r w:rsidR="00E66F18">
        <w:rPr>
          <w:lang w:val="ru-RU"/>
        </w:rPr>
        <w:t xml:space="preserve">, </w:t>
      </w:r>
      <w:r w:rsidR="00E66F18" w:rsidRPr="00D653FC">
        <w:rPr>
          <w:lang w:val="ru-RU"/>
        </w:rPr>
        <w:t xml:space="preserve">нарушающих </w:t>
      </w:r>
      <w:r w:rsidR="00E66F18">
        <w:rPr>
          <w:lang w:val="ru-RU"/>
        </w:rPr>
        <w:t>авторские права</w:t>
      </w:r>
      <w:r w:rsidRPr="00D653FC">
        <w:rPr>
          <w:lang w:val="ru-RU"/>
        </w:rPr>
        <w:t>, и четыре положения ограничив</w:t>
      </w:r>
      <w:r w:rsidR="00E66F18">
        <w:rPr>
          <w:lang w:val="ru-RU"/>
        </w:rPr>
        <w:t>ают или отменяют предусмотренную</w:t>
      </w:r>
      <w:r w:rsidRPr="00D653FC">
        <w:rPr>
          <w:lang w:val="ru-RU"/>
        </w:rPr>
        <w:t xml:space="preserve"> законом </w:t>
      </w:r>
      <w:r w:rsidR="00E66F18">
        <w:rPr>
          <w:lang w:val="ru-RU"/>
        </w:rPr>
        <w:t>компенсацию, которая</w:t>
      </w:r>
      <w:r w:rsidRPr="00D653FC">
        <w:rPr>
          <w:lang w:val="ru-RU"/>
        </w:rPr>
        <w:t xml:space="preserve"> в ином случае </w:t>
      </w:r>
      <w:r w:rsidR="00E66F18">
        <w:rPr>
          <w:lang w:val="ru-RU"/>
        </w:rPr>
        <w:t xml:space="preserve">причиталась бы к оплате </w:t>
      </w:r>
      <w:r w:rsidRPr="00D653FC">
        <w:rPr>
          <w:lang w:val="ru-RU"/>
        </w:rPr>
        <w:t>образовательным учреждением за де</w:t>
      </w:r>
      <w:r w:rsidR="00E66F18">
        <w:rPr>
          <w:lang w:val="ru-RU"/>
        </w:rPr>
        <w:t xml:space="preserve">йствия, связанные с его учебными </w:t>
      </w:r>
      <w:r w:rsidRPr="00D653FC">
        <w:rPr>
          <w:lang w:val="ru-RU"/>
        </w:rPr>
        <w:t xml:space="preserve">задачами. </w:t>
      </w:r>
    </w:p>
    <w:p w:rsidR="005E2E3E" w:rsidRPr="00D653FC" w:rsidRDefault="00D653FC" w:rsidP="00746E45">
      <w:pPr>
        <w:pStyle w:val="Heading2"/>
        <w:rPr>
          <w:lang w:val="ru-RU"/>
        </w:rPr>
      </w:pPr>
      <w:r w:rsidRPr="00D653FC">
        <w:rPr>
          <w:lang w:val="ru-RU"/>
        </w:rPr>
        <w:t xml:space="preserve">Лицензии, отменяющие ограничения и исключения из авторского права </w:t>
      </w:r>
    </w:p>
    <w:p w:rsidR="005E2E3E" w:rsidRPr="00D653FC" w:rsidRDefault="00D653FC" w:rsidP="00746E45">
      <w:pPr>
        <w:rPr>
          <w:lang w:val="ru-RU"/>
        </w:rPr>
      </w:pPr>
      <w:r w:rsidRPr="00D653FC">
        <w:rPr>
          <w:lang w:val="ru-RU"/>
        </w:rPr>
        <w:t xml:space="preserve">Данный вопрос касается подхода к условиям договоров о лицензировании авторских прав, </w:t>
      </w:r>
      <w:r w:rsidR="00E66F18">
        <w:rPr>
          <w:lang w:val="ru-RU"/>
        </w:rPr>
        <w:t>направленным</w:t>
      </w:r>
      <w:r w:rsidRPr="00D653FC">
        <w:rPr>
          <w:lang w:val="ru-RU"/>
        </w:rPr>
        <w:t xml:space="preserve"> на ограничение или даже отмену ограничений и исключений из авторского права, предусмотренных в пользу образовательных учреждений. Во многих юрисдикциях </w:t>
      </w:r>
      <w:r w:rsidR="00E66F18">
        <w:rPr>
          <w:lang w:val="ru-RU"/>
        </w:rPr>
        <w:t xml:space="preserve">приняты </w:t>
      </w:r>
      <w:r w:rsidRPr="00D653FC">
        <w:rPr>
          <w:lang w:val="ru-RU"/>
        </w:rPr>
        <w:t xml:space="preserve">общие </w:t>
      </w:r>
      <w:r w:rsidR="00E66F18">
        <w:rPr>
          <w:lang w:val="ru-RU"/>
        </w:rPr>
        <w:t>нормы</w:t>
      </w:r>
      <w:r w:rsidRPr="00D653FC">
        <w:rPr>
          <w:lang w:val="ru-RU"/>
        </w:rPr>
        <w:t xml:space="preserve">, </w:t>
      </w:r>
      <w:r w:rsidR="00E66F18">
        <w:rPr>
          <w:lang w:val="ru-RU"/>
        </w:rPr>
        <w:t>признающие</w:t>
      </w:r>
      <w:r w:rsidRPr="00D653FC">
        <w:rPr>
          <w:lang w:val="ru-RU"/>
        </w:rPr>
        <w:t xml:space="preserve"> положения таких договоров незаконными, недобросовестными или противоречащими </w:t>
      </w:r>
      <w:r w:rsidR="00E66F18" w:rsidRPr="00E66F18">
        <w:rPr>
          <w:lang w:val="ru-RU"/>
        </w:rPr>
        <w:t>общественн</w:t>
      </w:r>
      <w:r w:rsidR="00E66F18">
        <w:rPr>
          <w:lang w:val="ru-RU"/>
        </w:rPr>
        <w:t xml:space="preserve">ой </w:t>
      </w:r>
      <w:r w:rsidR="00E66F18" w:rsidRPr="00D653FC">
        <w:rPr>
          <w:lang w:val="ru-RU"/>
        </w:rPr>
        <w:t xml:space="preserve">политике </w:t>
      </w:r>
      <w:r w:rsidRPr="00D653FC">
        <w:rPr>
          <w:lang w:val="ru-RU"/>
        </w:rPr>
        <w:t xml:space="preserve">и, соответственно, </w:t>
      </w:r>
      <w:r w:rsidR="00E66F18" w:rsidRPr="00D653FC">
        <w:rPr>
          <w:lang w:val="ru-RU"/>
        </w:rPr>
        <w:t xml:space="preserve">позволяющие признавать </w:t>
      </w:r>
      <w:r w:rsidR="00E66F18">
        <w:rPr>
          <w:lang w:val="ru-RU"/>
        </w:rPr>
        <w:t xml:space="preserve">их </w:t>
      </w:r>
      <w:r w:rsidRPr="00D653FC">
        <w:rPr>
          <w:lang w:val="ru-RU"/>
        </w:rPr>
        <w:t xml:space="preserve">юридически неисполнимыми, и такие положения могут применяться к таким договорным положениям или </w:t>
      </w:r>
      <w:r w:rsidR="00E66F18" w:rsidRPr="00E66F18">
        <w:rPr>
          <w:lang w:val="ru-RU"/>
        </w:rPr>
        <w:t>услови</w:t>
      </w:r>
      <w:r w:rsidR="00E66F18">
        <w:rPr>
          <w:lang w:val="ru-RU"/>
        </w:rPr>
        <w:t>ям</w:t>
      </w:r>
      <w:r w:rsidRPr="00D653FC">
        <w:rPr>
          <w:lang w:val="ru-RU"/>
        </w:rPr>
        <w:t xml:space="preserve"> лицензионных договоров. </w:t>
      </w:r>
    </w:p>
    <w:p w:rsidR="005E2E3E" w:rsidRPr="00D653FC" w:rsidRDefault="00E66F18" w:rsidP="00F16BBF">
      <w:pPr>
        <w:rPr>
          <w:lang w:val="ru-RU"/>
        </w:rPr>
      </w:pPr>
      <w:r w:rsidRPr="00E66F18">
        <w:rPr>
          <w:lang w:val="ru-RU"/>
        </w:rPr>
        <w:t>Тем не менее,</w:t>
      </w:r>
      <w:r>
        <w:rPr>
          <w:lang w:val="ru-RU"/>
        </w:rPr>
        <w:t xml:space="preserve"> </w:t>
      </w:r>
      <w:r w:rsidR="00D653FC" w:rsidRPr="00D653FC">
        <w:rPr>
          <w:lang w:val="ru-RU"/>
        </w:rPr>
        <w:t xml:space="preserve">в отсутствие </w:t>
      </w:r>
      <w:r>
        <w:rPr>
          <w:lang w:val="ru-RU"/>
        </w:rPr>
        <w:t xml:space="preserve">вмешательства судебной </w:t>
      </w:r>
      <w:r w:rsidRPr="00E66F18">
        <w:rPr>
          <w:noProof/>
          <w:lang w:val="ru-RU" w:eastAsia="ru-RU"/>
        </w:rPr>
        <w:t>инстанци</w:t>
      </w:r>
      <w:r>
        <w:rPr>
          <w:lang w:val="ru-RU"/>
        </w:rPr>
        <w:t>и</w:t>
      </w:r>
      <w:r w:rsidR="00D653FC" w:rsidRPr="00D653FC">
        <w:rPr>
          <w:lang w:val="ru-RU"/>
        </w:rPr>
        <w:t xml:space="preserve"> провайдеры контента могут, судя по всему, использовать механизм лицензирования авторских прав</w:t>
      </w:r>
      <w:r w:rsidR="007A61D3">
        <w:rPr>
          <w:lang w:val="ru-RU"/>
        </w:rPr>
        <w:t xml:space="preserve"> </w:t>
      </w:r>
      <w:r>
        <w:rPr>
          <w:lang w:val="ru-RU"/>
        </w:rPr>
        <w:t>для обхода различных ограничений и исключений</w:t>
      </w:r>
      <w:r w:rsidR="00D653FC" w:rsidRPr="00D653FC">
        <w:rPr>
          <w:lang w:val="ru-RU"/>
        </w:rPr>
        <w:t xml:space="preserve"> из авторского права. В этой связи некоторые государства-члены приняли положения, </w:t>
      </w:r>
      <w:r w:rsidR="006A4825">
        <w:rPr>
          <w:lang w:val="ru-RU"/>
        </w:rPr>
        <w:t>прямо гласящие</w:t>
      </w:r>
      <w:r w:rsidR="00D653FC" w:rsidRPr="00D653FC">
        <w:rPr>
          <w:lang w:val="ru-RU"/>
        </w:rPr>
        <w:t xml:space="preserve">, что условия лицензионных договоров, ограничивающие или отменяющие ограничения и исключения из авторского права, </w:t>
      </w:r>
      <w:r w:rsidR="006A4825">
        <w:rPr>
          <w:lang w:val="ru-RU"/>
        </w:rPr>
        <w:t>юридически неисполнимы</w:t>
      </w:r>
      <w:r w:rsidR="00D653FC" w:rsidRPr="00D653FC">
        <w:rPr>
          <w:lang w:val="ru-RU"/>
        </w:rPr>
        <w:t xml:space="preserve">. В данном исследовании было выявлено 14 таких положений в законодательстве об авторском праве восьми государств-членов. Эти положения предусматривают, что условия лицензионных договоров, санкционирующие виды деятельности, являющиеся предметом ограничений и исключений, не могут быть более узкими или ограничительными, чем </w:t>
      </w:r>
      <w:r w:rsidR="006A4825">
        <w:rPr>
          <w:lang w:val="ru-RU"/>
        </w:rPr>
        <w:t>установленные законом ограничения и исключения</w:t>
      </w:r>
      <w:r w:rsidR="00D653FC" w:rsidRPr="00D653FC">
        <w:rPr>
          <w:lang w:val="ru-RU"/>
        </w:rPr>
        <w:t xml:space="preserve">. </w:t>
      </w:r>
    </w:p>
    <w:p w:rsidR="005E2E3E" w:rsidRPr="00371143" w:rsidRDefault="006A4825" w:rsidP="00F16BBF">
      <w:pPr>
        <w:rPr>
          <w:lang w:val="ru-RU"/>
        </w:rPr>
      </w:pPr>
      <w:r>
        <w:rPr>
          <w:lang w:val="ru-RU"/>
        </w:rPr>
        <w:t xml:space="preserve">Другая </w:t>
      </w:r>
      <w:r w:rsidRPr="006A4825">
        <w:rPr>
          <w:lang w:val="ru-RU"/>
        </w:rPr>
        <w:t>групп</w:t>
      </w:r>
      <w:r>
        <w:rPr>
          <w:lang w:val="ru-RU"/>
        </w:rPr>
        <w:t xml:space="preserve">а </w:t>
      </w:r>
      <w:r w:rsidRPr="0010213E">
        <w:rPr>
          <w:lang w:val="ru-RU"/>
        </w:rPr>
        <w:t>н</w:t>
      </w:r>
      <w:r w:rsidR="00D653FC" w:rsidRPr="0010213E">
        <w:rPr>
          <w:lang w:val="ru-RU"/>
        </w:rPr>
        <w:t>орм законодательства об авторском праве, основанных на тех же принципах, предусматривает, что любые такие договорные нормы, противоречащие ограничениям или исключениям, являются недействительными и не имеют силы. Они отлич</w:t>
      </w:r>
      <w:r>
        <w:rPr>
          <w:lang w:val="ru-RU"/>
        </w:rPr>
        <w:t xml:space="preserve">аются </w:t>
      </w:r>
      <w:r w:rsidR="00D653FC" w:rsidRPr="0010213E">
        <w:rPr>
          <w:lang w:val="ru-RU"/>
        </w:rPr>
        <w:t>от норм</w:t>
      </w:r>
      <w:r>
        <w:rPr>
          <w:lang w:val="ru-RU"/>
        </w:rPr>
        <w:t xml:space="preserve"> упомянутой</w:t>
      </w:r>
      <w:r w:rsidR="00D653FC" w:rsidRPr="0010213E">
        <w:rPr>
          <w:lang w:val="ru-RU"/>
        </w:rPr>
        <w:t xml:space="preserve"> выше</w:t>
      </w:r>
      <w:r>
        <w:rPr>
          <w:lang w:val="ru-RU"/>
        </w:rPr>
        <w:t xml:space="preserve"> </w:t>
      </w:r>
      <w:r w:rsidRPr="006A4825">
        <w:rPr>
          <w:lang w:val="ru-RU"/>
        </w:rPr>
        <w:t>групп</w:t>
      </w:r>
      <w:r>
        <w:rPr>
          <w:lang w:val="ru-RU"/>
        </w:rPr>
        <w:t>ы</w:t>
      </w:r>
      <w:r w:rsidR="00D653FC" w:rsidRPr="0010213E">
        <w:rPr>
          <w:lang w:val="ru-RU"/>
        </w:rPr>
        <w:t xml:space="preserve">, поскольку они не относятся к каким-либо конкретным ограничениям или исключениям, а </w:t>
      </w:r>
      <w:r>
        <w:rPr>
          <w:lang w:val="ru-RU"/>
        </w:rPr>
        <w:t>применяются в общем виде</w:t>
      </w:r>
      <w:r w:rsidR="00D653FC" w:rsidRPr="0010213E">
        <w:rPr>
          <w:lang w:val="ru-RU"/>
        </w:rPr>
        <w:t>. Возможно</w:t>
      </w:r>
      <w:r w:rsidR="00D653FC" w:rsidRPr="00D653FC">
        <w:rPr>
          <w:lang w:val="ru-RU"/>
        </w:rPr>
        <w:t xml:space="preserve">, </w:t>
      </w:r>
      <w:r w:rsidR="00D653FC" w:rsidRPr="0010213E">
        <w:rPr>
          <w:lang w:val="ru-RU"/>
        </w:rPr>
        <w:t>что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эти</w:t>
      </w:r>
      <w:r w:rsidR="00D653FC" w:rsidRPr="00D653FC">
        <w:rPr>
          <w:lang w:val="ru-RU"/>
        </w:rPr>
        <w:t xml:space="preserve"> </w:t>
      </w:r>
      <w:r>
        <w:rPr>
          <w:lang w:val="ru-RU"/>
        </w:rPr>
        <w:t xml:space="preserve">нормы </w:t>
      </w:r>
      <w:r w:rsidR="00D653FC" w:rsidRPr="0010213E">
        <w:rPr>
          <w:lang w:val="ru-RU"/>
        </w:rPr>
        <w:t>следуют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примеру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аналогичных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положений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Директивы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ЕС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о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правовой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защите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баз</w:t>
      </w:r>
      <w:r w:rsidR="00D653FC" w:rsidRPr="00D653FC">
        <w:rPr>
          <w:lang w:val="ru-RU"/>
        </w:rPr>
        <w:t xml:space="preserve"> </w:t>
      </w:r>
      <w:r w:rsidR="00D653FC" w:rsidRPr="0010213E">
        <w:rPr>
          <w:lang w:val="ru-RU"/>
        </w:rPr>
        <w:t>данных</w:t>
      </w:r>
      <w:r w:rsidR="005E2E3E">
        <w:rPr>
          <w:rStyle w:val="FootnoteReference"/>
        </w:rPr>
        <w:footnoteReference w:id="6"/>
      </w:r>
      <w:r w:rsidR="005E2E3E" w:rsidRPr="00D653FC">
        <w:rPr>
          <w:lang w:val="ru-RU"/>
        </w:rPr>
        <w:t xml:space="preserve"> </w:t>
      </w:r>
      <w:r w:rsidR="00D653FC" w:rsidRPr="0010213E">
        <w:rPr>
          <w:lang w:val="ru-RU"/>
        </w:rPr>
        <w:t xml:space="preserve">и </w:t>
      </w:r>
      <w:r w:rsidRPr="0010213E">
        <w:rPr>
          <w:lang w:val="ru-RU"/>
        </w:rPr>
        <w:t>Директивы</w:t>
      </w:r>
      <w:r w:rsidRPr="00D653FC">
        <w:rPr>
          <w:lang w:val="ru-RU"/>
        </w:rPr>
        <w:t xml:space="preserve"> </w:t>
      </w:r>
      <w:r w:rsidRPr="0010213E">
        <w:rPr>
          <w:lang w:val="ru-RU"/>
        </w:rPr>
        <w:t>ЕС</w:t>
      </w:r>
      <w:r w:rsidRPr="00D653FC">
        <w:rPr>
          <w:lang w:val="ru-RU"/>
        </w:rPr>
        <w:t xml:space="preserve"> </w:t>
      </w:r>
      <w:r w:rsidRPr="0010213E">
        <w:rPr>
          <w:lang w:val="ru-RU"/>
        </w:rPr>
        <w:t>о</w:t>
      </w:r>
      <w:r w:rsidRPr="00D653FC">
        <w:rPr>
          <w:lang w:val="ru-RU"/>
        </w:rPr>
        <w:t xml:space="preserve"> </w:t>
      </w:r>
      <w:r w:rsidRPr="006A4825">
        <w:rPr>
          <w:lang w:val="ru-RU"/>
        </w:rPr>
        <w:t>программ</w:t>
      </w:r>
      <w:r>
        <w:rPr>
          <w:lang w:val="ru-RU"/>
        </w:rPr>
        <w:t xml:space="preserve">ном </w:t>
      </w:r>
      <w:r w:rsidRPr="006A4825">
        <w:rPr>
          <w:lang w:val="ru-RU"/>
        </w:rPr>
        <w:t>обеспечени</w:t>
      </w:r>
      <w:r>
        <w:rPr>
          <w:lang w:val="ru-RU"/>
        </w:rPr>
        <w:t>и</w:t>
      </w:r>
      <w:r>
        <w:rPr>
          <w:rStyle w:val="FootnoteReference"/>
        </w:rPr>
        <w:footnoteReference w:id="7"/>
      </w:r>
      <w:r w:rsidR="00371143" w:rsidRPr="00D653FC">
        <w:rPr>
          <w:lang w:val="ru-RU"/>
        </w:rPr>
        <w:t>.</w:t>
      </w:r>
      <w:r w:rsidR="005E2E3E" w:rsidRPr="00D653FC">
        <w:rPr>
          <w:lang w:val="ru-RU"/>
        </w:rPr>
        <w:t xml:space="preserve"> </w:t>
      </w:r>
      <w:r w:rsidR="00371143" w:rsidRPr="00371143">
        <w:rPr>
          <w:lang w:val="ru-RU"/>
        </w:rPr>
        <w:t xml:space="preserve">Данное исследование выявило в законодательстве об авторском праве государств-членов </w:t>
      </w:r>
      <w:r w:rsidR="00371143">
        <w:rPr>
          <w:lang w:val="ru-RU"/>
        </w:rPr>
        <w:t xml:space="preserve">восемь </w:t>
      </w:r>
      <w:r w:rsidR="00371143" w:rsidRPr="00371143">
        <w:rPr>
          <w:lang w:val="ru-RU"/>
        </w:rPr>
        <w:t xml:space="preserve">таких положений. </w:t>
      </w:r>
    </w:p>
    <w:p w:rsidR="005E2E3E" w:rsidRPr="00371143" w:rsidRDefault="00371143" w:rsidP="00D918A5">
      <w:pPr>
        <w:pStyle w:val="Heading2"/>
        <w:rPr>
          <w:lang w:val="ru-RU"/>
        </w:rPr>
      </w:pPr>
      <w:r w:rsidRPr="00371143">
        <w:rPr>
          <w:lang w:val="ru-RU"/>
        </w:rPr>
        <w:t>Цифровое копирование и цифровое распространение в рамках</w:t>
      </w:r>
      <w:r w:rsidR="006A4825">
        <w:rPr>
          <w:lang w:val="ru-RU"/>
        </w:rPr>
        <w:t xml:space="preserve"> </w:t>
      </w:r>
      <w:r w:rsidR="006A4825" w:rsidRPr="006A4825">
        <w:rPr>
          <w:lang w:val="ru-RU"/>
        </w:rPr>
        <w:t>положени</w:t>
      </w:r>
      <w:r w:rsidR="006A4825">
        <w:rPr>
          <w:lang w:val="ru-RU"/>
        </w:rPr>
        <w:t>й</w:t>
      </w:r>
      <w:r w:rsidRPr="00371143">
        <w:rPr>
          <w:lang w:val="ru-RU"/>
        </w:rPr>
        <w:t xml:space="preserve"> Дополнительного раздела Бернской конвенции </w:t>
      </w:r>
    </w:p>
    <w:p w:rsidR="005E2E3E" w:rsidRPr="00371143" w:rsidRDefault="006A4825" w:rsidP="00746E45">
      <w:pPr>
        <w:rPr>
          <w:lang w:val="ru-RU"/>
        </w:rPr>
      </w:pPr>
      <w:r>
        <w:rPr>
          <w:lang w:val="ru-RU"/>
        </w:rPr>
        <w:t>Следует вкратце напомнить</w:t>
      </w:r>
      <w:r w:rsidR="00371143" w:rsidRPr="00371143">
        <w:rPr>
          <w:lang w:val="ru-RU"/>
        </w:rPr>
        <w:t xml:space="preserve">, что в предыдущем исследовании </w:t>
      </w:r>
      <w:r>
        <w:rPr>
          <w:lang w:val="ru-RU"/>
        </w:rPr>
        <w:t>были рассмотрены</w:t>
      </w:r>
      <w:r w:rsidR="00371143" w:rsidRPr="00371143">
        <w:rPr>
          <w:lang w:val="ru-RU"/>
        </w:rPr>
        <w:t xml:space="preserve"> различные положения национального законодательства об авторском праве, предусматривающие применение принудительных лицензий на перевод и воспроизведение материалов в образовательных целях, основанное на статьях </w:t>
      </w:r>
      <w:r w:rsidR="00371143" w:rsidRPr="00F93FDF">
        <w:t>III</w:t>
      </w:r>
      <w:r w:rsidR="00371143" w:rsidRPr="00371143">
        <w:rPr>
          <w:lang w:val="ru-RU"/>
        </w:rPr>
        <w:t xml:space="preserve"> и </w:t>
      </w:r>
      <w:r w:rsidR="00371143" w:rsidRPr="00F93FDF">
        <w:t>II</w:t>
      </w:r>
      <w:r w:rsidR="00371143" w:rsidRPr="00371143">
        <w:rPr>
          <w:lang w:val="ru-RU"/>
        </w:rPr>
        <w:t xml:space="preserve"> Приложения к Парижскому акту Бернской конвенции, соответственно. В частности, соответствующие разделы статей </w:t>
      </w:r>
      <w:r w:rsidR="00371143" w:rsidRPr="00F93FDF">
        <w:t>III</w:t>
      </w:r>
      <w:r w:rsidR="00371143" w:rsidRPr="00371143">
        <w:rPr>
          <w:lang w:val="ru-RU"/>
        </w:rPr>
        <w:t xml:space="preserve"> и </w:t>
      </w:r>
      <w:r w:rsidR="00371143" w:rsidRPr="00F93FDF">
        <w:t>II</w:t>
      </w:r>
      <w:r w:rsidR="00371143" w:rsidRPr="00371143">
        <w:rPr>
          <w:lang w:val="ru-RU"/>
        </w:rPr>
        <w:t xml:space="preserve"> гласят: </w:t>
      </w:r>
    </w:p>
    <w:p w:rsidR="005E2E3E" w:rsidRPr="00371143" w:rsidRDefault="00371143" w:rsidP="008D5223">
      <w:pPr>
        <w:pStyle w:val="Provision"/>
        <w:rPr>
          <w:lang w:val="ru-RU"/>
        </w:rPr>
      </w:pPr>
      <w:r w:rsidRPr="00371143">
        <w:rPr>
          <w:lang w:val="ru-RU"/>
        </w:rPr>
        <w:t xml:space="preserve">Статья </w:t>
      </w:r>
      <w:r w:rsidRPr="00F93FDF">
        <w:t>II</w:t>
      </w:r>
      <w:r w:rsidRPr="00371143">
        <w:rPr>
          <w:lang w:val="ru-RU"/>
        </w:rPr>
        <w:t xml:space="preserve"> </w:t>
      </w:r>
    </w:p>
    <w:p w:rsidR="005E2E3E" w:rsidRPr="00371143" w:rsidRDefault="00371143" w:rsidP="008D5223">
      <w:pPr>
        <w:pStyle w:val="Provision"/>
        <w:rPr>
          <w:lang w:val="ru-RU"/>
        </w:rPr>
      </w:pPr>
      <w:r w:rsidRPr="00371143">
        <w:rPr>
          <w:lang w:val="ru-RU"/>
        </w:rPr>
        <w:t xml:space="preserve">Ограничения права на перевод: </w:t>
      </w:r>
    </w:p>
    <w:p w:rsidR="005E2E3E" w:rsidRPr="00371143" w:rsidRDefault="00371143" w:rsidP="008D5223">
      <w:pPr>
        <w:pStyle w:val="Provision"/>
        <w:rPr>
          <w:lang w:val="ru-RU"/>
        </w:rPr>
      </w:pPr>
      <w:r w:rsidRPr="00371143">
        <w:rPr>
          <w:lang w:val="ru-RU"/>
        </w:rPr>
        <w:t>(2) а) С учетом пункта (3), если по истечении трехлетнего периода или любого более длительного периода,</w:t>
      </w:r>
      <w:r w:rsidR="009953C1">
        <w:rPr>
          <w:lang w:val="ru-RU"/>
        </w:rPr>
        <w:t xml:space="preserve"> </w:t>
      </w:r>
      <w:r w:rsidRPr="00371143">
        <w:rPr>
          <w:lang w:val="ru-RU"/>
        </w:rPr>
        <w:t xml:space="preserve">установленного национальным законодательством названной страны, исчисляемого с даты первого выпуска произведения в свет, перевод такого произведения не был выпущен в свет на языке, являющемся общеупотребимым в этой стране, лицом, обладающим правом на перевод, или с его разрешения, любой гражданин такой страны может получить лицензию </w:t>
      </w:r>
      <w:r w:rsidRPr="00371143">
        <w:rPr>
          <w:i/>
          <w:lang w:val="ru-RU"/>
        </w:rPr>
        <w:t>сделать перевод произведения на названный язык и выпустить в свет такой перевод в печатной или аналогичной форме воспроизведения</w:t>
      </w:r>
      <w:r w:rsidRPr="00371143">
        <w:rPr>
          <w:lang w:val="ru-RU"/>
        </w:rPr>
        <w:t xml:space="preserve">. </w:t>
      </w:r>
    </w:p>
    <w:p w:rsidR="005E2E3E" w:rsidRPr="00371143" w:rsidRDefault="005E2E3E" w:rsidP="008D5223">
      <w:pPr>
        <w:pStyle w:val="Provision"/>
        <w:rPr>
          <w:lang w:val="ru-RU"/>
        </w:rPr>
      </w:pPr>
    </w:p>
    <w:p w:rsidR="005E2E3E" w:rsidRPr="00371143" w:rsidRDefault="00371143" w:rsidP="008D5223">
      <w:pPr>
        <w:pStyle w:val="Provision"/>
        <w:rPr>
          <w:lang w:val="ru-RU"/>
        </w:rPr>
      </w:pPr>
      <w:r w:rsidRPr="00371143">
        <w:rPr>
          <w:lang w:val="ru-RU"/>
        </w:rPr>
        <w:t xml:space="preserve">Статья </w:t>
      </w:r>
      <w:r w:rsidRPr="00F93FDF">
        <w:t>III</w:t>
      </w:r>
      <w:r w:rsidRPr="00371143">
        <w:rPr>
          <w:lang w:val="ru-RU"/>
        </w:rPr>
        <w:t xml:space="preserve"> </w:t>
      </w:r>
    </w:p>
    <w:p w:rsidR="005E2E3E" w:rsidRPr="00371143" w:rsidRDefault="00371143" w:rsidP="008D5223">
      <w:pPr>
        <w:pStyle w:val="Provision"/>
        <w:rPr>
          <w:lang w:val="ru-RU"/>
        </w:rPr>
      </w:pPr>
      <w:r w:rsidRPr="00371143">
        <w:rPr>
          <w:lang w:val="ru-RU"/>
        </w:rPr>
        <w:t xml:space="preserve">Ограничение права на воспроизведение: </w:t>
      </w:r>
    </w:p>
    <w:p w:rsidR="005E2E3E" w:rsidRPr="00371143" w:rsidRDefault="00371143" w:rsidP="008D5223">
      <w:pPr>
        <w:pStyle w:val="Provision"/>
        <w:rPr>
          <w:lang w:val="ru-RU"/>
        </w:rPr>
      </w:pPr>
      <w:r w:rsidRPr="00371143">
        <w:rPr>
          <w:lang w:val="ru-RU"/>
        </w:rPr>
        <w:t xml:space="preserve">(2) а) Если в отношении произведения, к которому настоящая статья применяется в силу пункта (7) после истечения: </w:t>
      </w:r>
    </w:p>
    <w:p w:rsidR="005E2E3E" w:rsidRPr="00371143" w:rsidRDefault="00371143" w:rsidP="00414E28">
      <w:pPr>
        <w:pStyle w:val="Provision"/>
        <w:ind w:left="1440"/>
        <w:rPr>
          <w:lang w:val="ru-RU"/>
        </w:rPr>
      </w:pPr>
      <w:r w:rsidRPr="00371143">
        <w:rPr>
          <w:lang w:val="ru-RU"/>
        </w:rPr>
        <w:t>(</w:t>
      </w:r>
      <w:r w:rsidRPr="00F93FDF">
        <w:t>i</w:t>
      </w:r>
      <w:r w:rsidRPr="00371143">
        <w:rPr>
          <w:lang w:val="ru-RU"/>
        </w:rPr>
        <w:t xml:space="preserve">) соответствующего периода, определенного в пункте (3), начиная с даты первого выпуска в свет данного издания, или </w:t>
      </w:r>
    </w:p>
    <w:p w:rsidR="005E2E3E" w:rsidRPr="00371143" w:rsidRDefault="00371143" w:rsidP="00414E28">
      <w:pPr>
        <w:pStyle w:val="Provision"/>
        <w:ind w:left="1440"/>
        <w:rPr>
          <w:lang w:val="ru-RU"/>
        </w:rPr>
      </w:pPr>
      <w:r w:rsidRPr="00371143">
        <w:rPr>
          <w:lang w:val="ru-RU"/>
        </w:rPr>
        <w:t>(</w:t>
      </w:r>
      <w:r w:rsidRPr="00F93FDF">
        <w:t>ii</w:t>
      </w:r>
      <w:r w:rsidRPr="00371143">
        <w:rPr>
          <w:lang w:val="ru-RU"/>
        </w:rPr>
        <w:t xml:space="preserve">) любого более длительного периода, определенного национальным законодательством страны, упомянутой в пункте (1), начиная с той же самой даты; </w:t>
      </w:r>
    </w:p>
    <w:p w:rsidR="005E2E3E" w:rsidRPr="00371143" w:rsidRDefault="00371143" w:rsidP="008D5223">
      <w:pPr>
        <w:pStyle w:val="Provision"/>
        <w:rPr>
          <w:lang w:val="ru-RU"/>
        </w:rPr>
      </w:pPr>
      <w:r w:rsidRPr="00371143">
        <w:rPr>
          <w:lang w:val="ru-RU"/>
        </w:rPr>
        <w:t xml:space="preserve">экземпляры такого издания не были распространены в этой стране среди публики или в связи с систематическим обучением лицом, обладающим правом на воспроизведение, или с его разрешения по ценам, соответствующим тем, которые обычно устанавливаются в этом государстве для аналогичных произведений, любой гражданин такой страны может получить лицензию на </w:t>
      </w:r>
      <w:r w:rsidRPr="00371143">
        <w:rPr>
          <w:i/>
          <w:lang w:val="ru-RU"/>
        </w:rPr>
        <w:t>воспроизведение и на выпуск в свет такого издания</w:t>
      </w:r>
      <w:r w:rsidRPr="00371143">
        <w:rPr>
          <w:lang w:val="ru-RU"/>
        </w:rPr>
        <w:t xml:space="preserve"> по такой же или более низкой цене для использования в связи с систематическим обучением. </w:t>
      </w:r>
    </w:p>
    <w:p w:rsidR="005E2E3E" w:rsidRPr="00371143" w:rsidRDefault="00371143" w:rsidP="00746E45">
      <w:pPr>
        <w:rPr>
          <w:lang w:val="ru-RU"/>
        </w:rPr>
      </w:pPr>
      <w:r w:rsidRPr="00371143">
        <w:rPr>
          <w:lang w:val="ru-RU"/>
        </w:rPr>
        <w:t xml:space="preserve">В настоящем обновленном исследовании дополнительно рассматривается вопрос об объеме цифрового копирования и цифрового распространения произведений в рамках положений национального законодательства, имплементирующих статьи </w:t>
      </w:r>
      <w:r w:rsidRPr="00F93FDF">
        <w:t>II</w:t>
      </w:r>
      <w:r w:rsidRPr="00371143">
        <w:rPr>
          <w:lang w:val="ru-RU"/>
        </w:rPr>
        <w:t xml:space="preserve"> и </w:t>
      </w:r>
      <w:r w:rsidRPr="00F93FDF">
        <w:t>III</w:t>
      </w:r>
      <w:r w:rsidRPr="00371143">
        <w:rPr>
          <w:lang w:val="ru-RU"/>
        </w:rPr>
        <w:t xml:space="preserve"> Дополнительного раздела Бернской конвенции о принудительном лицензировании. </w:t>
      </w:r>
    </w:p>
    <w:p w:rsidR="005E2E3E" w:rsidRPr="00371143" w:rsidRDefault="00371143" w:rsidP="00746E45">
      <w:pPr>
        <w:rPr>
          <w:lang w:val="ru-RU"/>
        </w:rPr>
      </w:pPr>
      <w:r w:rsidRPr="0010213E">
        <w:rPr>
          <w:lang w:val="ru-RU"/>
        </w:rPr>
        <w:t xml:space="preserve">При </w:t>
      </w:r>
      <w:r w:rsidR="009953C1" w:rsidRPr="009953C1">
        <w:rPr>
          <w:lang w:val="ru-RU"/>
        </w:rPr>
        <w:t>рассмотрени</w:t>
      </w:r>
      <w:r w:rsidR="009953C1">
        <w:rPr>
          <w:lang w:val="ru-RU"/>
        </w:rPr>
        <w:t>и</w:t>
      </w:r>
      <w:r w:rsidRPr="0010213E">
        <w:rPr>
          <w:lang w:val="ru-RU"/>
        </w:rPr>
        <w:t xml:space="preserve"> этого вопроса, которое предполагает анализ национального законодательства государств-членов</w:t>
      </w:r>
      <w:r w:rsidR="009953C1">
        <w:rPr>
          <w:lang w:val="ru-RU"/>
        </w:rPr>
        <w:t xml:space="preserve"> по существу</w:t>
      </w:r>
      <w:r w:rsidRPr="0010213E">
        <w:rPr>
          <w:lang w:val="ru-RU"/>
        </w:rPr>
        <w:t xml:space="preserve">, </w:t>
      </w:r>
      <w:r w:rsidR="009953C1">
        <w:rPr>
          <w:lang w:val="ru-RU"/>
        </w:rPr>
        <w:t xml:space="preserve">принимаются во внимание </w:t>
      </w:r>
      <w:r w:rsidRPr="0010213E">
        <w:rPr>
          <w:lang w:val="ru-RU"/>
        </w:rPr>
        <w:t xml:space="preserve">исключительно определения, содержащиеся в авторско-правовом законодательстве государств-членов, для </w:t>
      </w:r>
      <w:r w:rsidR="009953C1" w:rsidRPr="009953C1">
        <w:rPr>
          <w:lang w:val="ru-RU"/>
        </w:rPr>
        <w:t>решени</w:t>
      </w:r>
      <w:r w:rsidR="009953C1">
        <w:rPr>
          <w:lang w:val="ru-RU"/>
        </w:rPr>
        <w:t xml:space="preserve">я </w:t>
      </w:r>
      <w:r w:rsidR="009953C1" w:rsidRPr="009953C1">
        <w:rPr>
          <w:lang w:val="ru-RU"/>
        </w:rPr>
        <w:t>вопрос</w:t>
      </w:r>
      <w:r w:rsidR="009953C1">
        <w:rPr>
          <w:lang w:val="ru-RU"/>
        </w:rPr>
        <w:t xml:space="preserve">а о сфере действия </w:t>
      </w:r>
      <w:r w:rsidRPr="0010213E">
        <w:rPr>
          <w:lang w:val="ru-RU"/>
        </w:rPr>
        <w:t>права на воспроизведение, права на публикацию и права на публичное распространение (</w:t>
      </w:r>
      <w:r w:rsidR="001858B0">
        <w:rPr>
          <w:lang w:val="ru-RU"/>
        </w:rPr>
        <w:t xml:space="preserve">и </w:t>
      </w:r>
      <w:r w:rsidRPr="0010213E">
        <w:rPr>
          <w:lang w:val="ru-RU"/>
        </w:rPr>
        <w:t>права на доведение произведения до всеобщего сведения</w:t>
      </w:r>
      <w:r>
        <w:rPr>
          <w:rStyle w:val="FootnoteReference"/>
        </w:rPr>
        <w:footnoteReference w:id="8"/>
      </w:r>
      <w:r w:rsidRPr="0010213E">
        <w:rPr>
          <w:lang w:val="ru-RU"/>
        </w:rPr>
        <w:t>)</w:t>
      </w:r>
      <w:r w:rsidR="005E2E3E" w:rsidRPr="00371143">
        <w:rPr>
          <w:lang w:val="ru-RU"/>
        </w:rPr>
        <w:t xml:space="preserve">, </w:t>
      </w:r>
      <w:r w:rsidR="001858B0">
        <w:rPr>
          <w:lang w:val="ru-RU"/>
        </w:rPr>
        <w:t>именуемого</w:t>
      </w:r>
      <w:r w:rsidRPr="00371143">
        <w:rPr>
          <w:lang w:val="ru-RU"/>
        </w:rPr>
        <w:t xml:space="preserve"> здесь правом на распространение. В настоящем обзоре определения рассматриваются </w:t>
      </w:r>
      <w:r w:rsidR="001858B0">
        <w:rPr>
          <w:lang w:val="ru-RU"/>
        </w:rPr>
        <w:t xml:space="preserve">для выяснения </w:t>
      </w:r>
      <w:r w:rsidRPr="00371143">
        <w:rPr>
          <w:lang w:val="ru-RU"/>
        </w:rPr>
        <w:t xml:space="preserve">того, </w:t>
      </w:r>
      <w:r w:rsidR="001858B0" w:rsidRPr="001858B0">
        <w:rPr>
          <w:lang w:val="ru-RU"/>
        </w:rPr>
        <w:t>действительн</w:t>
      </w:r>
      <w:r w:rsidR="001858B0">
        <w:rPr>
          <w:lang w:val="ru-RU"/>
        </w:rPr>
        <w:t xml:space="preserve">о ли </w:t>
      </w:r>
      <w:r w:rsidRPr="00371143">
        <w:rPr>
          <w:lang w:val="ru-RU"/>
        </w:rPr>
        <w:t xml:space="preserve">права, предусмотренные национальным законодательством, </w:t>
      </w:r>
      <w:r w:rsidR="001858B0">
        <w:rPr>
          <w:lang w:val="ru-RU"/>
        </w:rPr>
        <w:t xml:space="preserve">охватывают </w:t>
      </w:r>
      <w:r w:rsidRPr="00371143">
        <w:rPr>
          <w:lang w:val="ru-RU"/>
        </w:rPr>
        <w:t xml:space="preserve">цифровые </w:t>
      </w:r>
      <w:r w:rsidR="001858B0">
        <w:rPr>
          <w:lang w:val="ru-RU"/>
        </w:rPr>
        <w:t>копии</w:t>
      </w:r>
      <w:r w:rsidRPr="00371143">
        <w:rPr>
          <w:lang w:val="ru-RU"/>
        </w:rPr>
        <w:t>, цифровые публикации и распространение</w:t>
      </w:r>
      <w:r w:rsidR="001858B0">
        <w:rPr>
          <w:lang w:val="ru-RU"/>
        </w:rPr>
        <w:t xml:space="preserve"> в цифровой форме</w:t>
      </w:r>
      <w:r w:rsidRPr="00371143">
        <w:rPr>
          <w:lang w:val="ru-RU"/>
        </w:rPr>
        <w:t xml:space="preserve">. </w:t>
      </w:r>
    </w:p>
    <w:p w:rsidR="005E2E3E" w:rsidRPr="00371143" w:rsidRDefault="00371143" w:rsidP="00746E45">
      <w:pPr>
        <w:rPr>
          <w:lang w:val="ru-RU"/>
        </w:rPr>
      </w:pPr>
      <w:r w:rsidRPr="00371143">
        <w:rPr>
          <w:lang w:val="ru-RU"/>
        </w:rPr>
        <w:t xml:space="preserve">Автор </w:t>
      </w:r>
      <w:r w:rsidR="00DB62C1">
        <w:rPr>
          <w:lang w:val="ru-RU"/>
        </w:rPr>
        <w:t>понимает</w:t>
      </w:r>
      <w:r w:rsidRPr="00371143">
        <w:rPr>
          <w:lang w:val="ru-RU"/>
        </w:rPr>
        <w:t>, что выводы этого анализа нельзя считать</w:t>
      </w:r>
      <w:r w:rsidR="00DB62C1">
        <w:rPr>
          <w:lang w:val="ru-RU"/>
        </w:rPr>
        <w:t xml:space="preserve"> </w:t>
      </w:r>
      <w:r w:rsidRPr="00371143">
        <w:rPr>
          <w:lang w:val="ru-RU"/>
        </w:rPr>
        <w:t>окончательными, поскольку в тех условиях, в которых проводилось данное обновленное исследование, не было возможности запр</w:t>
      </w:r>
      <w:r w:rsidR="00DB62C1">
        <w:rPr>
          <w:lang w:val="ru-RU"/>
        </w:rPr>
        <w:t xml:space="preserve">осить </w:t>
      </w:r>
      <w:r w:rsidRPr="00371143">
        <w:rPr>
          <w:lang w:val="ru-RU"/>
        </w:rPr>
        <w:t>мнение юридических экспертов государств-членов. Ситуация также затрудня</w:t>
      </w:r>
      <w:r w:rsidR="00DB62C1">
        <w:rPr>
          <w:lang w:val="ru-RU"/>
        </w:rPr>
        <w:t xml:space="preserve">ется </w:t>
      </w:r>
      <w:r w:rsidRPr="00371143">
        <w:rPr>
          <w:lang w:val="ru-RU"/>
        </w:rPr>
        <w:t xml:space="preserve">тем, что </w:t>
      </w:r>
      <w:r w:rsidR="00DB62C1">
        <w:rPr>
          <w:lang w:val="ru-RU"/>
        </w:rPr>
        <w:t xml:space="preserve">нормы </w:t>
      </w:r>
      <w:r w:rsidRPr="00371143">
        <w:rPr>
          <w:lang w:val="ru-RU"/>
        </w:rPr>
        <w:t>национ</w:t>
      </w:r>
      <w:r w:rsidR="00DB62C1">
        <w:rPr>
          <w:lang w:val="ru-RU"/>
        </w:rPr>
        <w:t>ального законодательства отражаю</w:t>
      </w:r>
      <w:r w:rsidRPr="00371143">
        <w:rPr>
          <w:lang w:val="ru-RU"/>
        </w:rPr>
        <w:t xml:space="preserve">т </w:t>
      </w:r>
      <w:r w:rsidR="00DB62C1">
        <w:rPr>
          <w:lang w:val="ru-RU"/>
        </w:rPr>
        <w:t>отсутствие</w:t>
      </w:r>
      <w:r w:rsidRPr="00371143">
        <w:rPr>
          <w:lang w:val="ru-RU"/>
        </w:rPr>
        <w:t xml:space="preserve"> какой-либо международной гармонизации </w:t>
      </w:r>
      <w:r w:rsidR="00DB62C1" w:rsidRPr="00DB62C1">
        <w:rPr>
          <w:lang w:val="ru-RU"/>
        </w:rPr>
        <w:t>вопрос</w:t>
      </w:r>
      <w:r w:rsidR="00DB62C1">
        <w:rPr>
          <w:lang w:val="ru-RU"/>
        </w:rPr>
        <w:t xml:space="preserve">ов </w:t>
      </w:r>
      <w:r w:rsidR="00DB62C1" w:rsidRPr="00DB62C1">
        <w:rPr>
          <w:lang w:val="ru-RU"/>
        </w:rPr>
        <w:t>регулир</w:t>
      </w:r>
      <w:r w:rsidR="00DB62C1">
        <w:rPr>
          <w:lang w:val="ru-RU"/>
        </w:rPr>
        <w:t>ования цифровых прав</w:t>
      </w:r>
      <w:r w:rsidRPr="00371143">
        <w:rPr>
          <w:lang w:val="ru-RU"/>
        </w:rPr>
        <w:t>. Так, например, в одних государствах-членах право на распр</w:t>
      </w:r>
      <w:r w:rsidR="00DB62C1">
        <w:rPr>
          <w:lang w:val="ru-RU"/>
        </w:rPr>
        <w:t xml:space="preserve">еделение </w:t>
      </w:r>
      <w:r w:rsidRPr="00371143">
        <w:rPr>
          <w:lang w:val="ru-RU"/>
        </w:rPr>
        <w:t xml:space="preserve">подразумевает право на </w:t>
      </w:r>
      <w:r w:rsidR="00DB62C1" w:rsidRPr="00DB62C1">
        <w:rPr>
          <w:lang w:val="ru-RU"/>
        </w:rPr>
        <w:t>обращение</w:t>
      </w:r>
      <w:r w:rsidR="00DB62C1">
        <w:rPr>
          <w:lang w:val="ru-RU"/>
        </w:rPr>
        <w:t xml:space="preserve"> </w:t>
      </w:r>
      <w:r w:rsidRPr="00371143">
        <w:rPr>
          <w:lang w:val="ru-RU"/>
        </w:rPr>
        <w:t xml:space="preserve">копий произведений на материальных носителях, </w:t>
      </w:r>
      <w:r w:rsidR="00DB62C1" w:rsidRPr="00DB62C1">
        <w:rPr>
          <w:lang w:val="ru-RU"/>
        </w:rPr>
        <w:t>в то время как</w:t>
      </w:r>
      <w:r w:rsidR="00DB62C1">
        <w:rPr>
          <w:lang w:val="ru-RU"/>
        </w:rPr>
        <w:t xml:space="preserve"> </w:t>
      </w:r>
      <w:r w:rsidRPr="00371143">
        <w:rPr>
          <w:lang w:val="ru-RU"/>
        </w:rPr>
        <w:t>в других государствах-членах право на распр</w:t>
      </w:r>
      <w:r w:rsidR="00DB62C1">
        <w:rPr>
          <w:lang w:val="ru-RU"/>
        </w:rPr>
        <w:t xml:space="preserve">еделение </w:t>
      </w:r>
      <w:r w:rsidRPr="00371143">
        <w:rPr>
          <w:lang w:val="ru-RU"/>
        </w:rPr>
        <w:t xml:space="preserve">включает право на распространение и, соответственно, </w:t>
      </w:r>
      <w:r w:rsidR="00DB62C1" w:rsidRPr="00371143">
        <w:rPr>
          <w:lang w:val="ru-RU"/>
        </w:rPr>
        <w:t xml:space="preserve">подразумевает </w:t>
      </w:r>
      <w:r w:rsidR="00DB62C1" w:rsidRPr="00DB62C1">
        <w:rPr>
          <w:lang w:val="ru-RU"/>
        </w:rPr>
        <w:t>обращение</w:t>
      </w:r>
      <w:r w:rsidR="00DB62C1">
        <w:rPr>
          <w:lang w:val="ru-RU"/>
        </w:rPr>
        <w:t xml:space="preserve"> </w:t>
      </w:r>
      <w:r w:rsidRPr="00371143">
        <w:rPr>
          <w:lang w:val="ru-RU"/>
        </w:rPr>
        <w:t xml:space="preserve">и передачу произведений, </w:t>
      </w:r>
      <w:r w:rsidR="00DB62C1">
        <w:rPr>
          <w:lang w:val="ru-RU"/>
        </w:rPr>
        <w:t xml:space="preserve">но </w:t>
      </w:r>
      <w:r w:rsidRPr="00371143">
        <w:rPr>
          <w:lang w:val="ru-RU"/>
        </w:rPr>
        <w:t xml:space="preserve">не обязательно </w:t>
      </w:r>
      <w:r w:rsidR="00DB62C1" w:rsidRPr="00DB62C1">
        <w:rPr>
          <w:lang w:val="ru-RU"/>
        </w:rPr>
        <w:t>обращение</w:t>
      </w:r>
      <w:r w:rsidR="00DB62C1">
        <w:rPr>
          <w:lang w:val="ru-RU"/>
        </w:rPr>
        <w:t xml:space="preserve"> </w:t>
      </w:r>
      <w:r w:rsidRPr="00371143">
        <w:rPr>
          <w:lang w:val="ru-RU"/>
        </w:rPr>
        <w:t xml:space="preserve">копий на материальных носителях. Анализ данных вопросов дополнительно осложняется тем, что во многих государствах-членах определения </w:t>
      </w:r>
      <w:r w:rsidR="00DB62C1">
        <w:rPr>
          <w:lang w:val="ru-RU"/>
        </w:rPr>
        <w:t xml:space="preserve">правовых норм </w:t>
      </w:r>
      <w:r w:rsidRPr="00371143">
        <w:rPr>
          <w:lang w:val="ru-RU"/>
        </w:rPr>
        <w:t xml:space="preserve">имеют ограниченный характер или </w:t>
      </w:r>
      <w:r w:rsidR="00DB62C1">
        <w:rPr>
          <w:lang w:val="ru-RU"/>
        </w:rPr>
        <w:t xml:space="preserve">не </w:t>
      </w:r>
      <w:r w:rsidR="00A166B7" w:rsidRPr="00A166B7">
        <w:rPr>
          <w:lang w:val="ru-RU"/>
        </w:rPr>
        <w:t>содерж</w:t>
      </w:r>
      <w:r w:rsidR="00A166B7">
        <w:rPr>
          <w:lang w:val="ru-RU"/>
        </w:rPr>
        <w:t xml:space="preserve">ат </w:t>
      </w:r>
      <w:r w:rsidR="00DB62C1">
        <w:rPr>
          <w:lang w:val="ru-RU"/>
        </w:rPr>
        <w:t>упомин</w:t>
      </w:r>
      <w:r w:rsidR="00A166B7">
        <w:rPr>
          <w:lang w:val="ru-RU"/>
        </w:rPr>
        <w:t>аний цифровых носителей или цифровой передачи</w:t>
      </w:r>
      <w:r w:rsidRPr="00371143">
        <w:rPr>
          <w:lang w:val="ru-RU"/>
        </w:rPr>
        <w:t xml:space="preserve"> информации. </w:t>
      </w:r>
    </w:p>
    <w:p w:rsidR="005E2E3E" w:rsidRPr="00FB3BAD" w:rsidRDefault="00FB3BAD" w:rsidP="00746E45">
      <w:pPr>
        <w:rPr>
          <w:lang w:val="ru-RU"/>
        </w:rPr>
      </w:pPr>
      <w:r w:rsidRPr="00FB3BAD">
        <w:rPr>
          <w:lang w:val="ru-RU"/>
        </w:rPr>
        <w:t xml:space="preserve">Таким образом, автор исследования пытается решить эти вопросы </w:t>
      </w:r>
      <w:r w:rsidR="00A166B7" w:rsidRPr="00A166B7">
        <w:rPr>
          <w:lang w:val="ru-RU"/>
        </w:rPr>
        <w:t>в рамках</w:t>
      </w:r>
      <w:r w:rsidRPr="00FB3BAD">
        <w:rPr>
          <w:lang w:val="ru-RU"/>
        </w:rPr>
        <w:t xml:space="preserve"> довольно ограниченного и искусственного </w:t>
      </w:r>
      <w:r w:rsidR="00A166B7" w:rsidRPr="00A166B7">
        <w:rPr>
          <w:lang w:val="ru-RU"/>
        </w:rPr>
        <w:t>анализ</w:t>
      </w:r>
      <w:r w:rsidR="00A166B7">
        <w:rPr>
          <w:lang w:val="ru-RU"/>
        </w:rPr>
        <w:t>а</w:t>
      </w:r>
      <w:r w:rsidRPr="00FB3BAD">
        <w:rPr>
          <w:lang w:val="ru-RU"/>
        </w:rPr>
        <w:t xml:space="preserve"> </w:t>
      </w:r>
      <w:r w:rsidR="00A166B7">
        <w:rPr>
          <w:lang w:val="ru-RU"/>
        </w:rPr>
        <w:t xml:space="preserve">и </w:t>
      </w:r>
      <w:r w:rsidRPr="00FB3BAD">
        <w:rPr>
          <w:lang w:val="ru-RU"/>
        </w:rPr>
        <w:t>не имея возможности изучить мнения национальных экспертов</w:t>
      </w:r>
      <w:r w:rsidR="00FC3CDB">
        <w:rPr>
          <w:lang w:val="ru-RU"/>
        </w:rPr>
        <w:t>,</w:t>
      </w:r>
      <w:r w:rsidRPr="00FB3BAD">
        <w:rPr>
          <w:lang w:val="ru-RU"/>
        </w:rPr>
        <w:t xml:space="preserve"> и </w:t>
      </w:r>
      <w:r w:rsidR="00A166B7">
        <w:rPr>
          <w:lang w:val="ru-RU"/>
        </w:rPr>
        <w:t xml:space="preserve">обобщает </w:t>
      </w:r>
      <w:r w:rsidR="00A166B7" w:rsidRPr="00A166B7">
        <w:rPr>
          <w:lang w:val="ru-RU"/>
        </w:rPr>
        <w:t>возможн</w:t>
      </w:r>
      <w:r w:rsidR="00A166B7">
        <w:rPr>
          <w:lang w:val="ru-RU"/>
        </w:rPr>
        <w:t xml:space="preserve">ые </w:t>
      </w:r>
      <w:r w:rsidR="00A166B7" w:rsidRPr="00A166B7">
        <w:rPr>
          <w:lang w:val="ru-RU"/>
        </w:rPr>
        <w:t>ситуаци</w:t>
      </w:r>
      <w:r w:rsidR="00A166B7">
        <w:rPr>
          <w:lang w:val="ru-RU"/>
        </w:rPr>
        <w:t xml:space="preserve">и </w:t>
      </w:r>
      <w:r w:rsidR="00A166B7" w:rsidRPr="00FB3BAD">
        <w:rPr>
          <w:lang w:val="ru-RU"/>
        </w:rPr>
        <w:t xml:space="preserve">следующим </w:t>
      </w:r>
      <w:r w:rsidR="00A166B7">
        <w:rPr>
          <w:lang w:val="ru-RU"/>
        </w:rPr>
        <w:t>образом</w:t>
      </w:r>
      <w:r w:rsidRPr="00FB3BAD">
        <w:rPr>
          <w:lang w:val="ru-RU"/>
        </w:rPr>
        <w:t xml:space="preserve">: </w:t>
      </w:r>
    </w:p>
    <w:p w:rsidR="005E2E3E" w:rsidRPr="00FB3BAD" w:rsidRDefault="00FB3BAD" w:rsidP="00746E45">
      <w:pPr>
        <w:pStyle w:val="ListParagraph1"/>
        <w:numPr>
          <w:ilvl w:val="0"/>
          <w:numId w:val="3"/>
        </w:numPr>
        <w:rPr>
          <w:lang w:val="ru-RU"/>
        </w:rPr>
      </w:pPr>
      <w:r w:rsidRPr="00FB3BAD">
        <w:rPr>
          <w:lang w:val="ru-RU"/>
        </w:rPr>
        <w:t xml:space="preserve">воспроизведение, публикация или распространение </w:t>
      </w:r>
      <w:r w:rsidR="00FC3CDB">
        <w:rPr>
          <w:lang w:val="ru-RU"/>
        </w:rPr>
        <w:t>в цифровой форме</w:t>
      </w:r>
      <w:r w:rsidR="00A166B7">
        <w:rPr>
          <w:lang w:val="ru-RU"/>
        </w:rPr>
        <w:t xml:space="preserve"> допускается;</w:t>
      </w:r>
    </w:p>
    <w:p w:rsidR="005E2E3E" w:rsidRPr="00FB3BAD" w:rsidRDefault="00FB3BAD" w:rsidP="00746E45">
      <w:pPr>
        <w:pStyle w:val="ListParagraph1"/>
        <w:numPr>
          <w:ilvl w:val="0"/>
          <w:numId w:val="3"/>
        </w:numPr>
        <w:rPr>
          <w:lang w:val="ru-RU"/>
        </w:rPr>
      </w:pPr>
      <w:r w:rsidRPr="00FB3BAD">
        <w:rPr>
          <w:lang w:val="ru-RU"/>
        </w:rPr>
        <w:t xml:space="preserve">воспроизведение, публикация или распространение </w:t>
      </w:r>
      <w:r w:rsidR="00FC3CDB">
        <w:rPr>
          <w:lang w:val="ru-RU"/>
        </w:rPr>
        <w:t xml:space="preserve">в цифровой форме </w:t>
      </w:r>
      <w:r w:rsidR="00A166B7">
        <w:rPr>
          <w:lang w:val="ru-RU"/>
        </w:rPr>
        <w:t>не допускается;</w:t>
      </w:r>
    </w:p>
    <w:p w:rsidR="005E2E3E" w:rsidRPr="00FB3BAD" w:rsidRDefault="00A166B7" w:rsidP="00746E45">
      <w:pPr>
        <w:pStyle w:val="ListParagraph1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неочевидные </w:t>
      </w:r>
      <w:r w:rsidRPr="00A166B7">
        <w:rPr>
          <w:lang w:val="ru-RU"/>
        </w:rPr>
        <w:t>ситуаци</w:t>
      </w:r>
      <w:r>
        <w:rPr>
          <w:lang w:val="ru-RU"/>
        </w:rPr>
        <w:t xml:space="preserve">и, в </w:t>
      </w:r>
      <w:r w:rsidRPr="00A166B7">
        <w:rPr>
          <w:lang w:val="ru-RU"/>
        </w:rPr>
        <w:t>котор</w:t>
      </w:r>
      <w:r>
        <w:rPr>
          <w:lang w:val="ru-RU"/>
        </w:rPr>
        <w:t xml:space="preserve">ых </w:t>
      </w:r>
      <w:r w:rsidR="00FB3BAD" w:rsidRPr="00FB3BAD">
        <w:rPr>
          <w:lang w:val="ru-RU"/>
        </w:rPr>
        <w:t xml:space="preserve">воспроизведение, публикация или распространение </w:t>
      </w:r>
      <w:r w:rsidR="00FC3CDB">
        <w:rPr>
          <w:lang w:val="ru-RU"/>
        </w:rPr>
        <w:t>в цифровой форме</w:t>
      </w:r>
      <w:r>
        <w:rPr>
          <w:lang w:val="ru-RU"/>
        </w:rPr>
        <w:t xml:space="preserve">, </w:t>
      </w:r>
      <w:r w:rsidRPr="00A166B7">
        <w:rPr>
          <w:lang w:val="ru-RU"/>
        </w:rPr>
        <w:t>возможн</w:t>
      </w:r>
      <w:r>
        <w:rPr>
          <w:lang w:val="ru-RU"/>
        </w:rPr>
        <w:t>о, допускается</w:t>
      </w:r>
    </w:p>
    <w:p w:rsidR="005E2E3E" w:rsidRPr="00FB3BAD" w:rsidRDefault="00FB3BAD" w:rsidP="00746E45">
      <w:pPr>
        <w:rPr>
          <w:lang w:val="ru-RU"/>
        </w:rPr>
      </w:pPr>
      <w:r w:rsidRPr="00FB3BAD">
        <w:rPr>
          <w:lang w:val="ru-RU"/>
        </w:rPr>
        <w:t xml:space="preserve">Исследование показывает, что в целом положения о лицензировании, основанные на нормах Дополнительного раздела Бернской конвенции, по-видимому, могут применяться в отношении цифрового воспроизведения и цифровой публикации. Так, 31 положение (29 государств-членов) и 26 положений (24 государства-члена), касающееся лицензий на воспроизведение, определенно предусматривают возможность, соответственно, цифрового воспроизведения и цифровой публикации. Аналогичным образом, 35 положений (31 государство-член) и 32 положения (28 государств-членов), касающиеся лицензий на перевод, </w:t>
      </w:r>
      <w:r w:rsidR="00FC3CDB">
        <w:rPr>
          <w:lang w:val="ru-RU"/>
        </w:rPr>
        <w:t xml:space="preserve">определенно допускают </w:t>
      </w:r>
      <w:r w:rsidRPr="00FB3BAD">
        <w:rPr>
          <w:lang w:val="ru-RU"/>
        </w:rPr>
        <w:t xml:space="preserve">цифровое воспроизведение и цифровую публикацию, соответственно. Нормы, </w:t>
      </w:r>
      <w:r w:rsidR="00FC3CDB">
        <w:rPr>
          <w:lang w:val="ru-RU"/>
        </w:rPr>
        <w:t>допускающие</w:t>
      </w:r>
      <w:r w:rsidRPr="00FB3BAD">
        <w:rPr>
          <w:lang w:val="ru-RU"/>
        </w:rPr>
        <w:t xml:space="preserve"> цифровое воспроизведение или цифровую публикацию (16 положения 11 государств-членов и 23 положения 14 государств-членов, соответственно) неочевидным образом, составляют меньшинство, а чис</w:t>
      </w:r>
      <w:r w:rsidR="00FC3CDB">
        <w:rPr>
          <w:lang w:val="ru-RU"/>
        </w:rPr>
        <w:t>ло норм, не допускающих цифрового воспроизведения или публикации</w:t>
      </w:r>
      <w:r w:rsidRPr="00FB3BAD">
        <w:rPr>
          <w:lang w:val="ru-RU"/>
        </w:rPr>
        <w:t xml:space="preserve"> (8 положений 7 государств-членов и 9 положения 8 государств-членов, соответственно), еще меньше. </w:t>
      </w:r>
    </w:p>
    <w:p w:rsidR="005E2E3E" w:rsidRPr="00FB3BAD" w:rsidRDefault="00FB3BAD" w:rsidP="00746E45">
      <w:pPr>
        <w:rPr>
          <w:lang w:val="ru-RU"/>
        </w:rPr>
      </w:pPr>
      <w:r w:rsidRPr="00FB3BAD">
        <w:rPr>
          <w:lang w:val="ru-RU"/>
        </w:rPr>
        <w:t xml:space="preserve">Однако ситуация меняется в случае цифрового распространения, </w:t>
      </w:r>
      <w:r w:rsidR="00FC3CDB" w:rsidRPr="00FC3CDB">
        <w:rPr>
          <w:lang w:val="ru-RU"/>
        </w:rPr>
        <w:t xml:space="preserve">в связи с </w:t>
      </w:r>
      <w:r w:rsidR="00FC3CDB">
        <w:rPr>
          <w:lang w:val="ru-RU"/>
        </w:rPr>
        <w:t>которым</w:t>
      </w:r>
      <w:r w:rsidRPr="00FB3BAD">
        <w:rPr>
          <w:lang w:val="ru-RU"/>
        </w:rPr>
        <w:t xml:space="preserve"> нормы государств-членов о лицензировании, как представляется, не полностью </w:t>
      </w:r>
      <w:r w:rsidR="00FC3CDB">
        <w:rPr>
          <w:lang w:val="ru-RU"/>
        </w:rPr>
        <w:t xml:space="preserve">относятся к </w:t>
      </w:r>
      <w:r w:rsidRPr="00FB3BAD">
        <w:rPr>
          <w:lang w:val="ru-RU"/>
        </w:rPr>
        <w:t>ци</w:t>
      </w:r>
      <w:r w:rsidR="00FC3CDB">
        <w:rPr>
          <w:lang w:val="ru-RU"/>
        </w:rPr>
        <w:t xml:space="preserve">фровой форме </w:t>
      </w:r>
      <w:r w:rsidR="00FC3CDB" w:rsidRPr="00FC3CDB">
        <w:rPr>
          <w:lang w:val="ru-RU"/>
        </w:rPr>
        <w:t>распространен</w:t>
      </w:r>
      <w:r w:rsidR="00FC3CDB">
        <w:rPr>
          <w:lang w:val="ru-RU"/>
        </w:rPr>
        <w:t>ия</w:t>
      </w:r>
      <w:r w:rsidRPr="00FB3BAD">
        <w:rPr>
          <w:lang w:val="ru-RU"/>
        </w:rPr>
        <w:t xml:space="preserve">. Только 6 положений (6 государств-членов) и 5 положений (4 государства-члена) допускают цифровое распространение </w:t>
      </w:r>
      <w:r w:rsidR="00FC3CDB" w:rsidRPr="00FC3CDB">
        <w:rPr>
          <w:lang w:val="ru-RU"/>
        </w:rPr>
        <w:t xml:space="preserve">в отношении </w:t>
      </w:r>
      <w:r w:rsidRPr="00FB3BAD">
        <w:rPr>
          <w:lang w:val="ru-RU"/>
        </w:rPr>
        <w:t>лицензий на</w:t>
      </w:r>
      <w:r w:rsidR="00BC1CCE">
        <w:rPr>
          <w:lang w:val="ru-RU"/>
        </w:rPr>
        <w:t xml:space="preserve">, </w:t>
      </w:r>
      <w:r w:rsidR="00BC1CCE" w:rsidRPr="00FB3BAD">
        <w:rPr>
          <w:lang w:val="ru-RU"/>
        </w:rPr>
        <w:t>соответственно</w:t>
      </w:r>
      <w:r w:rsidR="00BC1CCE">
        <w:rPr>
          <w:lang w:val="ru-RU"/>
        </w:rPr>
        <w:t>,</w:t>
      </w:r>
      <w:r w:rsidRPr="00FB3BAD">
        <w:rPr>
          <w:lang w:val="ru-RU"/>
        </w:rPr>
        <w:t xml:space="preserve"> воспроизведение и перевод. Большинство положений (28 положений 26 государств-членов и 38 положений 32 государств-членов</w:t>
      </w:r>
      <w:r w:rsidR="00BC1CCE">
        <w:rPr>
          <w:lang w:val="ru-RU"/>
        </w:rPr>
        <w:t xml:space="preserve">, </w:t>
      </w:r>
      <w:r w:rsidR="00BC1CCE" w:rsidRPr="00FB3BAD">
        <w:rPr>
          <w:lang w:val="ru-RU"/>
        </w:rPr>
        <w:t>соответственно</w:t>
      </w:r>
      <w:r w:rsidRPr="00FB3BAD">
        <w:rPr>
          <w:lang w:val="ru-RU"/>
        </w:rPr>
        <w:t>) не предусматривают цифровое распространение для соответствующих лицензий на</w:t>
      </w:r>
      <w:r w:rsidR="00FC3CDB">
        <w:rPr>
          <w:lang w:val="ru-RU"/>
        </w:rPr>
        <w:t>,</w:t>
      </w:r>
      <w:r w:rsidRPr="00FB3BAD">
        <w:rPr>
          <w:lang w:val="ru-RU"/>
        </w:rPr>
        <w:t xml:space="preserve"> соответственно</w:t>
      </w:r>
      <w:r w:rsidR="00FC3CDB">
        <w:rPr>
          <w:lang w:val="ru-RU"/>
        </w:rPr>
        <w:t xml:space="preserve">, </w:t>
      </w:r>
      <w:r w:rsidR="00FC3CDB" w:rsidRPr="00FB3BAD">
        <w:rPr>
          <w:lang w:val="ru-RU"/>
        </w:rPr>
        <w:t>воспроизведение и перевод</w:t>
      </w:r>
      <w:r w:rsidRPr="00FB3BAD">
        <w:rPr>
          <w:lang w:val="ru-RU"/>
        </w:rPr>
        <w:t xml:space="preserve">. </w:t>
      </w:r>
    </w:p>
    <w:p w:rsidR="005E2E3E" w:rsidRPr="00FB3BAD" w:rsidRDefault="00FB3BAD" w:rsidP="00746E45">
      <w:pPr>
        <w:pStyle w:val="Heading2"/>
        <w:rPr>
          <w:lang w:val="ru-RU"/>
        </w:rPr>
      </w:pPr>
      <w:r w:rsidRPr="00FB3BAD">
        <w:rPr>
          <w:lang w:val="ru-RU"/>
        </w:rPr>
        <w:t xml:space="preserve">Гибкие возможности, ограничения или исключения в отношении </w:t>
      </w:r>
      <w:bookmarkStart w:id="1" w:name="c"/>
      <w:r w:rsidR="00A166B7">
        <w:rPr>
          <w:lang w:val="ru-RU"/>
        </w:rPr>
        <w:t>ТСЗ</w:t>
      </w:r>
      <w:bookmarkEnd w:id="1"/>
      <w:r w:rsidRPr="00FB3BAD">
        <w:rPr>
          <w:lang w:val="ru-RU"/>
        </w:rPr>
        <w:t xml:space="preserve">/ИУП, предназначенные для образовательных целей </w:t>
      </w:r>
    </w:p>
    <w:p w:rsidR="005E2E3E" w:rsidRPr="00FB3BAD" w:rsidRDefault="00FB3BAD" w:rsidP="00F16BBF">
      <w:pPr>
        <w:rPr>
          <w:lang w:val="ru-RU"/>
        </w:rPr>
      </w:pPr>
      <w:r w:rsidRPr="00FB3BAD">
        <w:rPr>
          <w:lang w:val="ru-RU"/>
        </w:rPr>
        <w:t>Со времени проведения исследования в 2016</w:t>
      </w:r>
      <w:r w:rsidRPr="00F93FDF">
        <w:t> </w:t>
      </w:r>
      <w:r w:rsidRPr="00FB3BAD">
        <w:rPr>
          <w:lang w:val="ru-RU"/>
        </w:rPr>
        <w:t xml:space="preserve">г. к ДАП и ДИФ присоединились новые члены. В </w:t>
      </w:r>
      <w:r w:rsidR="00BC1CCE" w:rsidRPr="00BC1CCE">
        <w:rPr>
          <w:lang w:val="ru-RU"/>
        </w:rPr>
        <w:t>настоящ</w:t>
      </w:r>
      <w:r w:rsidR="00BC1CCE">
        <w:rPr>
          <w:lang w:val="ru-RU"/>
        </w:rPr>
        <w:t xml:space="preserve">ем </w:t>
      </w:r>
      <w:r w:rsidRPr="00FB3BAD">
        <w:rPr>
          <w:lang w:val="ru-RU"/>
        </w:rPr>
        <w:t xml:space="preserve">обновленном исследовании дается обзор национального законодательства этих новых членов и учитываются результаты этого обзора. </w:t>
      </w:r>
    </w:p>
    <w:p w:rsidR="005E2E3E" w:rsidRPr="00FB3BAD" w:rsidRDefault="00FB3BAD" w:rsidP="00746E45">
      <w:pPr>
        <w:rPr>
          <w:lang w:val="ru-RU"/>
        </w:rPr>
      </w:pPr>
      <w:r w:rsidRPr="00FB3BAD">
        <w:rPr>
          <w:lang w:val="ru-RU"/>
        </w:rPr>
        <w:t xml:space="preserve">63 государства-члена (33,3 процента) приняли 124 положения, предусматривающие гибкие возможности, ограничения или исключения, касающиеся </w:t>
      </w:r>
      <w:r w:rsidR="00BC1CCE" w:rsidRPr="00BC1CCE">
        <w:rPr>
          <w:lang w:val="ru-RU"/>
        </w:rPr>
        <w:t>защит</w:t>
      </w:r>
      <w:r w:rsidR="00BC1CCE">
        <w:rPr>
          <w:lang w:val="ru-RU"/>
        </w:rPr>
        <w:t xml:space="preserve">ы </w:t>
      </w:r>
      <w:r w:rsidR="00BC1CCE" w:rsidRPr="00BC1CCE">
        <w:rPr>
          <w:lang w:val="ru-RU"/>
        </w:rPr>
        <w:t xml:space="preserve">при помощи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/ИУП </w:t>
      </w:r>
      <w:r w:rsidR="00BC1CCE">
        <w:rPr>
          <w:lang w:val="ru-RU"/>
        </w:rPr>
        <w:t xml:space="preserve">и </w:t>
      </w:r>
      <w:r w:rsidRPr="00FB3BAD">
        <w:rPr>
          <w:lang w:val="ru-RU"/>
        </w:rPr>
        <w:t xml:space="preserve">применяемые в образовательных целях. 48 из этих государств-членов ратифицировали ДАП и ДИФ или присоединились к ним. В связи с этим интересно </w:t>
      </w:r>
      <w:r w:rsidR="00BC1CCE">
        <w:rPr>
          <w:lang w:val="ru-RU"/>
        </w:rPr>
        <w:t>отметить</w:t>
      </w:r>
      <w:r w:rsidR="00BC1CCE" w:rsidRPr="00BC1CCE">
        <w:rPr>
          <w:lang w:val="ru-RU"/>
        </w:rPr>
        <w:t xml:space="preserve">, что </w:t>
      </w:r>
      <w:r w:rsidRPr="00FB3BAD">
        <w:rPr>
          <w:lang w:val="ru-RU"/>
        </w:rPr>
        <w:t xml:space="preserve">15 государств-членов, </w:t>
      </w:r>
      <w:r w:rsidR="00BC1CCE">
        <w:rPr>
          <w:lang w:val="ru-RU"/>
        </w:rPr>
        <w:t>не являющиеся</w:t>
      </w:r>
      <w:r w:rsidRPr="00FB3BAD">
        <w:rPr>
          <w:lang w:val="ru-RU"/>
        </w:rPr>
        <w:t xml:space="preserve"> участниками ДАП и ДИФ, предусматривают</w:t>
      </w:r>
      <w:r w:rsidR="00BC1CCE">
        <w:rPr>
          <w:lang w:val="ru-RU"/>
        </w:rPr>
        <w:t>,</w:t>
      </w:r>
      <w:r w:rsidRPr="00FB3BAD">
        <w:rPr>
          <w:lang w:val="ru-RU"/>
        </w:rPr>
        <w:t xml:space="preserve"> </w:t>
      </w:r>
      <w:r w:rsidR="00BC1CCE" w:rsidRPr="00FB3BAD">
        <w:rPr>
          <w:lang w:val="ru-RU"/>
        </w:rPr>
        <w:t>тем не менее, в своем национальном законодательстве</w:t>
      </w:r>
      <w:r w:rsidR="00BC1CCE">
        <w:rPr>
          <w:lang w:val="ru-RU"/>
        </w:rPr>
        <w:t xml:space="preserve"> </w:t>
      </w:r>
      <w:r w:rsidRPr="00FB3BAD">
        <w:rPr>
          <w:lang w:val="ru-RU"/>
        </w:rPr>
        <w:t>такие гибкие возможно</w:t>
      </w:r>
      <w:r w:rsidR="00BC1CCE">
        <w:rPr>
          <w:lang w:val="ru-RU"/>
        </w:rPr>
        <w:t>сти, ограничения или исключения</w:t>
      </w:r>
      <w:r w:rsidRPr="00FB3BAD">
        <w:rPr>
          <w:lang w:val="ru-RU"/>
        </w:rPr>
        <w:t xml:space="preserve">. </w:t>
      </w:r>
    </w:p>
    <w:p w:rsidR="005E2E3E" w:rsidRPr="00FB3BAD" w:rsidRDefault="00FB3BAD" w:rsidP="00746E45">
      <w:pPr>
        <w:rPr>
          <w:lang w:val="ru-RU"/>
        </w:rPr>
      </w:pPr>
      <w:r w:rsidRPr="0010213E">
        <w:rPr>
          <w:lang w:val="ru-RU"/>
        </w:rPr>
        <w:t xml:space="preserve">105 из 124 таких положений 59 государств-членов касаются гибких возможностей, ограничений или исключений в отношении защиты при помощи </w:t>
      </w:r>
      <w:r w:rsidR="00A166B7">
        <w:rPr>
          <w:lang w:val="ru-RU"/>
        </w:rPr>
        <w:t>ТСЗ</w:t>
      </w:r>
      <w:r w:rsidRPr="0010213E">
        <w:rPr>
          <w:lang w:val="ru-RU"/>
        </w:rPr>
        <w:t xml:space="preserve">, призванных содействовать образовательной деятельности. 46 из этих 59 </w:t>
      </w:r>
      <w:r w:rsidR="00BC1CCE" w:rsidRPr="00BC1CCE">
        <w:rPr>
          <w:lang w:val="ru-RU"/>
        </w:rPr>
        <w:t>государств-членов</w:t>
      </w:r>
      <w:r w:rsidR="00BC1CCE">
        <w:rPr>
          <w:lang w:val="ru-RU"/>
        </w:rPr>
        <w:t xml:space="preserve"> </w:t>
      </w:r>
      <w:r w:rsidRPr="0010213E">
        <w:rPr>
          <w:lang w:val="ru-RU"/>
        </w:rPr>
        <w:t>также являются участниками ДАП и ДИФ. С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другой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стороны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имеется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только</w:t>
      </w:r>
      <w:r w:rsidRPr="00FB3BAD">
        <w:rPr>
          <w:lang w:val="ru-RU"/>
        </w:rPr>
        <w:t xml:space="preserve"> 16 </w:t>
      </w:r>
      <w:r w:rsidRPr="0010213E">
        <w:rPr>
          <w:lang w:val="ru-RU"/>
        </w:rPr>
        <w:t>положений</w:t>
      </w:r>
      <w:r w:rsidR="005E2E3E">
        <w:rPr>
          <w:rStyle w:val="FootnoteReference"/>
        </w:rPr>
        <w:footnoteReference w:id="9"/>
      </w:r>
      <w:r w:rsidR="005E2E3E" w:rsidRPr="00FB3BAD">
        <w:rPr>
          <w:lang w:val="ru-RU"/>
        </w:rPr>
        <w:t xml:space="preserve"> </w:t>
      </w:r>
      <w:r w:rsidRPr="0010213E">
        <w:rPr>
          <w:lang w:val="ru-RU"/>
        </w:rPr>
        <w:t xml:space="preserve">в 14 государствах-членах, которые допускают удаление и </w:t>
      </w:r>
      <w:r w:rsidR="00BC1CCE">
        <w:rPr>
          <w:lang w:val="ru-RU"/>
        </w:rPr>
        <w:t xml:space="preserve">модификацию </w:t>
      </w:r>
      <w:r w:rsidRPr="0010213E">
        <w:rPr>
          <w:lang w:val="ru-RU"/>
        </w:rPr>
        <w:t xml:space="preserve">ИУП в образовательных целях. 11 из этих 14 государств-членов также являются участниками ДАП и ДИФ. Вопрос об участии этих государств-членов в ДАП/ДИФ важен, поскольку эти государства-члены не только предусмотрели гибкие возможности, ограничения или исключения в отношении </w:t>
      </w:r>
      <w:r w:rsidR="00A166B7">
        <w:rPr>
          <w:lang w:val="ru-RU"/>
        </w:rPr>
        <w:t>ТСЗ</w:t>
      </w:r>
      <w:r w:rsidRPr="0010213E">
        <w:rPr>
          <w:lang w:val="ru-RU"/>
        </w:rPr>
        <w:t xml:space="preserve"> или ИУП, но сделали это именно для содействия образовательной деятельности, </w:t>
      </w:r>
      <w:r w:rsidR="00BC1CCE">
        <w:rPr>
          <w:lang w:val="ru-RU"/>
        </w:rPr>
        <w:t xml:space="preserve">хотя </w:t>
      </w:r>
      <w:r w:rsidRPr="0010213E">
        <w:rPr>
          <w:lang w:val="ru-RU"/>
        </w:rPr>
        <w:t>ДАП и ДИФ</w:t>
      </w:r>
      <w:r w:rsidR="00BC1CCE">
        <w:rPr>
          <w:lang w:val="ru-RU"/>
        </w:rPr>
        <w:t xml:space="preserve"> не устанавливают определенных</w:t>
      </w:r>
      <w:r w:rsidRPr="0010213E">
        <w:rPr>
          <w:lang w:val="ru-RU"/>
        </w:rPr>
        <w:t xml:space="preserve"> обяза</w:t>
      </w:r>
      <w:r w:rsidR="00BC1CCE">
        <w:rPr>
          <w:lang w:val="ru-RU"/>
        </w:rPr>
        <w:t>тельства по принятию таких мер.</w:t>
      </w:r>
    </w:p>
    <w:p w:rsidR="005E2E3E" w:rsidRPr="00FB3BAD" w:rsidRDefault="00FB3BAD" w:rsidP="00746E45">
      <w:pPr>
        <w:rPr>
          <w:lang w:val="ru-RU"/>
        </w:rPr>
      </w:pPr>
      <w:r w:rsidRPr="0010213E">
        <w:rPr>
          <w:lang w:val="ru-RU"/>
        </w:rPr>
        <w:t>Это отчасти подтверждается анализом числа таких гибких возможностей, ограничений или исключений, принятых государствами-членами ВОИС. Среднее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число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таких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положений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на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одно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государство</w:t>
      </w:r>
      <w:r w:rsidRPr="00FB3BAD">
        <w:rPr>
          <w:lang w:val="ru-RU"/>
        </w:rPr>
        <w:t>-</w:t>
      </w:r>
      <w:r w:rsidRPr="0010213E">
        <w:rPr>
          <w:lang w:val="ru-RU"/>
        </w:rPr>
        <w:t>член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составляет</w:t>
      </w:r>
      <w:r w:rsidRPr="00FB3BAD">
        <w:rPr>
          <w:lang w:val="ru-RU"/>
        </w:rPr>
        <w:t xml:space="preserve"> 0,66</w:t>
      </w:r>
      <w:r w:rsidR="005E2E3E">
        <w:rPr>
          <w:rStyle w:val="FootnoteReference"/>
        </w:rPr>
        <w:footnoteReference w:id="10"/>
      </w:r>
      <w:r w:rsidRPr="00FB3BAD">
        <w:rPr>
          <w:lang w:val="ru-RU"/>
        </w:rPr>
        <w:t>,</w:t>
      </w:r>
      <w:r w:rsidR="005E2E3E" w:rsidRPr="00FB3BAD">
        <w:rPr>
          <w:lang w:val="ru-RU"/>
        </w:rPr>
        <w:t xml:space="preserve"> </w:t>
      </w:r>
      <w:r w:rsidRPr="0010213E">
        <w:rPr>
          <w:lang w:val="ru-RU"/>
        </w:rPr>
        <w:t xml:space="preserve">что говорит о низком уровне использования таких гибких возможностей, ограничений и исключений государствами-членами ВОИС. Однако </w:t>
      </w:r>
      <w:r w:rsidR="00DE2818">
        <w:rPr>
          <w:lang w:val="ru-RU"/>
        </w:rPr>
        <w:t xml:space="preserve">у </w:t>
      </w:r>
      <w:r w:rsidRPr="0010213E">
        <w:rPr>
          <w:lang w:val="ru-RU"/>
        </w:rPr>
        <w:t xml:space="preserve">государств-членов, принявших такие положения, </w:t>
      </w:r>
      <w:r w:rsidR="00DE2818">
        <w:rPr>
          <w:lang w:val="ru-RU"/>
        </w:rPr>
        <w:t xml:space="preserve">их </w:t>
      </w:r>
      <w:r w:rsidRPr="0010213E">
        <w:rPr>
          <w:lang w:val="ru-RU"/>
        </w:rPr>
        <w:t>среднее число возрастает до 1,97</w:t>
      </w:r>
      <w:r w:rsidR="005E2E3E">
        <w:rPr>
          <w:rStyle w:val="FootnoteReference"/>
        </w:rPr>
        <w:footnoteReference w:id="11"/>
      </w:r>
      <w:r w:rsidRPr="00FB3BAD">
        <w:rPr>
          <w:lang w:val="ru-RU"/>
        </w:rPr>
        <w:t>.</w:t>
      </w:r>
      <w:r w:rsidR="005E2E3E" w:rsidRPr="00FB3BAD">
        <w:rPr>
          <w:lang w:val="ru-RU"/>
        </w:rPr>
        <w:t xml:space="preserve"> </w:t>
      </w:r>
      <w:r w:rsidRPr="00FB3BAD">
        <w:rPr>
          <w:lang w:val="ru-RU"/>
        </w:rPr>
        <w:t xml:space="preserve">Иными словами, государства-члены, которые предусмотрели гибкие возможности, ограничения или исключения в отношении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 или ИУП </w:t>
      </w:r>
      <w:r w:rsidR="00DE2818">
        <w:rPr>
          <w:lang w:val="ru-RU"/>
        </w:rPr>
        <w:t xml:space="preserve">для </w:t>
      </w:r>
      <w:r w:rsidRPr="00FB3BAD">
        <w:rPr>
          <w:lang w:val="ru-RU"/>
        </w:rPr>
        <w:t xml:space="preserve">содействия образовательной деятельности, сочли необходимым </w:t>
      </w:r>
      <w:r w:rsidR="00DE2818">
        <w:rPr>
          <w:lang w:val="ru-RU"/>
        </w:rPr>
        <w:t>предусмотреть в среднем две</w:t>
      </w:r>
      <w:r w:rsidR="00DE2818" w:rsidRPr="00FB3BAD">
        <w:rPr>
          <w:lang w:val="ru-RU"/>
        </w:rPr>
        <w:t xml:space="preserve"> </w:t>
      </w:r>
      <w:r w:rsidRPr="00FB3BAD">
        <w:rPr>
          <w:lang w:val="ru-RU"/>
        </w:rPr>
        <w:t xml:space="preserve">такие гибкие возможности, ограничения или исключения </w:t>
      </w:r>
      <w:r w:rsidR="00DE2818">
        <w:rPr>
          <w:lang w:val="ru-RU"/>
        </w:rPr>
        <w:t xml:space="preserve">в расчете </w:t>
      </w:r>
      <w:r w:rsidRPr="00FB3BAD">
        <w:rPr>
          <w:lang w:val="ru-RU"/>
        </w:rPr>
        <w:t xml:space="preserve">на одно государство-член. </w:t>
      </w:r>
    </w:p>
    <w:p w:rsidR="005E2E3E" w:rsidRPr="00FB3BAD" w:rsidRDefault="00FB3BAD" w:rsidP="00746E45">
      <w:pPr>
        <w:rPr>
          <w:lang w:val="ru-RU"/>
        </w:rPr>
      </w:pPr>
      <w:r w:rsidRPr="00FB3BAD">
        <w:rPr>
          <w:lang w:val="ru-RU"/>
        </w:rPr>
        <w:t xml:space="preserve">Если ограничить анализ только теми положениями, которые предусматривают </w:t>
      </w:r>
      <w:r w:rsidR="00DE2818">
        <w:rPr>
          <w:lang w:val="ru-RU"/>
        </w:rPr>
        <w:t xml:space="preserve">четкие </w:t>
      </w:r>
      <w:r w:rsidRPr="00FB3BAD">
        <w:rPr>
          <w:lang w:val="ru-RU"/>
        </w:rPr>
        <w:t xml:space="preserve">исключения </w:t>
      </w:r>
      <w:r w:rsidR="00DE2818">
        <w:rPr>
          <w:lang w:val="ru-RU"/>
        </w:rPr>
        <w:t xml:space="preserve">из </w:t>
      </w:r>
      <w:r w:rsidR="00DE2818" w:rsidRPr="00DE2818">
        <w:rPr>
          <w:snapToGrid w:val="0"/>
          <w:lang w:val="ru-RU"/>
        </w:rPr>
        <w:t>применени</w:t>
      </w:r>
      <w:r w:rsidR="00DE2818">
        <w:rPr>
          <w:lang w:val="ru-RU"/>
        </w:rPr>
        <w:t xml:space="preserve">я </w:t>
      </w:r>
      <w:r w:rsidR="00DE2818" w:rsidRPr="00DE2818">
        <w:rPr>
          <w:lang w:val="ru-RU"/>
        </w:rPr>
        <w:t xml:space="preserve">защиты при помощи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, среднее число таких </w:t>
      </w:r>
      <w:r w:rsidR="00DE2818">
        <w:rPr>
          <w:lang w:val="ru-RU"/>
        </w:rPr>
        <w:t xml:space="preserve">норм </w:t>
      </w:r>
      <w:r w:rsidRPr="00FB3BAD">
        <w:rPr>
          <w:lang w:val="ru-RU"/>
        </w:rPr>
        <w:t xml:space="preserve">на одно государство-член составляет 1,76 (стандартное отклонение-1,36, медиана-1). Интересно, что </w:t>
      </w:r>
      <w:r w:rsidR="008B12B7">
        <w:rPr>
          <w:lang w:val="ru-RU"/>
        </w:rPr>
        <w:t xml:space="preserve">если </w:t>
      </w:r>
      <w:r w:rsidRPr="00FB3BAD">
        <w:rPr>
          <w:lang w:val="ru-RU"/>
        </w:rPr>
        <w:t>огранич</w:t>
      </w:r>
      <w:r w:rsidR="008B12B7">
        <w:rPr>
          <w:lang w:val="ru-RU"/>
        </w:rPr>
        <w:t xml:space="preserve">ить сферу </w:t>
      </w:r>
      <w:r w:rsidRPr="00FB3BAD">
        <w:rPr>
          <w:lang w:val="ru-RU"/>
        </w:rPr>
        <w:t xml:space="preserve">анализа только </w:t>
      </w:r>
      <w:r w:rsidR="008B12B7">
        <w:rPr>
          <w:lang w:val="ru-RU"/>
        </w:rPr>
        <w:t>нормами</w:t>
      </w:r>
      <w:r w:rsidRPr="00FB3BAD">
        <w:rPr>
          <w:lang w:val="ru-RU"/>
        </w:rPr>
        <w:t xml:space="preserve">, принятыми государствами-членами ВОИС, являющимися также участниками ДАП или ДИФ, </w:t>
      </w:r>
      <w:r w:rsidR="008B12B7">
        <w:rPr>
          <w:lang w:val="ru-RU"/>
        </w:rPr>
        <w:t xml:space="preserve">это </w:t>
      </w:r>
      <w:r w:rsidRPr="00FB3BAD">
        <w:rPr>
          <w:lang w:val="ru-RU"/>
        </w:rPr>
        <w:t xml:space="preserve">никак не меняет вышеупомянутую статистическую картину. Это убедительно </w:t>
      </w:r>
      <w:r w:rsidR="008B12B7">
        <w:rPr>
          <w:lang w:val="ru-RU"/>
        </w:rPr>
        <w:t xml:space="preserve">говорит </w:t>
      </w:r>
      <w:r w:rsidRPr="00FB3BAD">
        <w:rPr>
          <w:lang w:val="ru-RU"/>
        </w:rPr>
        <w:t>о том, что государства-члены считают полезным ввести в свое законодательство по крайней мере одну гибкую возможность, ограничение или исключение (</w:t>
      </w:r>
      <w:r w:rsidR="008B12B7">
        <w:rPr>
          <w:lang w:val="ru-RU"/>
        </w:rPr>
        <w:t xml:space="preserve">для содействия </w:t>
      </w:r>
      <w:r w:rsidRPr="00FB3BAD">
        <w:rPr>
          <w:lang w:val="ru-RU"/>
        </w:rPr>
        <w:t xml:space="preserve">образовательной деятельности) в отношении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, и что такие меры принимаются независимо от участия государств-членов в ДАП или ДИФ. </w:t>
      </w:r>
    </w:p>
    <w:p w:rsidR="005E2E3E" w:rsidRPr="00FB3BAD" w:rsidRDefault="00FB3BAD" w:rsidP="00746E45">
      <w:pPr>
        <w:rPr>
          <w:lang w:val="ru-RU"/>
        </w:rPr>
      </w:pPr>
      <w:r w:rsidRPr="00FB3BAD">
        <w:rPr>
          <w:lang w:val="ru-RU"/>
        </w:rPr>
        <w:t xml:space="preserve">В </w:t>
      </w:r>
      <w:r w:rsidR="008B12B7">
        <w:rPr>
          <w:lang w:val="ru-RU"/>
        </w:rPr>
        <w:t xml:space="preserve">таких </w:t>
      </w:r>
      <w:r w:rsidRPr="00FB3BAD">
        <w:rPr>
          <w:lang w:val="ru-RU"/>
        </w:rPr>
        <w:t xml:space="preserve">положениях указываются следующие цели гибких возможностей, ограничений и исключений: обучение (7 положений), частное или личное использование (5 положений), решения о закупках товаров и услуг для образовательных нужд (11 положений), научные исследования в области шифрования (18 положений), тестирование систем безопасности (17 положений), эксплуатационная совместимость (9 положений), </w:t>
      </w:r>
      <w:r w:rsidR="008B12B7" w:rsidRPr="008B12B7">
        <w:rPr>
          <w:lang w:val="ru-RU"/>
        </w:rPr>
        <w:t>обеспечени</w:t>
      </w:r>
      <w:r w:rsidR="008B12B7">
        <w:rPr>
          <w:lang w:val="ru-RU"/>
        </w:rPr>
        <w:t>е законного</w:t>
      </w:r>
      <w:r w:rsidRPr="00FB3BAD">
        <w:rPr>
          <w:lang w:val="ru-RU"/>
        </w:rPr>
        <w:t xml:space="preserve"> доступ</w:t>
      </w:r>
      <w:r w:rsidR="008B12B7">
        <w:rPr>
          <w:lang w:val="ru-RU"/>
        </w:rPr>
        <w:t>а</w:t>
      </w:r>
      <w:r w:rsidRPr="00FB3BAD">
        <w:rPr>
          <w:lang w:val="ru-RU"/>
        </w:rPr>
        <w:t xml:space="preserve"> (17 положений) и обеспечение </w:t>
      </w:r>
      <w:r w:rsidR="008B12B7">
        <w:rPr>
          <w:lang w:val="ru-RU"/>
        </w:rPr>
        <w:t xml:space="preserve">реального </w:t>
      </w:r>
      <w:r w:rsidRPr="00FB3BAD">
        <w:rPr>
          <w:lang w:val="ru-RU"/>
        </w:rPr>
        <w:t>применения ограничений и исключений</w:t>
      </w:r>
      <w:r w:rsidR="008B12B7">
        <w:rPr>
          <w:lang w:val="ru-RU"/>
        </w:rPr>
        <w:t>, установленных</w:t>
      </w:r>
      <w:r w:rsidRPr="00FB3BAD">
        <w:rPr>
          <w:lang w:val="ru-RU"/>
        </w:rPr>
        <w:t xml:space="preserve"> в интересах их бенефициаров (30 положений). </w:t>
      </w:r>
    </w:p>
    <w:p w:rsidR="005E2E3E" w:rsidRPr="00FB3BAD" w:rsidRDefault="00E17B1B" w:rsidP="00746E45">
      <w:pPr>
        <w:rPr>
          <w:lang w:val="ru-RU"/>
        </w:rPr>
      </w:pPr>
      <w:r>
        <w:rPr>
          <w:lang w:val="ru-RU"/>
        </w:rPr>
        <w:t xml:space="preserve">В </w:t>
      </w:r>
      <w:r w:rsidRPr="00FB3BAD">
        <w:rPr>
          <w:lang w:val="ru-RU"/>
        </w:rPr>
        <w:t>р</w:t>
      </w:r>
      <w:r w:rsidR="00FB3BAD" w:rsidRPr="00FB3BAD">
        <w:rPr>
          <w:lang w:val="ru-RU"/>
        </w:rPr>
        <w:t>азлич</w:t>
      </w:r>
      <w:r>
        <w:rPr>
          <w:lang w:val="ru-RU"/>
        </w:rPr>
        <w:t>ных</w:t>
      </w:r>
      <w:r w:rsidR="00FB3BAD" w:rsidRPr="00FB3BAD">
        <w:rPr>
          <w:lang w:val="ru-RU"/>
        </w:rPr>
        <w:t xml:space="preserve"> положения</w:t>
      </w:r>
      <w:r>
        <w:rPr>
          <w:lang w:val="ru-RU"/>
        </w:rPr>
        <w:t>х</w:t>
      </w:r>
      <w:r w:rsidR="00FB3BAD" w:rsidRPr="00FB3BAD">
        <w:rPr>
          <w:lang w:val="ru-RU"/>
        </w:rPr>
        <w:t xml:space="preserve"> </w:t>
      </w:r>
      <w:r>
        <w:rPr>
          <w:lang w:val="ru-RU"/>
        </w:rPr>
        <w:t xml:space="preserve">по-разному говорится о формах </w:t>
      </w:r>
      <w:r w:rsidR="00FB3BAD" w:rsidRPr="00FB3BAD">
        <w:rPr>
          <w:lang w:val="ru-RU"/>
        </w:rPr>
        <w:t xml:space="preserve">обхода, отключения или блокирования </w:t>
      </w:r>
      <w:r w:rsidR="00A166B7">
        <w:rPr>
          <w:lang w:val="ru-RU"/>
        </w:rPr>
        <w:t>ТСЗ</w:t>
      </w:r>
      <w:r w:rsidR="00FB3BAD" w:rsidRPr="00FB3BAD">
        <w:rPr>
          <w:lang w:val="ru-RU"/>
        </w:rPr>
        <w:t xml:space="preserve">/ИУП или обеспечения доступа. 43 положения обязывают правообладателя </w:t>
      </w:r>
      <w:r>
        <w:rPr>
          <w:lang w:val="ru-RU"/>
        </w:rPr>
        <w:t xml:space="preserve">отключать </w:t>
      </w:r>
      <w:r w:rsidR="00A166B7">
        <w:rPr>
          <w:lang w:val="ru-RU"/>
        </w:rPr>
        <w:t>ТСЗ</w:t>
      </w:r>
      <w:r w:rsidR="00FB3BAD" w:rsidRPr="00FB3BAD">
        <w:rPr>
          <w:lang w:val="ru-RU"/>
        </w:rPr>
        <w:t xml:space="preserve">, </w:t>
      </w:r>
      <w:r>
        <w:rPr>
          <w:lang w:val="ru-RU"/>
        </w:rPr>
        <w:t xml:space="preserve">модифицировать </w:t>
      </w:r>
      <w:r w:rsidR="00FB3BAD" w:rsidRPr="00FB3BAD">
        <w:rPr>
          <w:lang w:val="ru-RU"/>
        </w:rPr>
        <w:t>свои произведения или пред</w:t>
      </w:r>
      <w:r>
        <w:rPr>
          <w:lang w:val="ru-RU"/>
        </w:rPr>
        <w:t xml:space="preserve">усматривать </w:t>
      </w:r>
      <w:r w:rsidR="00FB3BAD" w:rsidRPr="00FB3BAD">
        <w:rPr>
          <w:lang w:val="ru-RU"/>
        </w:rPr>
        <w:t xml:space="preserve">надлежащие средства для достижения соответствующих целей. Многие из этих положений, кроме того, </w:t>
      </w:r>
      <w:r w:rsidRPr="00E17B1B">
        <w:rPr>
          <w:lang w:val="ru-RU"/>
        </w:rPr>
        <w:t>предусматрива</w:t>
      </w:r>
      <w:r>
        <w:rPr>
          <w:lang w:val="ru-RU"/>
        </w:rPr>
        <w:t>ют инициирование потерпевшим бенефициаром переговоров</w:t>
      </w:r>
      <w:r w:rsidR="00FB3BAD" w:rsidRPr="00FB3BAD">
        <w:rPr>
          <w:lang w:val="ru-RU"/>
        </w:rPr>
        <w:t xml:space="preserve"> с правообладателем</w:t>
      </w:r>
      <w:r>
        <w:rPr>
          <w:lang w:val="ru-RU"/>
        </w:rPr>
        <w:t xml:space="preserve"> </w:t>
      </w:r>
      <w:r w:rsidR="00FB3BAD" w:rsidRPr="00FB3BAD">
        <w:rPr>
          <w:lang w:val="ru-RU"/>
        </w:rPr>
        <w:t xml:space="preserve">для поиска выхода из сложившейся ситуации. 73 положения </w:t>
      </w:r>
      <w:r w:rsidRPr="00FB3BAD">
        <w:rPr>
          <w:lang w:val="ru-RU"/>
        </w:rPr>
        <w:t xml:space="preserve">просто </w:t>
      </w:r>
      <w:r w:rsidR="00FB3BAD" w:rsidRPr="00FB3BAD">
        <w:rPr>
          <w:lang w:val="ru-RU"/>
        </w:rPr>
        <w:t xml:space="preserve">дают бенефициару </w:t>
      </w:r>
      <w:r w:rsidRPr="00FB3BAD">
        <w:rPr>
          <w:lang w:val="ru-RU"/>
        </w:rPr>
        <w:t xml:space="preserve">право </w:t>
      </w:r>
      <w:r w:rsidR="00FB3BAD" w:rsidRPr="00FB3BAD">
        <w:rPr>
          <w:lang w:val="ru-RU"/>
        </w:rPr>
        <w:t xml:space="preserve">обходить, удалять, отключать или уничтожать </w:t>
      </w:r>
      <w:r w:rsidR="00A166B7">
        <w:rPr>
          <w:lang w:val="ru-RU"/>
        </w:rPr>
        <w:t>ТСЗ</w:t>
      </w:r>
      <w:r w:rsidR="00FB3BAD" w:rsidRPr="00FB3BAD">
        <w:rPr>
          <w:lang w:val="ru-RU"/>
        </w:rPr>
        <w:t xml:space="preserve"> или ИУП без </w:t>
      </w:r>
      <w:r>
        <w:rPr>
          <w:lang w:val="ru-RU"/>
        </w:rPr>
        <w:t xml:space="preserve">санкций </w:t>
      </w:r>
      <w:r w:rsidR="00FB3BAD" w:rsidRPr="00FB3BAD">
        <w:rPr>
          <w:lang w:val="ru-RU"/>
        </w:rPr>
        <w:t>или какой-либо компенсации. Остальные положения в разных формах дают бенефициару право воспроизводить содержание произведения или осуществлять действия с произведением</w:t>
      </w:r>
      <w:r>
        <w:rPr>
          <w:lang w:val="ru-RU"/>
        </w:rPr>
        <w:t>,</w:t>
      </w:r>
      <w:r w:rsidR="00FB3BAD" w:rsidRPr="00FB3BAD">
        <w:rPr>
          <w:lang w:val="ru-RU"/>
        </w:rPr>
        <w:t xml:space="preserve"> </w:t>
      </w:r>
      <w:r>
        <w:rPr>
          <w:lang w:val="ru-RU"/>
        </w:rPr>
        <w:t>не неся при этом</w:t>
      </w:r>
      <w:r w:rsidR="00FB3BAD" w:rsidRPr="00FB3BAD">
        <w:rPr>
          <w:lang w:val="ru-RU"/>
        </w:rPr>
        <w:t xml:space="preserve"> ответственности за нарушение прав. </w:t>
      </w:r>
    </w:p>
    <w:p w:rsidR="005E2E3E" w:rsidRPr="00FB3BAD" w:rsidRDefault="00FB3BAD" w:rsidP="00746E45">
      <w:pPr>
        <w:rPr>
          <w:lang w:val="ru-RU"/>
        </w:rPr>
      </w:pPr>
      <w:r w:rsidRPr="00FB3BAD">
        <w:rPr>
          <w:lang w:val="ru-RU"/>
        </w:rPr>
        <w:t xml:space="preserve">Наиболее типичные условия, </w:t>
      </w:r>
      <w:r w:rsidR="00E17B1B" w:rsidRPr="00E17B1B">
        <w:rPr>
          <w:lang w:val="ru-RU"/>
        </w:rPr>
        <w:t>котор</w:t>
      </w:r>
      <w:r w:rsidR="00E17B1B">
        <w:rPr>
          <w:lang w:val="ru-RU"/>
        </w:rPr>
        <w:t>ые устанавливаются для применения</w:t>
      </w:r>
      <w:r w:rsidRPr="00FB3BAD">
        <w:rPr>
          <w:lang w:val="ru-RU"/>
        </w:rPr>
        <w:t xml:space="preserve"> этих </w:t>
      </w:r>
      <w:r w:rsidR="00E17B1B">
        <w:rPr>
          <w:lang w:val="ru-RU"/>
        </w:rPr>
        <w:t>норм</w:t>
      </w:r>
      <w:r w:rsidRPr="00FB3BAD">
        <w:rPr>
          <w:lang w:val="ru-RU"/>
        </w:rPr>
        <w:t xml:space="preserve">, заключаются в том, что соответствующее оригинальное произведение </w:t>
      </w:r>
      <w:r w:rsidR="00E17B1B" w:rsidRPr="00E17B1B">
        <w:rPr>
          <w:lang w:val="ru-RU"/>
        </w:rPr>
        <w:t>долж</w:t>
      </w:r>
      <w:r w:rsidR="00E17B1B">
        <w:rPr>
          <w:lang w:val="ru-RU"/>
        </w:rPr>
        <w:t xml:space="preserve">но быть </w:t>
      </w:r>
      <w:r w:rsidRPr="00FB3BAD">
        <w:rPr>
          <w:lang w:val="ru-RU"/>
        </w:rPr>
        <w:t xml:space="preserve">законно приобретенным экземпляром (14 положений) и что бенефициар </w:t>
      </w:r>
      <w:r w:rsidR="00E17B1B" w:rsidRPr="00E17B1B">
        <w:rPr>
          <w:lang w:val="ru-RU"/>
        </w:rPr>
        <w:t>долж</w:t>
      </w:r>
      <w:r w:rsidR="00E17B1B">
        <w:rPr>
          <w:lang w:val="ru-RU"/>
        </w:rPr>
        <w:t>ен действовать</w:t>
      </w:r>
      <w:r w:rsidRPr="00FB3BAD">
        <w:rPr>
          <w:lang w:val="ru-RU"/>
        </w:rPr>
        <w:t xml:space="preserve"> добросовестно или без намерения нарушения авторских прав (28 положений). </w:t>
      </w:r>
    </w:p>
    <w:p w:rsidR="005E2E3E" w:rsidRDefault="00FB3BAD" w:rsidP="00601870">
      <w:pPr>
        <w:pStyle w:val="Heading2"/>
      </w:pPr>
      <w:r w:rsidRPr="00FB3BAD">
        <w:t xml:space="preserve">Дальнейший анализ и выводы </w:t>
      </w:r>
    </w:p>
    <w:p w:rsidR="005E2E3E" w:rsidRPr="00FB3BAD" w:rsidRDefault="00FB3BAD">
      <w:pPr>
        <w:rPr>
          <w:lang w:val="ru-RU"/>
        </w:rPr>
      </w:pPr>
      <w:r w:rsidRPr="00FB3BAD">
        <w:rPr>
          <w:lang w:val="ru-RU"/>
        </w:rPr>
        <w:t xml:space="preserve">В данном обновленном исследовании и расширенном анализе автор не пришел к каким-либо выводам, которые существенно отличались бы от выводов предыдущего исследования. Результаты этого обновленного исследования </w:t>
      </w:r>
      <w:r w:rsidR="00E17B1B">
        <w:rPr>
          <w:lang w:val="ru-RU"/>
        </w:rPr>
        <w:t>резюмируются</w:t>
      </w:r>
      <w:r w:rsidRPr="00FB3BAD">
        <w:rPr>
          <w:lang w:val="ru-RU"/>
        </w:rPr>
        <w:t xml:space="preserve"> следующим образом. </w:t>
      </w:r>
    </w:p>
    <w:p w:rsidR="005E2E3E" w:rsidRPr="00FB3BAD" w:rsidRDefault="00FB3BAD">
      <w:pPr>
        <w:rPr>
          <w:lang w:val="ru-RU"/>
        </w:rPr>
      </w:pPr>
      <w:r w:rsidRPr="00FB3BAD">
        <w:rPr>
          <w:lang w:val="ru-RU"/>
        </w:rPr>
        <w:t>Во-первых, хотя в данном исследовании были выявлены два отдельных и различных термина, применяемые государствами-членами в отношении ограничений и исключений, которые позволяют осуществлять «адаптацию» или «перевод» произведений</w:t>
      </w:r>
      <w:r w:rsidR="00E17B1B">
        <w:rPr>
          <w:lang w:val="ru-RU"/>
        </w:rPr>
        <w:t xml:space="preserve"> </w:t>
      </w:r>
      <w:r w:rsidR="00E17B1B" w:rsidRPr="00E17B1B">
        <w:rPr>
          <w:rFonts w:eastAsia="+mn-ea"/>
          <w:lang w:val="ru-RU"/>
        </w:rPr>
        <w:t>–</w:t>
      </w:r>
      <w:r w:rsidRPr="00FB3BAD">
        <w:rPr>
          <w:lang w:val="ru-RU"/>
        </w:rPr>
        <w:t xml:space="preserve"> термин «адаптация или перевод» и терми</w:t>
      </w:r>
      <w:r w:rsidR="00E17B1B">
        <w:rPr>
          <w:lang w:val="ru-RU"/>
        </w:rPr>
        <w:t>н «оригинальное произведение»</w:t>
      </w:r>
      <w:r w:rsidRPr="00FB3BAD">
        <w:rPr>
          <w:lang w:val="ru-RU"/>
        </w:rPr>
        <w:t xml:space="preserve"> </w:t>
      </w:r>
      <w:r w:rsidR="00E17B1B" w:rsidRPr="00E17B1B">
        <w:rPr>
          <w:rFonts w:eastAsia="+mn-ea"/>
          <w:lang w:val="ru-RU"/>
        </w:rPr>
        <w:t>–</w:t>
      </w:r>
      <w:r w:rsidR="00E17B1B">
        <w:rPr>
          <w:lang w:val="ru-RU"/>
        </w:rPr>
        <w:t xml:space="preserve"> </w:t>
      </w:r>
      <w:r w:rsidRPr="00FB3BAD">
        <w:rPr>
          <w:lang w:val="ru-RU"/>
        </w:rPr>
        <w:t>оба эти термина</w:t>
      </w:r>
      <w:r w:rsidR="00E17B1B">
        <w:rPr>
          <w:lang w:val="ru-RU"/>
        </w:rPr>
        <w:t xml:space="preserve">, </w:t>
      </w:r>
      <w:r w:rsidR="00E17B1B" w:rsidRPr="00FB3BAD">
        <w:rPr>
          <w:lang w:val="ru-RU"/>
        </w:rPr>
        <w:t>как показано выше</w:t>
      </w:r>
      <w:r w:rsidR="00E17B1B">
        <w:rPr>
          <w:lang w:val="ru-RU"/>
        </w:rPr>
        <w:t xml:space="preserve">, </w:t>
      </w:r>
      <w:r w:rsidRPr="00FB3BAD">
        <w:rPr>
          <w:lang w:val="ru-RU"/>
        </w:rPr>
        <w:t xml:space="preserve">фактически </w:t>
      </w:r>
      <w:r w:rsidR="00E17B1B" w:rsidRPr="00E17B1B">
        <w:rPr>
          <w:lang w:val="ru-RU"/>
        </w:rPr>
        <w:t>представляют собой</w:t>
      </w:r>
      <w:r w:rsidR="00E17B1B">
        <w:rPr>
          <w:lang w:val="ru-RU"/>
        </w:rPr>
        <w:t xml:space="preserve"> дополняющие аспекты </w:t>
      </w:r>
      <w:r w:rsidRPr="00FB3BAD">
        <w:rPr>
          <w:lang w:val="ru-RU"/>
        </w:rPr>
        <w:t>третьего термина</w:t>
      </w:r>
      <w:r w:rsidR="00E17B1B">
        <w:rPr>
          <w:lang w:val="ru-RU"/>
        </w:rPr>
        <w:t>,</w:t>
      </w:r>
      <w:r w:rsidRPr="00FB3BAD">
        <w:rPr>
          <w:lang w:val="ru-RU"/>
        </w:rPr>
        <w:t xml:space="preserve"> «использование», применяемого многими государствами-членами. Таким образом, общее число государств, </w:t>
      </w:r>
      <w:r w:rsidR="00E17B1B">
        <w:rPr>
          <w:lang w:val="ru-RU"/>
        </w:rPr>
        <w:t>применяющих</w:t>
      </w:r>
      <w:r w:rsidRPr="00FB3BAD">
        <w:rPr>
          <w:lang w:val="ru-RU"/>
        </w:rPr>
        <w:t xml:space="preserve"> в своем законодательстве термин «адаптация или перевод» и термин «оригинальное произведение» и общее число таких положений (80 государств, 267 положений) примерно совпадают с общим числом государств, применяющих положения, содержащие термин «использование» и общим числом таких положений (96 государств-членов, 283 положения). Термин «адаптация или перевод» и термин «оригинальное произведение» касаются различных </w:t>
      </w:r>
      <w:r w:rsidR="00E17B1B" w:rsidRPr="00E17B1B">
        <w:rPr>
          <w:lang w:val="ru-RU"/>
        </w:rPr>
        <w:t>сторон</w:t>
      </w:r>
      <w:r w:rsidRPr="00FB3BAD">
        <w:rPr>
          <w:lang w:val="ru-RU"/>
        </w:rPr>
        <w:t xml:space="preserve"> вопросов, касающихся адаптации или перевода произведений, и участники Стокгольмской конференции явно стремились </w:t>
      </w:r>
      <w:r w:rsidR="00E17B1B">
        <w:rPr>
          <w:lang w:val="ru-RU"/>
        </w:rPr>
        <w:t xml:space="preserve">решить </w:t>
      </w:r>
      <w:r w:rsidRPr="00FB3BAD">
        <w:rPr>
          <w:lang w:val="ru-RU"/>
        </w:rPr>
        <w:t xml:space="preserve">эти вопросы путем применения термина «использование». В связи с этим государства-члены, возможно, найдут интересным «гибридный» подход, который, возможно, </w:t>
      </w:r>
      <w:r w:rsidR="007D00FE">
        <w:rPr>
          <w:lang w:val="ru-RU"/>
        </w:rPr>
        <w:t>лучше отражает</w:t>
      </w:r>
      <w:r w:rsidRPr="00FB3BAD">
        <w:rPr>
          <w:lang w:val="ru-RU"/>
        </w:rPr>
        <w:t xml:space="preserve"> широкий круг видов образовательной деятельности, обеспечению которых </w:t>
      </w:r>
      <w:r w:rsidR="007D00FE" w:rsidRPr="007D00FE">
        <w:rPr>
          <w:lang w:val="ru-RU"/>
        </w:rPr>
        <w:t>долж</w:t>
      </w:r>
      <w:r w:rsidR="007D00FE">
        <w:rPr>
          <w:lang w:val="ru-RU"/>
        </w:rPr>
        <w:t>ны</w:t>
      </w:r>
      <w:r w:rsidRPr="00FB3BAD">
        <w:rPr>
          <w:lang w:val="ru-RU"/>
        </w:rPr>
        <w:t xml:space="preserve"> служить исключения и ограничения. </w:t>
      </w:r>
    </w:p>
    <w:p w:rsidR="005E2E3E" w:rsidRPr="00FB3BAD" w:rsidRDefault="00FB3BAD">
      <w:pPr>
        <w:rPr>
          <w:lang w:val="ru-RU"/>
        </w:rPr>
      </w:pPr>
      <w:r w:rsidRPr="00FB3BAD">
        <w:rPr>
          <w:lang w:val="ru-RU"/>
        </w:rPr>
        <w:t>Во-вторых, лишь очень немногие государства-члены предусм</w:t>
      </w:r>
      <w:r w:rsidR="007D00FE">
        <w:rPr>
          <w:lang w:val="ru-RU"/>
        </w:rPr>
        <w:t xml:space="preserve">атривают </w:t>
      </w:r>
      <w:r w:rsidRPr="00FB3BAD">
        <w:rPr>
          <w:lang w:val="ru-RU"/>
        </w:rPr>
        <w:t xml:space="preserve">в своем законодательстве об авторском праве нормы, ограничивающие ответственность образовательных учреждений </w:t>
      </w:r>
      <w:r w:rsidR="007D00FE">
        <w:rPr>
          <w:lang w:val="ru-RU"/>
        </w:rPr>
        <w:t xml:space="preserve">по </w:t>
      </w:r>
      <w:r w:rsidR="007D00FE" w:rsidRPr="007D00FE">
        <w:rPr>
          <w:lang w:val="ru-RU"/>
        </w:rPr>
        <w:t>законодательству</w:t>
      </w:r>
      <w:r w:rsidR="007D00FE">
        <w:rPr>
          <w:lang w:val="ru-RU"/>
        </w:rPr>
        <w:t xml:space="preserve"> об авторском</w:t>
      </w:r>
      <w:r w:rsidRPr="00FB3BAD">
        <w:rPr>
          <w:lang w:val="ru-RU"/>
        </w:rPr>
        <w:t xml:space="preserve"> прав</w:t>
      </w:r>
      <w:r w:rsidR="007D00FE">
        <w:rPr>
          <w:lang w:val="ru-RU"/>
        </w:rPr>
        <w:t>е</w:t>
      </w:r>
      <w:r w:rsidRPr="00FB3BAD">
        <w:rPr>
          <w:lang w:val="ru-RU"/>
        </w:rPr>
        <w:t xml:space="preserve"> (4 государства-члена, 8 положений). В тех государствах-членах, которые </w:t>
      </w:r>
      <w:r w:rsidR="007D00FE">
        <w:rPr>
          <w:lang w:val="ru-RU"/>
        </w:rPr>
        <w:t>предусматривают такие нормы</w:t>
      </w:r>
      <w:r w:rsidRPr="00FB3BAD">
        <w:rPr>
          <w:lang w:val="ru-RU"/>
        </w:rPr>
        <w:t xml:space="preserve">, </w:t>
      </w:r>
      <w:r w:rsidR="007D00FE">
        <w:rPr>
          <w:lang w:val="ru-RU"/>
        </w:rPr>
        <w:t xml:space="preserve">их </w:t>
      </w:r>
      <w:r w:rsidRPr="00FB3BAD">
        <w:rPr>
          <w:lang w:val="ru-RU"/>
        </w:rPr>
        <w:t xml:space="preserve">цель состоит в освобождении образовательных учреждений от ответственности за косвенные нарушения авторских прав, освобождении образовательных учреждений от уголовной ответственности и ограничении для них риска возникновения обязательств уплаты предусмотренных законом компенсаций. </w:t>
      </w:r>
      <w:r w:rsidR="007D00FE">
        <w:rPr>
          <w:lang w:val="ru-RU"/>
        </w:rPr>
        <w:t xml:space="preserve">При этом </w:t>
      </w:r>
      <w:r w:rsidR="007D00FE" w:rsidRPr="00FB3BAD">
        <w:rPr>
          <w:lang w:val="ru-RU"/>
        </w:rPr>
        <w:t>в</w:t>
      </w:r>
      <w:r w:rsidRPr="00FB3BAD">
        <w:rPr>
          <w:lang w:val="ru-RU"/>
        </w:rPr>
        <w:t xml:space="preserve"> этих государствах-членах цель ограничения риска возникновения обязательств уплаты предусмотренных законом компенсаций для образовательных учреждений </w:t>
      </w:r>
      <w:r w:rsidR="007D00FE">
        <w:rPr>
          <w:lang w:val="ru-RU"/>
        </w:rPr>
        <w:t>была</w:t>
      </w:r>
      <w:r w:rsidRPr="00FB3BAD">
        <w:rPr>
          <w:lang w:val="ru-RU"/>
        </w:rPr>
        <w:t xml:space="preserve">, </w:t>
      </w:r>
      <w:r w:rsidR="007D00FE" w:rsidRPr="007D00FE">
        <w:rPr>
          <w:lang w:val="ru-RU"/>
        </w:rPr>
        <w:t>судя по всему,</w:t>
      </w:r>
      <w:r w:rsidR="007D00FE">
        <w:rPr>
          <w:lang w:val="ru-RU"/>
        </w:rPr>
        <w:t xml:space="preserve"> </w:t>
      </w:r>
      <w:r w:rsidRPr="00FB3BAD">
        <w:rPr>
          <w:lang w:val="ru-RU"/>
        </w:rPr>
        <w:t>важнейшей целью директивных органов соответствующих государств-членов</w:t>
      </w:r>
      <w:r w:rsidR="007D00FE">
        <w:rPr>
          <w:lang w:val="ru-RU"/>
        </w:rPr>
        <w:t>, поскольку признание</w:t>
      </w:r>
      <w:r w:rsidRPr="00FB3BAD">
        <w:rPr>
          <w:lang w:val="ru-RU"/>
        </w:rPr>
        <w:t xml:space="preserve"> косвенной ответственности за нарушение авторских прав и ответственности по выплате компенсаций в законодательстве таких государств-членов об авторском праве</w:t>
      </w:r>
      <w:r w:rsidR="007D00FE">
        <w:rPr>
          <w:lang w:val="ru-RU"/>
        </w:rPr>
        <w:t xml:space="preserve"> имеет относительно самобытные формы</w:t>
      </w:r>
      <w:r w:rsidRPr="00FB3BAD">
        <w:rPr>
          <w:lang w:val="ru-RU"/>
        </w:rPr>
        <w:t xml:space="preserve">. </w:t>
      </w:r>
    </w:p>
    <w:p w:rsidR="005E2E3E" w:rsidRPr="00FB3BAD" w:rsidRDefault="00FB3BAD">
      <w:pPr>
        <w:rPr>
          <w:lang w:val="ru-RU"/>
        </w:rPr>
      </w:pPr>
      <w:r w:rsidRPr="00FB3BAD">
        <w:rPr>
          <w:lang w:val="ru-RU"/>
        </w:rPr>
        <w:t>В-третьих, в законодательстве об авторском праве 15 государств-членов содержатся 22 положения</w:t>
      </w:r>
      <w:r w:rsidR="007D00FE">
        <w:rPr>
          <w:lang w:val="ru-RU"/>
        </w:rPr>
        <w:t xml:space="preserve"> о неисполнимости или недействительности договорных положений, противоречащих</w:t>
      </w:r>
      <w:r w:rsidRPr="00FB3BAD">
        <w:rPr>
          <w:lang w:val="ru-RU"/>
        </w:rPr>
        <w:t xml:space="preserve"> нормам об ограничениях или исключениях. Хотя эти государства-члены составляют меньшинство </w:t>
      </w:r>
      <w:r w:rsidR="007D00FE">
        <w:rPr>
          <w:lang w:val="ru-RU"/>
        </w:rPr>
        <w:t xml:space="preserve">среди </w:t>
      </w:r>
      <w:r w:rsidRPr="00FB3BAD">
        <w:rPr>
          <w:lang w:val="ru-RU"/>
        </w:rPr>
        <w:t xml:space="preserve">всех государств-членов ВОИС, представляется, что принятие таких положений отражает стремление законодательных органов защитить ограничения и исключения от </w:t>
      </w:r>
      <w:r w:rsidR="007D00FE">
        <w:rPr>
          <w:lang w:val="ru-RU"/>
        </w:rPr>
        <w:t xml:space="preserve">последствий </w:t>
      </w:r>
      <w:r w:rsidR="007D00FE" w:rsidRPr="007D00FE">
        <w:rPr>
          <w:lang w:val="ru-RU"/>
        </w:rPr>
        <w:t>заключени</w:t>
      </w:r>
      <w:r w:rsidR="007D00FE">
        <w:rPr>
          <w:lang w:val="ru-RU"/>
        </w:rPr>
        <w:t xml:space="preserve">я </w:t>
      </w:r>
      <w:r w:rsidRPr="00FB3BAD">
        <w:rPr>
          <w:lang w:val="ru-RU"/>
        </w:rPr>
        <w:t>лицензионных договоров, которые могут иметь преобладающую силу. Такие меры часто оправдывают как методы, обеспечивающие более высокий уровень детализации, определенности и транспарентности условий лицензионных договоров, особенно применительно к цифровому контенту, и это</w:t>
      </w:r>
      <w:r w:rsidR="007D00FE">
        <w:rPr>
          <w:lang w:val="ru-RU"/>
        </w:rPr>
        <w:t>т</w:t>
      </w:r>
      <w:r w:rsidRPr="00FB3BAD">
        <w:rPr>
          <w:lang w:val="ru-RU"/>
        </w:rPr>
        <w:t xml:space="preserve"> вопрос</w:t>
      </w:r>
      <w:r w:rsidR="007D00FE">
        <w:rPr>
          <w:lang w:val="ru-RU"/>
        </w:rPr>
        <w:t xml:space="preserve"> можно было бы </w:t>
      </w:r>
      <w:r w:rsidRPr="00FB3BAD">
        <w:rPr>
          <w:lang w:val="ru-RU"/>
        </w:rPr>
        <w:t xml:space="preserve">изучить дополнительно. </w:t>
      </w:r>
    </w:p>
    <w:p w:rsidR="005E2E3E" w:rsidRPr="00FB3BAD" w:rsidRDefault="00FB3BAD">
      <w:pPr>
        <w:rPr>
          <w:lang w:val="ru-RU"/>
        </w:rPr>
      </w:pPr>
      <w:r w:rsidRPr="0010213E">
        <w:rPr>
          <w:lang w:val="ru-RU"/>
        </w:rPr>
        <w:t xml:space="preserve">В-четвертых, </w:t>
      </w:r>
      <w:r w:rsidR="00A30EC5">
        <w:rPr>
          <w:lang w:val="ru-RU"/>
        </w:rPr>
        <w:t>на основании исключительно буквального</w:t>
      </w:r>
      <w:r w:rsidRPr="0010213E">
        <w:rPr>
          <w:lang w:val="ru-RU"/>
        </w:rPr>
        <w:t xml:space="preserve"> анализ</w:t>
      </w:r>
      <w:r w:rsidR="00A30EC5">
        <w:rPr>
          <w:lang w:val="ru-RU"/>
        </w:rPr>
        <w:t>а</w:t>
      </w:r>
      <w:r w:rsidRPr="0010213E">
        <w:rPr>
          <w:lang w:val="ru-RU"/>
        </w:rPr>
        <w:t xml:space="preserve"> определений, содержащихся в положениях государств-членов ВОИС, принятых в рамках Дополнительного раздела Бернской конвенции, </w:t>
      </w:r>
      <w:r w:rsidR="00A30EC5">
        <w:rPr>
          <w:lang w:val="ru-RU"/>
        </w:rPr>
        <w:t xml:space="preserve">можно сделать </w:t>
      </w:r>
      <w:r w:rsidR="00A30EC5" w:rsidRPr="00A30EC5">
        <w:rPr>
          <w:lang w:val="ru-RU"/>
        </w:rPr>
        <w:t>вывод</w:t>
      </w:r>
      <w:r w:rsidR="00A30EC5">
        <w:rPr>
          <w:lang w:val="ru-RU"/>
        </w:rPr>
        <w:t xml:space="preserve"> </w:t>
      </w:r>
      <w:r w:rsidR="00A30EC5" w:rsidRPr="00A30EC5">
        <w:rPr>
          <w:lang w:val="ru-RU"/>
        </w:rPr>
        <w:t xml:space="preserve">о том, что </w:t>
      </w:r>
      <w:r w:rsidRPr="0010213E">
        <w:rPr>
          <w:lang w:val="ru-RU"/>
        </w:rPr>
        <w:t xml:space="preserve">большинством положений </w:t>
      </w:r>
      <w:r w:rsidR="00A30EC5">
        <w:rPr>
          <w:lang w:val="ru-RU"/>
        </w:rPr>
        <w:t xml:space="preserve">допускается </w:t>
      </w:r>
      <w:r w:rsidRPr="0010213E">
        <w:rPr>
          <w:lang w:val="ru-RU"/>
        </w:rPr>
        <w:t xml:space="preserve">цифровое воспроизведение и цифровая публикация произведений, независимо от того, совершаются ли они на основании лицензий на воспроизведение </w:t>
      </w:r>
      <w:r w:rsidR="00A30EC5">
        <w:rPr>
          <w:lang w:val="ru-RU"/>
        </w:rPr>
        <w:t>или перевод. Однако большинство</w:t>
      </w:r>
      <w:r w:rsidRPr="0010213E">
        <w:rPr>
          <w:lang w:val="ru-RU"/>
        </w:rPr>
        <w:t xml:space="preserve"> тех же положений не предусм</w:t>
      </w:r>
      <w:r w:rsidR="00A30EC5">
        <w:rPr>
          <w:lang w:val="ru-RU"/>
        </w:rPr>
        <w:t>атривает цифрового распространения</w:t>
      </w:r>
      <w:r w:rsidRPr="0010213E">
        <w:rPr>
          <w:lang w:val="ru-RU"/>
        </w:rPr>
        <w:t xml:space="preserve"> произведений. Это, </w:t>
      </w:r>
      <w:r w:rsidR="00A30EC5" w:rsidRPr="00A30EC5">
        <w:rPr>
          <w:lang w:val="ru-RU"/>
        </w:rPr>
        <w:t>по-видимому,</w:t>
      </w:r>
      <w:r w:rsidR="00A30EC5">
        <w:rPr>
          <w:lang w:val="ru-RU"/>
        </w:rPr>
        <w:t xml:space="preserve"> </w:t>
      </w:r>
      <w:r w:rsidRPr="0010213E">
        <w:rPr>
          <w:lang w:val="ru-RU"/>
        </w:rPr>
        <w:t xml:space="preserve">связано с тем, что в Дополнительном разделе Бернской конвенции упоминается только лицензия на «воспроизведение/перевод» и «публикацию» произведения, и никак не упоминается «распространение» соответствующего произведения, которое может </w:t>
      </w:r>
      <w:r w:rsidR="00D23B0D">
        <w:rPr>
          <w:lang w:val="ru-RU"/>
        </w:rPr>
        <w:t xml:space="preserve">существовать </w:t>
      </w:r>
      <w:r w:rsidRPr="0010213E">
        <w:rPr>
          <w:lang w:val="ru-RU"/>
        </w:rPr>
        <w:t>«в печатной или аналогичной форме воспроизведения»</w:t>
      </w:r>
      <w:r w:rsidR="005E2E3E">
        <w:rPr>
          <w:rStyle w:val="FootnoteReference"/>
        </w:rPr>
        <w:footnoteReference w:id="12"/>
      </w:r>
      <w:r w:rsidRPr="0010213E">
        <w:rPr>
          <w:lang w:val="ru-RU"/>
        </w:rPr>
        <w:t>.</w:t>
      </w:r>
      <w:r w:rsidR="005E2E3E" w:rsidRPr="00FB3BAD">
        <w:rPr>
          <w:lang w:val="ru-RU"/>
        </w:rPr>
        <w:t xml:space="preserve"> </w:t>
      </w:r>
      <w:r w:rsidRPr="0010213E">
        <w:rPr>
          <w:lang w:val="ru-RU"/>
        </w:rPr>
        <w:t>Вместе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тем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в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тех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государствах</w:t>
      </w:r>
      <w:r w:rsidRPr="00FB3BAD">
        <w:rPr>
          <w:lang w:val="ru-RU"/>
        </w:rPr>
        <w:t>-</w:t>
      </w:r>
      <w:r w:rsidRPr="0010213E">
        <w:rPr>
          <w:lang w:val="ru-RU"/>
        </w:rPr>
        <w:t>членах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чьи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положения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принудительном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лицензировании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допускают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цифровое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распространение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произведений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это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стало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возможным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путем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отклонения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от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нормы</w:t>
      </w:r>
      <w:r w:rsidR="005E2E3E">
        <w:rPr>
          <w:rStyle w:val="FootnoteReference"/>
        </w:rPr>
        <w:footnoteReference w:id="13"/>
      </w:r>
      <w:r w:rsidR="005E2E3E" w:rsidRPr="00FB3BAD">
        <w:rPr>
          <w:lang w:val="ru-RU"/>
        </w:rPr>
        <w:t xml:space="preserve"> </w:t>
      </w:r>
      <w:r w:rsidRPr="00FB3BAD">
        <w:rPr>
          <w:lang w:val="ru-RU"/>
        </w:rPr>
        <w:t>и определения «</w:t>
      </w:r>
      <w:r w:rsidR="00D23B0D">
        <w:rPr>
          <w:lang w:val="ru-RU"/>
        </w:rPr>
        <w:t>публикации</w:t>
      </w:r>
      <w:r w:rsidRPr="00FB3BAD">
        <w:rPr>
          <w:lang w:val="ru-RU"/>
        </w:rPr>
        <w:t xml:space="preserve">» как </w:t>
      </w:r>
      <w:r w:rsidR="00D23B0D">
        <w:rPr>
          <w:lang w:val="ru-RU"/>
        </w:rPr>
        <w:t>понятия,</w:t>
      </w:r>
      <w:r w:rsidR="00D23B0D" w:rsidRPr="00FB3BAD">
        <w:rPr>
          <w:lang w:val="ru-RU"/>
        </w:rPr>
        <w:t xml:space="preserve"> </w:t>
      </w:r>
      <w:r w:rsidRPr="00FB3BAD">
        <w:rPr>
          <w:lang w:val="ru-RU"/>
        </w:rPr>
        <w:t xml:space="preserve">охватывающего </w:t>
      </w:r>
      <w:r w:rsidR="00D23B0D">
        <w:rPr>
          <w:lang w:val="ru-RU"/>
        </w:rPr>
        <w:t>понятие «передачи</w:t>
      </w:r>
      <w:r w:rsidRPr="00FB3BAD">
        <w:rPr>
          <w:lang w:val="ru-RU"/>
        </w:rPr>
        <w:t xml:space="preserve">». Если </w:t>
      </w:r>
      <w:r w:rsidR="00D23B0D" w:rsidRPr="00D23B0D">
        <w:rPr>
          <w:lang w:val="ru-RU"/>
        </w:rPr>
        <w:t>государства-члены</w:t>
      </w:r>
      <w:r w:rsidR="00D23B0D">
        <w:rPr>
          <w:lang w:val="ru-RU"/>
        </w:rPr>
        <w:t xml:space="preserve"> хотели бы</w:t>
      </w:r>
      <w:r w:rsidRPr="00FB3BAD">
        <w:rPr>
          <w:lang w:val="ru-RU"/>
        </w:rPr>
        <w:t xml:space="preserve">, чтобы Дополнительный раздел Бернской конвенции был однозначно применим к цифровому распространению воспроизводимых или переводных произведений в образовательных целях, возможно, что к этому вопросу необходимо будет вернуться. </w:t>
      </w:r>
    </w:p>
    <w:p w:rsidR="005E2E3E" w:rsidRPr="00FB3BAD" w:rsidRDefault="00FB3BAD">
      <w:pPr>
        <w:rPr>
          <w:lang w:val="ru-RU"/>
        </w:rPr>
      </w:pPr>
      <w:r w:rsidRPr="00FB3BAD">
        <w:rPr>
          <w:lang w:val="ru-RU"/>
        </w:rPr>
        <w:t xml:space="preserve">Наконец, как отмечалось выше, 63 государства-члена ВОИС ввели в свое национальное законодательство положения, предусматривающие гибкие возможности, ограничения и исключения в отношении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 и ИУП. Почти все из этих 63 государств-членов (59 государств-членов) сочли необходимым предусмотреть гибкие возможности, ограничения или исключения в отношении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 в интересах осуществления образовательной деятельности, но лишь небольшое их число (14 государств-членов) сделали то же самое в отношении ИУП. Статистические данные вполне </w:t>
      </w:r>
      <w:r w:rsidR="00D23B0D">
        <w:rPr>
          <w:lang w:val="ru-RU"/>
        </w:rPr>
        <w:t>красноречивы</w:t>
      </w:r>
      <w:r w:rsidRPr="00FB3BAD">
        <w:rPr>
          <w:lang w:val="ru-RU"/>
        </w:rPr>
        <w:t xml:space="preserve">: они указывают на то, что, несмотря на </w:t>
      </w:r>
      <w:r w:rsidR="00D23B0D">
        <w:rPr>
          <w:lang w:val="ru-RU"/>
        </w:rPr>
        <w:t xml:space="preserve">отсутствие каких-либо ориентирующих </w:t>
      </w:r>
      <w:r w:rsidR="00D23B0D" w:rsidRPr="00D23B0D">
        <w:rPr>
          <w:lang w:val="ru-RU"/>
        </w:rPr>
        <w:t>положени</w:t>
      </w:r>
      <w:r w:rsidR="00D23B0D">
        <w:rPr>
          <w:lang w:val="ru-RU"/>
        </w:rPr>
        <w:t>й</w:t>
      </w:r>
      <w:r w:rsidRPr="00FB3BAD">
        <w:rPr>
          <w:lang w:val="ru-RU"/>
        </w:rPr>
        <w:t xml:space="preserve"> в ДАП и ДИФ, государства-члены сочли необходимым предусмотреть гибкие возможности, ограничения и исключения, особенно в отношении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 (и в меньшей степени, ИУП)</w:t>
      </w:r>
      <w:r w:rsidR="00D23B0D">
        <w:rPr>
          <w:lang w:val="ru-RU"/>
        </w:rPr>
        <w:t xml:space="preserve"> </w:t>
      </w:r>
      <w:r w:rsidR="00D23B0D" w:rsidRPr="00D23B0D">
        <w:rPr>
          <w:lang w:val="ru-RU"/>
        </w:rPr>
        <w:t xml:space="preserve">в связи с </w:t>
      </w:r>
      <w:r w:rsidRPr="00FB3BAD">
        <w:rPr>
          <w:lang w:val="ru-RU"/>
        </w:rPr>
        <w:t>и</w:t>
      </w:r>
      <w:r w:rsidR="00D23B0D">
        <w:rPr>
          <w:lang w:val="ru-RU"/>
        </w:rPr>
        <w:t>спользованием</w:t>
      </w:r>
      <w:r w:rsidRPr="00FB3BAD">
        <w:rPr>
          <w:lang w:val="ru-RU"/>
        </w:rPr>
        <w:t xml:space="preserve"> произведений в образовательных целях. </w:t>
      </w:r>
      <w:r w:rsidR="00D23B0D">
        <w:rPr>
          <w:lang w:val="ru-RU"/>
        </w:rPr>
        <w:t>Введение</w:t>
      </w:r>
      <w:r w:rsidR="00D23B0D" w:rsidRPr="00FB3BAD">
        <w:rPr>
          <w:lang w:val="ru-RU"/>
        </w:rPr>
        <w:t xml:space="preserve"> </w:t>
      </w:r>
      <w:r w:rsidRPr="00FB3BAD">
        <w:rPr>
          <w:lang w:val="ru-RU"/>
        </w:rPr>
        <w:t xml:space="preserve">в национальное законодательство </w:t>
      </w:r>
      <w:r w:rsidR="00D23B0D">
        <w:rPr>
          <w:lang w:val="ru-RU"/>
        </w:rPr>
        <w:t>норм, восполняющих</w:t>
      </w:r>
      <w:r w:rsidRPr="00FB3BAD">
        <w:rPr>
          <w:lang w:val="ru-RU"/>
        </w:rPr>
        <w:t xml:space="preserve"> предположительные пробелы в ДАП и ДИФ</w:t>
      </w:r>
      <w:r w:rsidR="00D23B0D">
        <w:rPr>
          <w:lang w:val="ru-RU"/>
        </w:rPr>
        <w:t xml:space="preserve">, </w:t>
      </w:r>
      <w:r w:rsidRPr="00FB3BAD">
        <w:rPr>
          <w:lang w:val="ru-RU"/>
        </w:rPr>
        <w:t xml:space="preserve">свидетельствует о возможном формировании международного консенсуса по поводу необходимости </w:t>
      </w:r>
      <w:r w:rsidR="00D23B0D" w:rsidRPr="00D23B0D">
        <w:rPr>
          <w:snapToGrid w:val="0"/>
          <w:lang w:val="ru-RU"/>
        </w:rPr>
        <w:t>применени</w:t>
      </w:r>
      <w:r w:rsidR="00D23B0D">
        <w:rPr>
          <w:lang w:val="ru-RU"/>
        </w:rPr>
        <w:t>я</w:t>
      </w:r>
      <w:r w:rsidRPr="00FB3BAD">
        <w:rPr>
          <w:lang w:val="ru-RU"/>
        </w:rPr>
        <w:t xml:space="preserve"> гибких возможностей, ограничений и исключений в отношении </w:t>
      </w:r>
      <w:r w:rsidR="00A166B7">
        <w:rPr>
          <w:lang w:val="ru-RU"/>
        </w:rPr>
        <w:t>ТСЗ</w:t>
      </w:r>
      <w:r w:rsidRPr="00FB3BAD">
        <w:rPr>
          <w:lang w:val="ru-RU"/>
        </w:rPr>
        <w:t xml:space="preserve"> и ИУП, особенно в образовательных целях. </w:t>
      </w:r>
    </w:p>
    <w:p w:rsidR="005E2E3E" w:rsidRPr="00FB3BAD" w:rsidRDefault="005E2E3E">
      <w:pPr>
        <w:rPr>
          <w:lang w:val="ru-RU"/>
        </w:rPr>
      </w:pPr>
    </w:p>
    <w:p w:rsidR="005E2E3E" w:rsidRPr="00FB3BAD" w:rsidRDefault="005E2E3E">
      <w:pPr>
        <w:rPr>
          <w:lang w:val="ru-RU"/>
        </w:rPr>
      </w:pPr>
    </w:p>
    <w:p w:rsidR="005E2E3E" w:rsidRPr="00FB3BAD" w:rsidRDefault="005E2E3E">
      <w:pPr>
        <w:rPr>
          <w:lang w:val="ru-RU"/>
        </w:rPr>
      </w:pPr>
    </w:p>
    <w:p w:rsidR="005E2E3E" w:rsidRDefault="00FB3BAD">
      <w:r w:rsidRPr="00F93FDF">
        <w:t xml:space="preserve">Дэниэл Сэн </w:t>
      </w:r>
    </w:p>
    <w:p w:rsidR="005E2E3E" w:rsidRDefault="00FB3BAD">
      <w:r w:rsidRPr="00F93FDF">
        <w:t>Октябрь 2017</w:t>
      </w:r>
      <w:r w:rsidR="00D23B0D">
        <w:rPr>
          <w:lang w:val="ru-RU"/>
        </w:rPr>
        <w:t> </w:t>
      </w:r>
      <w:bookmarkStart w:id="2" w:name="a"/>
      <w:bookmarkEnd w:id="2"/>
      <w:r w:rsidRPr="00F93FDF">
        <w:t xml:space="preserve">г. </w:t>
      </w:r>
    </w:p>
    <w:sectPr w:rsidR="005E2E3E" w:rsidSect="003F0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25" w:rsidRDefault="002D5025" w:rsidP="00746E45">
      <w:pPr>
        <w:spacing w:after="0" w:line="240" w:lineRule="auto"/>
      </w:pPr>
      <w:r>
        <w:separator/>
      </w:r>
    </w:p>
  </w:endnote>
  <w:endnote w:type="continuationSeparator" w:id="0">
    <w:p w:rsidR="002D5025" w:rsidRDefault="002D5025" w:rsidP="0074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D" w:rsidRDefault="00D23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D" w:rsidRDefault="00D23B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D" w:rsidRDefault="00D23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25" w:rsidRDefault="002D5025" w:rsidP="00746E45">
      <w:pPr>
        <w:spacing w:after="0" w:line="240" w:lineRule="auto"/>
      </w:pPr>
      <w:r>
        <w:separator/>
      </w:r>
    </w:p>
  </w:footnote>
  <w:footnote w:type="continuationSeparator" w:id="0">
    <w:p w:rsidR="002D5025" w:rsidRDefault="002D5025" w:rsidP="00746E45">
      <w:pPr>
        <w:spacing w:after="0" w:line="240" w:lineRule="auto"/>
      </w:pPr>
      <w:r>
        <w:continuationSeparator/>
      </w:r>
    </w:p>
  </w:footnote>
  <w:footnote w:id="1">
    <w:p w:rsidR="00D23B0D" w:rsidRPr="00F25716" w:rsidRDefault="00D23B0D" w:rsidP="00911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1C51">
        <w:rPr>
          <w:lang w:val="ru-RU"/>
        </w:rPr>
        <w:t xml:space="preserve"> </w:t>
      </w:r>
      <w:r>
        <w:rPr>
          <w:lang w:val="ru-RU"/>
        </w:rPr>
        <w:t xml:space="preserve">Такие </w:t>
      </w:r>
      <w:r w:rsidRPr="007F36FA">
        <w:rPr>
          <w:lang w:val="ru-RU"/>
        </w:rPr>
        <w:t xml:space="preserve">положения </w:t>
      </w:r>
      <w:r>
        <w:rPr>
          <w:lang w:val="ru-RU"/>
        </w:rPr>
        <w:t xml:space="preserve">входили в </w:t>
      </w:r>
      <w:r w:rsidRPr="00F25716">
        <w:rPr>
          <w:lang w:val="ru-RU"/>
        </w:rPr>
        <w:t>предмет</w:t>
      </w:r>
      <w:r>
        <w:rPr>
          <w:lang w:val="ru-RU"/>
        </w:rPr>
        <w:t xml:space="preserve"> предыдущего исследования</w:t>
      </w:r>
      <w:r w:rsidRPr="007F36FA">
        <w:rPr>
          <w:lang w:val="ru-RU"/>
        </w:rPr>
        <w:t xml:space="preserve">, но не </w:t>
      </w:r>
      <w:r w:rsidRPr="00F25716">
        <w:rPr>
          <w:lang w:val="ru-RU"/>
        </w:rPr>
        <w:t>анализ</w:t>
      </w:r>
      <w:r>
        <w:rPr>
          <w:lang w:val="ru-RU"/>
        </w:rPr>
        <w:t>ировались</w:t>
      </w:r>
      <w:r w:rsidRPr="007F36FA">
        <w:rPr>
          <w:lang w:val="ru-RU"/>
        </w:rPr>
        <w:t xml:space="preserve"> </w:t>
      </w:r>
      <w:r>
        <w:rPr>
          <w:lang w:val="ru-RU"/>
        </w:rPr>
        <w:t>отдельно</w:t>
      </w:r>
      <w:r w:rsidRPr="007F36FA">
        <w:rPr>
          <w:lang w:val="ru-RU"/>
        </w:rPr>
        <w:t>, поскольку такой анализ не входил в задачи предыдущего исследования.</w:t>
      </w:r>
      <w:r w:rsidRPr="00911C51">
        <w:rPr>
          <w:lang w:val="ru-RU"/>
        </w:rPr>
        <w:t xml:space="preserve"> </w:t>
      </w:r>
    </w:p>
  </w:footnote>
  <w:footnote w:id="2">
    <w:p w:rsidR="00D23B0D" w:rsidRPr="00970916" w:rsidRDefault="00D23B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1C51">
        <w:rPr>
          <w:lang w:val="ru-RU"/>
        </w:rPr>
        <w:t xml:space="preserve"> </w:t>
      </w:r>
      <w:r w:rsidRPr="007F36FA">
        <w:rPr>
          <w:lang w:val="ru-RU"/>
        </w:rPr>
        <w:t>Материалы Стокгольмской конференции 1967</w:t>
      </w:r>
      <w:r w:rsidRPr="00537328">
        <w:t> </w:t>
      </w:r>
      <w:r w:rsidRPr="007F36FA">
        <w:rPr>
          <w:lang w:val="ru-RU"/>
        </w:rPr>
        <w:t xml:space="preserve">г., с. 921-922, пункты 1565.1 и далее (в которых указывается, что Главный комитет единогласно одобрил добавление </w:t>
      </w:r>
      <w:r w:rsidRPr="00537328">
        <w:t>S</w:t>
      </w:r>
      <w:r w:rsidRPr="007F36FA">
        <w:rPr>
          <w:lang w:val="ru-RU"/>
        </w:rPr>
        <w:t>/248, пункт (1), в котором, применительно, в частности, к ст. 10(1) и (2), говорится следующее «представляется нормальным, что исключения, предусмотренные в положениях о праве на воспроизведение, должны также быть применимы к праву на перевод, то есть должны также быть применимы к переводной версии произведения».).</w:t>
      </w:r>
      <w:r>
        <w:rPr>
          <w:lang w:val="ru-RU"/>
        </w:rPr>
        <w:t xml:space="preserve"> </w:t>
      </w:r>
    </w:p>
  </w:footnote>
  <w:footnote w:id="3">
    <w:p w:rsidR="00D23B0D" w:rsidRDefault="00D23B0D" w:rsidP="00FA78C8">
      <w:pPr>
        <w:pStyle w:val="FootnoteText"/>
      </w:pPr>
      <w:r>
        <w:rPr>
          <w:rStyle w:val="FootnoteReference"/>
        </w:rPr>
        <w:footnoteRef/>
      </w:r>
      <w:r w:rsidRPr="00911C51">
        <w:rPr>
          <w:lang w:val="ru-RU"/>
        </w:rPr>
        <w:t xml:space="preserve"> </w:t>
      </w:r>
      <w:r w:rsidRPr="007F36FA">
        <w:rPr>
          <w:lang w:val="ru-RU"/>
        </w:rPr>
        <w:t>Материалы Стокгольмской конференции 1967</w:t>
      </w:r>
      <w:r w:rsidRPr="00537328">
        <w:t> </w:t>
      </w:r>
      <w:r w:rsidRPr="007F36FA">
        <w:rPr>
          <w:lang w:val="ru-RU"/>
        </w:rPr>
        <w:t xml:space="preserve">г., стр. 922, пункты 1570-1581, стр. 926, пункты 1652.2, стр. 927, пункт 1662 (где указано, что Главный комитет утвердил добавление </w:t>
      </w:r>
      <w:r w:rsidRPr="00537328">
        <w:t>S</w:t>
      </w:r>
      <w:r w:rsidRPr="007F36FA">
        <w:rPr>
          <w:lang w:val="ru-RU"/>
        </w:rPr>
        <w:t>/269 при двух воздержавшихся).</w:t>
      </w:r>
    </w:p>
  </w:footnote>
  <w:footnote w:id="4">
    <w:p w:rsidR="00D23B0D" w:rsidRPr="00970916" w:rsidRDefault="00D23B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70916">
        <w:rPr>
          <w:lang w:val="ru-RU"/>
        </w:rPr>
        <w:t xml:space="preserve"> </w:t>
      </w:r>
      <w:r w:rsidRPr="007F36FA">
        <w:rPr>
          <w:lang w:val="ru-RU"/>
        </w:rPr>
        <w:t>Материалы</w:t>
      </w:r>
      <w:r w:rsidRPr="00970916">
        <w:rPr>
          <w:lang w:val="ru-RU"/>
        </w:rPr>
        <w:t xml:space="preserve"> </w:t>
      </w:r>
      <w:r w:rsidRPr="007F36FA">
        <w:rPr>
          <w:lang w:val="ru-RU"/>
        </w:rPr>
        <w:t>Стокгольмской</w:t>
      </w:r>
      <w:r w:rsidRPr="00970916">
        <w:rPr>
          <w:lang w:val="ru-RU"/>
        </w:rPr>
        <w:t xml:space="preserve"> </w:t>
      </w:r>
      <w:r w:rsidRPr="007F36FA">
        <w:rPr>
          <w:lang w:val="ru-RU"/>
        </w:rPr>
        <w:t>конференции</w:t>
      </w:r>
      <w:r w:rsidRPr="00970916">
        <w:rPr>
          <w:lang w:val="ru-RU"/>
        </w:rPr>
        <w:t xml:space="preserve"> 1967</w:t>
      </w:r>
      <w:r w:rsidRPr="00537328">
        <w:t> </w:t>
      </w:r>
      <w:r w:rsidRPr="007F36FA">
        <w:rPr>
          <w:lang w:val="ru-RU"/>
        </w:rPr>
        <w:t>г</w:t>
      </w:r>
      <w:r w:rsidRPr="00970916">
        <w:rPr>
          <w:lang w:val="ru-RU"/>
        </w:rPr>
        <w:t xml:space="preserve">., </w:t>
      </w:r>
      <w:r w:rsidRPr="007F36FA">
        <w:rPr>
          <w:lang w:val="ru-RU"/>
        </w:rPr>
        <w:t>стр</w:t>
      </w:r>
      <w:r w:rsidRPr="00970916">
        <w:rPr>
          <w:lang w:val="ru-RU"/>
        </w:rPr>
        <w:t xml:space="preserve">. 926, </w:t>
      </w:r>
      <w:r w:rsidRPr="007F36FA">
        <w:rPr>
          <w:lang w:val="ru-RU"/>
        </w:rPr>
        <w:t>пункты</w:t>
      </w:r>
      <w:r w:rsidRPr="00970916">
        <w:rPr>
          <w:lang w:val="ru-RU"/>
        </w:rPr>
        <w:t xml:space="preserve"> 1652.2, 1653.1, 1655.</w:t>
      </w:r>
    </w:p>
  </w:footnote>
  <w:footnote w:id="5">
    <w:p w:rsidR="00D23B0D" w:rsidRPr="00D653FC" w:rsidRDefault="00D23B0D" w:rsidP="00D653F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653FC">
        <w:rPr>
          <w:lang w:val="ru-RU"/>
        </w:rPr>
        <w:t xml:space="preserve"> </w:t>
      </w:r>
      <w:r w:rsidRPr="0010213E">
        <w:rPr>
          <w:lang w:val="ru-RU"/>
        </w:rPr>
        <w:t>Пример</w:t>
      </w:r>
      <w:r w:rsidRPr="00D653FC">
        <w:rPr>
          <w:lang w:val="ru-RU"/>
        </w:rPr>
        <w:t>ами</w:t>
      </w:r>
      <w:r w:rsidRPr="0010213E">
        <w:rPr>
          <w:lang w:val="ru-RU"/>
        </w:rPr>
        <w:t xml:space="preserve"> ограничений и исключений в пользу конкретных видов образовательной деятельности могут служить положения, освобождающие образовательные учреждения от ответственности за </w:t>
      </w:r>
      <w:r>
        <w:rPr>
          <w:lang w:val="ru-RU"/>
        </w:rPr>
        <w:t xml:space="preserve">действия по </w:t>
      </w:r>
      <w:r w:rsidRPr="0010213E">
        <w:rPr>
          <w:lang w:val="ru-RU"/>
        </w:rPr>
        <w:t>обход</w:t>
      </w:r>
      <w:r>
        <w:rPr>
          <w:lang w:val="ru-RU"/>
        </w:rPr>
        <w:t>у</w:t>
      </w:r>
      <w:r w:rsidRPr="0010213E">
        <w:rPr>
          <w:lang w:val="ru-RU"/>
        </w:rPr>
        <w:t xml:space="preserve"> технических </w:t>
      </w:r>
      <w:r w:rsidRPr="009D0EFB">
        <w:rPr>
          <w:lang w:val="ru-RU"/>
        </w:rPr>
        <w:t>средств</w:t>
      </w:r>
      <w:r w:rsidRPr="0010213E">
        <w:rPr>
          <w:lang w:val="ru-RU"/>
        </w:rPr>
        <w:t xml:space="preserve"> </w:t>
      </w:r>
      <w:r w:rsidRPr="00D653FC">
        <w:rPr>
          <w:lang w:val="ru-RU"/>
        </w:rPr>
        <w:t>защит</w:t>
      </w:r>
      <w:r>
        <w:rPr>
          <w:lang w:val="ru-RU"/>
        </w:rPr>
        <w:t>ы</w:t>
      </w:r>
      <w:r w:rsidRPr="0010213E">
        <w:rPr>
          <w:lang w:val="ru-RU"/>
        </w:rPr>
        <w:t xml:space="preserve"> </w:t>
      </w:r>
      <w:r>
        <w:rPr>
          <w:lang w:val="ru-RU"/>
        </w:rPr>
        <w:t xml:space="preserve">(ТСЗ) </w:t>
      </w:r>
      <w:r w:rsidRPr="0010213E">
        <w:rPr>
          <w:lang w:val="ru-RU"/>
        </w:rPr>
        <w:t xml:space="preserve">и </w:t>
      </w:r>
      <w:r>
        <w:rPr>
          <w:lang w:val="ru-RU"/>
        </w:rPr>
        <w:t xml:space="preserve">удалению </w:t>
      </w:r>
      <w:r w:rsidRPr="001C2D88">
        <w:rPr>
          <w:lang w:val="ru-RU"/>
        </w:rPr>
        <w:t>информаци</w:t>
      </w:r>
      <w:r>
        <w:rPr>
          <w:lang w:val="ru-RU"/>
        </w:rPr>
        <w:t xml:space="preserve">и </w:t>
      </w:r>
      <w:r w:rsidRPr="0010213E">
        <w:rPr>
          <w:lang w:val="ru-RU"/>
        </w:rPr>
        <w:t>об управлении правами</w:t>
      </w:r>
      <w:r>
        <w:rPr>
          <w:lang w:val="ru-RU"/>
        </w:rPr>
        <w:t xml:space="preserve"> (ИУП), которые они допускают </w:t>
      </w:r>
      <w:r w:rsidRPr="001C2D88">
        <w:rPr>
          <w:lang w:val="ru-RU"/>
        </w:rPr>
        <w:t>в рамках</w:t>
      </w:r>
      <w:r>
        <w:rPr>
          <w:lang w:val="ru-RU"/>
        </w:rPr>
        <w:t xml:space="preserve"> своей образовательной деятельности</w:t>
      </w:r>
      <w:r w:rsidRPr="0010213E">
        <w:rPr>
          <w:lang w:val="ru-RU"/>
        </w:rPr>
        <w:t>.</w:t>
      </w:r>
      <w:r w:rsidRPr="00D653FC">
        <w:rPr>
          <w:lang w:val="ru-RU"/>
        </w:rPr>
        <w:t xml:space="preserve"> </w:t>
      </w:r>
    </w:p>
  </w:footnote>
  <w:footnote w:id="6">
    <w:p w:rsidR="00D23B0D" w:rsidRDefault="00D23B0D" w:rsidP="00746E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213E">
        <w:rPr>
          <w:lang w:val="ru-RU"/>
        </w:rPr>
        <w:t>Директива</w:t>
      </w:r>
      <w:r w:rsidRPr="00D653FC">
        <w:t xml:space="preserve"> 96/9/</w:t>
      </w:r>
      <w:r w:rsidRPr="00F93FDF">
        <w:t>EC</w:t>
      </w:r>
      <w:r w:rsidRPr="00D653FC">
        <w:t xml:space="preserve"> </w:t>
      </w:r>
      <w:r w:rsidRPr="0010213E">
        <w:rPr>
          <w:lang w:val="ru-RU"/>
        </w:rPr>
        <w:t>Европейского</w:t>
      </w:r>
      <w:r w:rsidRPr="00D653FC">
        <w:t xml:space="preserve"> </w:t>
      </w:r>
      <w:r w:rsidRPr="0010213E">
        <w:rPr>
          <w:lang w:val="ru-RU"/>
        </w:rPr>
        <w:t>парламента</w:t>
      </w:r>
      <w:r w:rsidRPr="00D653FC">
        <w:t xml:space="preserve"> </w:t>
      </w:r>
      <w:r w:rsidRPr="0010213E">
        <w:rPr>
          <w:lang w:val="ru-RU"/>
        </w:rPr>
        <w:t>и</w:t>
      </w:r>
      <w:r w:rsidRPr="00D653FC">
        <w:t xml:space="preserve"> </w:t>
      </w:r>
      <w:r w:rsidRPr="0010213E">
        <w:rPr>
          <w:lang w:val="ru-RU"/>
        </w:rPr>
        <w:t>Совета</w:t>
      </w:r>
      <w:r w:rsidRPr="00D653FC">
        <w:t xml:space="preserve"> </w:t>
      </w:r>
      <w:r w:rsidRPr="0010213E">
        <w:rPr>
          <w:lang w:val="ru-RU"/>
        </w:rPr>
        <w:t>от</w:t>
      </w:r>
      <w:r w:rsidRPr="00D653FC">
        <w:t xml:space="preserve"> 11 </w:t>
      </w:r>
      <w:r w:rsidRPr="0010213E">
        <w:rPr>
          <w:lang w:val="ru-RU"/>
        </w:rPr>
        <w:t>марта</w:t>
      </w:r>
      <w:r w:rsidRPr="00D653FC">
        <w:t xml:space="preserve"> 1996</w:t>
      </w:r>
      <w:r w:rsidRPr="00F93FDF">
        <w:t> </w:t>
      </w:r>
      <w:r w:rsidRPr="0010213E">
        <w:rPr>
          <w:lang w:val="ru-RU"/>
        </w:rPr>
        <w:t>г</w:t>
      </w:r>
      <w:r w:rsidRPr="00D653FC">
        <w:t xml:space="preserve">. </w:t>
      </w:r>
      <w:r w:rsidRPr="0010213E">
        <w:rPr>
          <w:lang w:val="ru-RU"/>
        </w:rPr>
        <w:t>о</w:t>
      </w:r>
      <w:r w:rsidRPr="00D653FC">
        <w:t xml:space="preserve"> </w:t>
      </w:r>
      <w:r w:rsidRPr="0010213E">
        <w:rPr>
          <w:lang w:val="ru-RU"/>
        </w:rPr>
        <w:t>правовой</w:t>
      </w:r>
      <w:r w:rsidRPr="00D653FC">
        <w:t xml:space="preserve"> </w:t>
      </w:r>
      <w:r w:rsidRPr="0010213E">
        <w:rPr>
          <w:lang w:val="ru-RU"/>
        </w:rPr>
        <w:t>защите</w:t>
      </w:r>
      <w:r w:rsidRPr="00D653FC">
        <w:t xml:space="preserve"> </w:t>
      </w:r>
      <w:r w:rsidRPr="0010213E">
        <w:rPr>
          <w:lang w:val="ru-RU"/>
        </w:rPr>
        <w:t>баз</w:t>
      </w:r>
      <w:r w:rsidRPr="00D653FC">
        <w:t xml:space="preserve"> </w:t>
      </w:r>
      <w:r w:rsidRPr="0010213E">
        <w:rPr>
          <w:lang w:val="ru-RU"/>
        </w:rPr>
        <w:t>данных</w:t>
      </w:r>
      <w:r w:rsidRPr="00D653FC">
        <w:t xml:space="preserve">, </w:t>
      </w:r>
      <w:r w:rsidRPr="0010213E">
        <w:rPr>
          <w:lang w:val="ru-RU"/>
        </w:rPr>
        <w:t>статья</w:t>
      </w:r>
      <w:r w:rsidRPr="00D653FC">
        <w:t xml:space="preserve"> 15.</w:t>
      </w:r>
    </w:p>
  </w:footnote>
  <w:footnote w:id="7">
    <w:p w:rsidR="00D23B0D" w:rsidRPr="006A4825" w:rsidRDefault="00D23B0D" w:rsidP="006A482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Директива</w:t>
      </w:r>
      <w:r w:rsidRPr="006A4825">
        <w:rPr>
          <w:lang w:val="ru-RU"/>
        </w:rPr>
        <w:t xml:space="preserve"> 2009/24/</w:t>
      </w:r>
      <w:r w:rsidRPr="00F93FDF">
        <w:t>EC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Европейского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парламента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и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Совета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от</w:t>
      </w:r>
      <w:r w:rsidRPr="006A4825">
        <w:rPr>
          <w:lang w:val="ru-RU"/>
        </w:rPr>
        <w:t xml:space="preserve"> 23 </w:t>
      </w:r>
      <w:r w:rsidRPr="0010213E">
        <w:rPr>
          <w:lang w:val="ru-RU"/>
        </w:rPr>
        <w:t>апреля</w:t>
      </w:r>
      <w:r w:rsidRPr="006A4825">
        <w:rPr>
          <w:lang w:val="ru-RU"/>
        </w:rPr>
        <w:t xml:space="preserve"> 2009</w:t>
      </w:r>
      <w:r w:rsidR="00F775A0">
        <w:rPr>
          <w:lang w:val="ru-RU"/>
        </w:rPr>
        <w:t> </w:t>
      </w:r>
      <w:r w:rsidRPr="0010213E">
        <w:rPr>
          <w:lang w:val="ru-RU"/>
        </w:rPr>
        <w:t>г</w:t>
      </w:r>
      <w:r w:rsidRPr="006A4825">
        <w:rPr>
          <w:lang w:val="ru-RU"/>
        </w:rPr>
        <w:t xml:space="preserve">. </w:t>
      </w:r>
      <w:r w:rsidRPr="0010213E">
        <w:rPr>
          <w:lang w:val="ru-RU"/>
        </w:rPr>
        <w:t>о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правовой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защите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компьютерных</w:t>
      </w:r>
      <w:r w:rsidRPr="006A4825">
        <w:rPr>
          <w:lang w:val="ru-RU"/>
        </w:rPr>
        <w:t xml:space="preserve"> </w:t>
      </w:r>
      <w:r w:rsidRPr="0010213E">
        <w:rPr>
          <w:lang w:val="ru-RU"/>
        </w:rPr>
        <w:t>программ</w:t>
      </w:r>
      <w:r w:rsidRPr="006A4825">
        <w:rPr>
          <w:lang w:val="ru-RU"/>
        </w:rPr>
        <w:t xml:space="preserve">, </w:t>
      </w:r>
      <w:r w:rsidRPr="0010213E">
        <w:rPr>
          <w:lang w:val="ru-RU"/>
        </w:rPr>
        <w:t>статья</w:t>
      </w:r>
      <w:r w:rsidRPr="006A4825">
        <w:rPr>
          <w:lang w:val="ru-RU"/>
        </w:rPr>
        <w:t xml:space="preserve"> 8(2).</w:t>
      </w:r>
    </w:p>
  </w:footnote>
  <w:footnote w:id="8">
    <w:p w:rsidR="00D23B0D" w:rsidRDefault="00D23B0D" w:rsidP="00371143">
      <w:pPr>
        <w:pStyle w:val="FootnoteText"/>
      </w:pPr>
      <w:r>
        <w:rPr>
          <w:rStyle w:val="FootnoteReference"/>
        </w:rPr>
        <w:footnoteRef/>
      </w:r>
      <w:r w:rsidRPr="00371143">
        <w:rPr>
          <w:lang w:val="ru-RU"/>
        </w:rPr>
        <w:t xml:space="preserve"> </w:t>
      </w:r>
      <w:r w:rsidRPr="0010213E">
        <w:rPr>
          <w:lang w:val="ru-RU"/>
        </w:rPr>
        <w:t xml:space="preserve">Договор ВОИС по авторскому праву, статья 8 (определяющая «право на сообщение для всеобщего сведения» как включающее «доведение своих произведений до всеобщего сведения таким образом, что представители публики могут осуществлять доступ к таким произведениям из любого места и в любое время по их собственному выбору»). См. также Согласованные заявления в отношении Договора ВОИС по авторскому праву, касающиеся статей 6 и 7 (предусматривающие, что право на распространение касается исключительно фиксированных копий, которые могут </w:t>
      </w:r>
      <w:r>
        <w:rPr>
          <w:lang w:val="ru-RU"/>
        </w:rPr>
        <w:t xml:space="preserve">обращаться </w:t>
      </w:r>
      <w:r w:rsidRPr="0010213E">
        <w:rPr>
          <w:lang w:val="ru-RU"/>
        </w:rPr>
        <w:t>в качестве материальных объектов). Ср</w:t>
      </w:r>
      <w:r w:rsidRPr="00371143">
        <w:t xml:space="preserve">. </w:t>
      </w:r>
      <w:r w:rsidRPr="0010213E">
        <w:rPr>
          <w:lang w:val="ru-RU"/>
        </w:rPr>
        <w:t>Договор</w:t>
      </w:r>
      <w:r w:rsidRPr="00371143">
        <w:t xml:space="preserve"> </w:t>
      </w:r>
      <w:r w:rsidRPr="0010213E">
        <w:rPr>
          <w:lang w:val="ru-RU"/>
        </w:rPr>
        <w:t>ВОИС</w:t>
      </w:r>
      <w:r w:rsidRPr="00371143">
        <w:t xml:space="preserve"> </w:t>
      </w:r>
      <w:r w:rsidRPr="0010213E">
        <w:rPr>
          <w:lang w:val="ru-RU"/>
        </w:rPr>
        <w:t>по</w:t>
      </w:r>
      <w:r w:rsidRPr="00371143">
        <w:t xml:space="preserve"> </w:t>
      </w:r>
      <w:r w:rsidRPr="0010213E">
        <w:rPr>
          <w:lang w:val="ru-RU"/>
        </w:rPr>
        <w:t>исполнениям</w:t>
      </w:r>
      <w:r w:rsidRPr="00371143">
        <w:t xml:space="preserve"> </w:t>
      </w:r>
      <w:r w:rsidRPr="0010213E">
        <w:rPr>
          <w:lang w:val="ru-RU"/>
        </w:rPr>
        <w:t>и</w:t>
      </w:r>
      <w:r w:rsidRPr="00371143">
        <w:t xml:space="preserve"> </w:t>
      </w:r>
      <w:r w:rsidRPr="0010213E">
        <w:rPr>
          <w:lang w:val="ru-RU"/>
        </w:rPr>
        <w:t>фонограммам</w:t>
      </w:r>
      <w:r w:rsidRPr="00371143">
        <w:t xml:space="preserve">, </w:t>
      </w:r>
      <w:r w:rsidRPr="0010213E">
        <w:rPr>
          <w:lang w:val="ru-RU"/>
        </w:rPr>
        <w:t>статьи</w:t>
      </w:r>
      <w:r w:rsidRPr="00371143">
        <w:t xml:space="preserve"> 10, 14. </w:t>
      </w:r>
    </w:p>
  </w:footnote>
  <w:footnote w:id="9">
    <w:p w:rsidR="00D23B0D" w:rsidRPr="00FB3BAD" w:rsidRDefault="00D23B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Остальные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положения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имеют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широкую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формулировку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не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относятся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конкретно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к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Т</w:t>
      </w:r>
      <w:r>
        <w:rPr>
          <w:lang w:val="ru-RU"/>
        </w:rPr>
        <w:t>С</w:t>
      </w:r>
      <w:r w:rsidRPr="0010213E">
        <w:rPr>
          <w:lang w:val="ru-RU"/>
        </w:rPr>
        <w:t>З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или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ИУП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однако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их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применение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дает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право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на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конкретные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виды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деятельности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такие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как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научные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исследования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в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области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эксплуатационной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совместимости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шифрования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безопасности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которые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были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бы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невозможны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в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случае</w:t>
      </w:r>
      <w:r w:rsidRPr="00FB3BAD">
        <w:rPr>
          <w:lang w:val="ru-RU"/>
        </w:rPr>
        <w:t xml:space="preserve"> </w:t>
      </w:r>
      <w:r w:rsidRPr="00BC1CCE">
        <w:rPr>
          <w:snapToGrid w:val="0"/>
          <w:lang w:val="ru-RU"/>
        </w:rPr>
        <w:t>применени</w:t>
      </w:r>
      <w:r>
        <w:rPr>
          <w:lang w:val="ru-RU"/>
        </w:rPr>
        <w:t>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Т</w:t>
      </w:r>
      <w:r>
        <w:rPr>
          <w:lang w:val="ru-RU"/>
        </w:rPr>
        <w:t>С</w:t>
      </w:r>
      <w:r w:rsidRPr="0010213E">
        <w:rPr>
          <w:lang w:val="ru-RU"/>
        </w:rPr>
        <w:t>З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или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ИУП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в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отношении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соответствующих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произведений</w:t>
      </w:r>
      <w:r w:rsidRPr="00FB3BAD">
        <w:rPr>
          <w:lang w:val="ru-RU"/>
        </w:rPr>
        <w:t>.</w:t>
      </w:r>
    </w:p>
  </w:footnote>
  <w:footnote w:id="10">
    <w:p w:rsidR="00D23B0D" w:rsidRPr="00FB3BAD" w:rsidRDefault="00D23B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Стандартное отклонение</w:t>
      </w:r>
      <w:r>
        <w:rPr>
          <w:lang w:val="ru-RU"/>
        </w:rPr>
        <w:t xml:space="preserve"> </w:t>
      </w:r>
      <w:r w:rsidRPr="006B319A">
        <w:rPr>
          <w:rFonts w:eastAsia="+mn-ea"/>
          <w:lang w:val="ru-RU"/>
        </w:rPr>
        <w:t>–</w:t>
      </w:r>
      <w:r>
        <w:rPr>
          <w:lang w:val="ru-RU"/>
        </w:rPr>
        <w:t xml:space="preserve"> </w:t>
      </w:r>
      <w:r w:rsidRPr="0010213E">
        <w:rPr>
          <w:lang w:val="ru-RU"/>
        </w:rPr>
        <w:t xml:space="preserve">1,33, медианное значение </w:t>
      </w:r>
      <w:r w:rsidRPr="006B319A">
        <w:rPr>
          <w:rFonts w:eastAsia="+mn-ea"/>
          <w:lang w:val="ru-RU"/>
        </w:rPr>
        <w:t>–</w:t>
      </w:r>
      <w:r>
        <w:rPr>
          <w:lang w:val="ru-RU"/>
        </w:rPr>
        <w:t xml:space="preserve"> </w:t>
      </w:r>
      <w:r w:rsidRPr="0010213E">
        <w:rPr>
          <w:lang w:val="ru-RU"/>
        </w:rPr>
        <w:t>0.</w:t>
      </w:r>
    </w:p>
  </w:footnote>
  <w:footnote w:id="11">
    <w:p w:rsidR="00D23B0D" w:rsidRPr="00FB3BAD" w:rsidRDefault="00D23B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Стандартное отклонение – 1,67, медианное значение – 1.</w:t>
      </w:r>
    </w:p>
  </w:footnote>
  <w:footnote w:id="12">
    <w:p w:rsidR="00D23B0D" w:rsidRDefault="00D23B0D">
      <w:pPr>
        <w:pStyle w:val="FootnoteText"/>
      </w:pPr>
      <w:r>
        <w:rPr>
          <w:rStyle w:val="FootnoteReference"/>
        </w:rPr>
        <w:footnoteRef/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 xml:space="preserve">См. статью </w:t>
      </w:r>
      <w:r w:rsidRPr="00F93FDF">
        <w:t>II</w:t>
      </w:r>
      <w:r w:rsidRPr="0010213E">
        <w:rPr>
          <w:lang w:val="ru-RU"/>
        </w:rPr>
        <w:t xml:space="preserve"> Бернской Конвенции.</w:t>
      </w:r>
    </w:p>
  </w:footnote>
  <w:footnote w:id="13">
    <w:p w:rsidR="00D23B0D" w:rsidRPr="00FB3BAD" w:rsidRDefault="00D23B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См</w:t>
      </w:r>
      <w:r w:rsidRPr="00FB3BAD">
        <w:rPr>
          <w:lang w:val="ru-RU"/>
        </w:rPr>
        <w:t xml:space="preserve">., </w:t>
      </w:r>
      <w:r w:rsidRPr="0010213E">
        <w:rPr>
          <w:lang w:val="ru-RU"/>
        </w:rPr>
        <w:t>например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статью</w:t>
      </w:r>
      <w:r w:rsidRPr="00FB3BAD">
        <w:rPr>
          <w:lang w:val="ru-RU"/>
        </w:rPr>
        <w:t xml:space="preserve"> 3(3) </w:t>
      </w:r>
      <w:r w:rsidRPr="0010213E">
        <w:rPr>
          <w:lang w:val="ru-RU"/>
        </w:rPr>
        <w:t>Бернской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конвенции</w:t>
      </w:r>
      <w:r w:rsidRPr="00FB3BAD">
        <w:rPr>
          <w:lang w:val="ru-RU"/>
        </w:rPr>
        <w:t xml:space="preserve">; </w:t>
      </w:r>
      <w:r w:rsidRPr="0010213E">
        <w:rPr>
          <w:lang w:val="ru-RU"/>
        </w:rPr>
        <w:t>согласованные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заявления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касающиеся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Договора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ВОИС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об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авторском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праве</w:t>
      </w:r>
      <w:r w:rsidRPr="00FB3BAD">
        <w:rPr>
          <w:lang w:val="ru-RU"/>
        </w:rPr>
        <w:t xml:space="preserve">, </w:t>
      </w:r>
      <w:r w:rsidRPr="0010213E">
        <w:rPr>
          <w:lang w:val="ru-RU"/>
        </w:rPr>
        <w:t>относящиеся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к</w:t>
      </w:r>
      <w:r w:rsidRPr="00FB3BAD">
        <w:rPr>
          <w:lang w:val="ru-RU"/>
        </w:rPr>
        <w:t xml:space="preserve"> </w:t>
      </w:r>
      <w:r w:rsidRPr="0010213E">
        <w:rPr>
          <w:lang w:val="ru-RU"/>
        </w:rPr>
        <w:t>статьям</w:t>
      </w:r>
      <w:r w:rsidRPr="00FB3BAD">
        <w:rPr>
          <w:lang w:val="ru-RU"/>
        </w:rPr>
        <w:t xml:space="preserve"> 6 </w:t>
      </w:r>
      <w:r w:rsidRPr="0010213E">
        <w:rPr>
          <w:lang w:val="ru-RU"/>
        </w:rPr>
        <w:t>и</w:t>
      </w:r>
      <w:r w:rsidRPr="00FB3BAD">
        <w:rPr>
          <w:lang w:val="ru-RU"/>
        </w:rPr>
        <w:t xml:space="preserve">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D" w:rsidRDefault="00D23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D" w:rsidRDefault="00D23B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D" w:rsidRDefault="00D23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942"/>
    <w:multiLevelType w:val="hybridMultilevel"/>
    <w:tmpl w:val="28B29E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01E07"/>
    <w:multiLevelType w:val="multilevel"/>
    <w:tmpl w:val="A246F4B2"/>
    <w:lvl w:ilvl="0">
      <w:start w:val="1"/>
      <w:numFmt w:val="none"/>
      <w:pStyle w:val="Heading1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Heading2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440"/>
      </w:pPr>
      <w:rPr>
        <w:rFonts w:cs="Times New Roman" w:hint="default"/>
      </w:rPr>
    </w:lvl>
    <w:lvl w:ilvl="3">
      <w:start w:val="1"/>
      <w:numFmt w:val="lowerRoman"/>
      <w:pStyle w:val="Heading4"/>
      <w:lvlText w:val="(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2">
    <w:nsid w:val="7DC5347C"/>
    <w:multiLevelType w:val="hybridMultilevel"/>
    <w:tmpl w:val="43F6B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45"/>
    <w:rsid w:val="00006527"/>
    <w:rsid w:val="000133FF"/>
    <w:rsid w:val="000134A5"/>
    <w:rsid w:val="00013DE8"/>
    <w:rsid w:val="0001475D"/>
    <w:rsid w:val="0002028B"/>
    <w:rsid w:val="000504F0"/>
    <w:rsid w:val="00050619"/>
    <w:rsid w:val="00055D91"/>
    <w:rsid w:val="00057F50"/>
    <w:rsid w:val="000607BB"/>
    <w:rsid w:val="00061463"/>
    <w:rsid w:val="00063920"/>
    <w:rsid w:val="000756ED"/>
    <w:rsid w:val="00080B8B"/>
    <w:rsid w:val="00081965"/>
    <w:rsid w:val="00082C02"/>
    <w:rsid w:val="0009130B"/>
    <w:rsid w:val="00093FBD"/>
    <w:rsid w:val="0009625F"/>
    <w:rsid w:val="000A09B3"/>
    <w:rsid w:val="000A1432"/>
    <w:rsid w:val="000A2585"/>
    <w:rsid w:val="000B4EEB"/>
    <w:rsid w:val="000D4DB1"/>
    <w:rsid w:val="000E26C8"/>
    <w:rsid w:val="000E5885"/>
    <w:rsid w:val="000E64DB"/>
    <w:rsid w:val="000F09BC"/>
    <w:rsid w:val="000F2299"/>
    <w:rsid w:val="000F50F1"/>
    <w:rsid w:val="000F5ADF"/>
    <w:rsid w:val="001004A1"/>
    <w:rsid w:val="00102C97"/>
    <w:rsid w:val="001300B4"/>
    <w:rsid w:val="001321D2"/>
    <w:rsid w:val="00141ECC"/>
    <w:rsid w:val="00143DE9"/>
    <w:rsid w:val="00156B89"/>
    <w:rsid w:val="00166B87"/>
    <w:rsid w:val="001753F2"/>
    <w:rsid w:val="00177D2B"/>
    <w:rsid w:val="001858B0"/>
    <w:rsid w:val="00192F3C"/>
    <w:rsid w:val="001953F4"/>
    <w:rsid w:val="0019605A"/>
    <w:rsid w:val="001A4040"/>
    <w:rsid w:val="001A7E5D"/>
    <w:rsid w:val="001C02D2"/>
    <w:rsid w:val="001C0EFD"/>
    <w:rsid w:val="001C2D88"/>
    <w:rsid w:val="001C4CFD"/>
    <w:rsid w:val="001D1421"/>
    <w:rsid w:val="001D3646"/>
    <w:rsid w:val="001D71B5"/>
    <w:rsid w:val="001E7538"/>
    <w:rsid w:val="001F2C2D"/>
    <w:rsid w:val="001F4615"/>
    <w:rsid w:val="001F6CE4"/>
    <w:rsid w:val="001F71E5"/>
    <w:rsid w:val="002010BF"/>
    <w:rsid w:val="00201B3A"/>
    <w:rsid w:val="0020324D"/>
    <w:rsid w:val="0021004D"/>
    <w:rsid w:val="00216449"/>
    <w:rsid w:val="00223B35"/>
    <w:rsid w:val="002275FA"/>
    <w:rsid w:val="00232933"/>
    <w:rsid w:val="002447C5"/>
    <w:rsid w:val="00251812"/>
    <w:rsid w:val="002538AA"/>
    <w:rsid w:val="00260517"/>
    <w:rsid w:val="0026388B"/>
    <w:rsid w:val="0027045C"/>
    <w:rsid w:val="00270505"/>
    <w:rsid w:val="00276663"/>
    <w:rsid w:val="00281855"/>
    <w:rsid w:val="002829F4"/>
    <w:rsid w:val="002A7A36"/>
    <w:rsid w:val="002C1931"/>
    <w:rsid w:val="002C7D9F"/>
    <w:rsid w:val="002D5025"/>
    <w:rsid w:val="002D718D"/>
    <w:rsid w:val="002E6E19"/>
    <w:rsid w:val="002E7588"/>
    <w:rsid w:val="002F092F"/>
    <w:rsid w:val="002F76CA"/>
    <w:rsid w:val="003212B2"/>
    <w:rsid w:val="00324DD8"/>
    <w:rsid w:val="00326A71"/>
    <w:rsid w:val="00332EC3"/>
    <w:rsid w:val="00336695"/>
    <w:rsid w:val="00344567"/>
    <w:rsid w:val="00346553"/>
    <w:rsid w:val="003535A8"/>
    <w:rsid w:val="0035499C"/>
    <w:rsid w:val="00355057"/>
    <w:rsid w:val="00355B80"/>
    <w:rsid w:val="00356A09"/>
    <w:rsid w:val="00356F53"/>
    <w:rsid w:val="003620B9"/>
    <w:rsid w:val="00371143"/>
    <w:rsid w:val="0039148F"/>
    <w:rsid w:val="003B070B"/>
    <w:rsid w:val="003B1E80"/>
    <w:rsid w:val="003B73F3"/>
    <w:rsid w:val="003C40AD"/>
    <w:rsid w:val="003C55A7"/>
    <w:rsid w:val="003C79B5"/>
    <w:rsid w:val="003D0F77"/>
    <w:rsid w:val="003D181A"/>
    <w:rsid w:val="003D2778"/>
    <w:rsid w:val="003D7CB3"/>
    <w:rsid w:val="003E24E4"/>
    <w:rsid w:val="003E7088"/>
    <w:rsid w:val="003F0A6A"/>
    <w:rsid w:val="003F2B8F"/>
    <w:rsid w:val="00414E28"/>
    <w:rsid w:val="00415C5D"/>
    <w:rsid w:val="00424BD5"/>
    <w:rsid w:val="004250D5"/>
    <w:rsid w:val="00426C69"/>
    <w:rsid w:val="00437038"/>
    <w:rsid w:val="00444F78"/>
    <w:rsid w:val="004511DB"/>
    <w:rsid w:val="00451AB9"/>
    <w:rsid w:val="0046136F"/>
    <w:rsid w:val="00465433"/>
    <w:rsid w:val="00483628"/>
    <w:rsid w:val="004920F7"/>
    <w:rsid w:val="00492FF9"/>
    <w:rsid w:val="004A0861"/>
    <w:rsid w:val="004C4E1C"/>
    <w:rsid w:val="004D0834"/>
    <w:rsid w:val="004E0460"/>
    <w:rsid w:val="004E5144"/>
    <w:rsid w:val="004F148E"/>
    <w:rsid w:val="004F67B4"/>
    <w:rsid w:val="004F7750"/>
    <w:rsid w:val="005003F7"/>
    <w:rsid w:val="00501C1D"/>
    <w:rsid w:val="00503EA7"/>
    <w:rsid w:val="00505B56"/>
    <w:rsid w:val="005137A6"/>
    <w:rsid w:val="00517D16"/>
    <w:rsid w:val="00520072"/>
    <w:rsid w:val="005336AC"/>
    <w:rsid w:val="005410C9"/>
    <w:rsid w:val="0054452B"/>
    <w:rsid w:val="00547BD8"/>
    <w:rsid w:val="00555366"/>
    <w:rsid w:val="00562A79"/>
    <w:rsid w:val="005740BA"/>
    <w:rsid w:val="00576F62"/>
    <w:rsid w:val="00582617"/>
    <w:rsid w:val="00585786"/>
    <w:rsid w:val="00591FD0"/>
    <w:rsid w:val="005B5D37"/>
    <w:rsid w:val="005C1133"/>
    <w:rsid w:val="005C4BA1"/>
    <w:rsid w:val="005D2DEB"/>
    <w:rsid w:val="005E2E3E"/>
    <w:rsid w:val="005E2FC6"/>
    <w:rsid w:val="005E373D"/>
    <w:rsid w:val="005E57C5"/>
    <w:rsid w:val="00601870"/>
    <w:rsid w:val="0060639B"/>
    <w:rsid w:val="00617B65"/>
    <w:rsid w:val="006340A2"/>
    <w:rsid w:val="00634368"/>
    <w:rsid w:val="00635BBA"/>
    <w:rsid w:val="00646C62"/>
    <w:rsid w:val="00647D7C"/>
    <w:rsid w:val="006504E9"/>
    <w:rsid w:val="006506BC"/>
    <w:rsid w:val="00651996"/>
    <w:rsid w:val="0065423B"/>
    <w:rsid w:val="006716C6"/>
    <w:rsid w:val="0067363D"/>
    <w:rsid w:val="00677AD7"/>
    <w:rsid w:val="0068408A"/>
    <w:rsid w:val="006866F7"/>
    <w:rsid w:val="00687B72"/>
    <w:rsid w:val="0069040B"/>
    <w:rsid w:val="00693DEE"/>
    <w:rsid w:val="00693E37"/>
    <w:rsid w:val="00694547"/>
    <w:rsid w:val="006A03AA"/>
    <w:rsid w:val="006A4825"/>
    <w:rsid w:val="006A7AD7"/>
    <w:rsid w:val="006B6E2C"/>
    <w:rsid w:val="006C2AAC"/>
    <w:rsid w:val="006C5D74"/>
    <w:rsid w:val="006D43DB"/>
    <w:rsid w:val="006E028C"/>
    <w:rsid w:val="006E595E"/>
    <w:rsid w:val="006E6AB9"/>
    <w:rsid w:val="006F2705"/>
    <w:rsid w:val="006F28E1"/>
    <w:rsid w:val="00700C41"/>
    <w:rsid w:val="007077F9"/>
    <w:rsid w:val="00722B1D"/>
    <w:rsid w:val="00733F26"/>
    <w:rsid w:val="00740155"/>
    <w:rsid w:val="00746276"/>
    <w:rsid w:val="00746E45"/>
    <w:rsid w:val="00771ECA"/>
    <w:rsid w:val="00773B23"/>
    <w:rsid w:val="007815F8"/>
    <w:rsid w:val="00784C11"/>
    <w:rsid w:val="00787836"/>
    <w:rsid w:val="00794F5F"/>
    <w:rsid w:val="007A1A66"/>
    <w:rsid w:val="007A61D3"/>
    <w:rsid w:val="007B08DB"/>
    <w:rsid w:val="007B1132"/>
    <w:rsid w:val="007C4E58"/>
    <w:rsid w:val="007C7D9D"/>
    <w:rsid w:val="007D00FE"/>
    <w:rsid w:val="007D6D36"/>
    <w:rsid w:val="007E1676"/>
    <w:rsid w:val="007E6B2D"/>
    <w:rsid w:val="007F131D"/>
    <w:rsid w:val="007F289B"/>
    <w:rsid w:val="00800FE6"/>
    <w:rsid w:val="00805A8A"/>
    <w:rsid w:val="00813797"/>
    <w:rsid w:val="0081646E"/>
    <w:rsid w:val="00817A25"/>
    <w:rsid w:val="00824955"/>
    <w:rsid w:val="00830237"/>
    <w:rsid w:val="00830A07"/>
    <w:rsid w:val="008376CD"/>
    <w:rsid w:val="00846EC0"/>
    <w:rsid w:val="0084723D"/>
    <w:rsid w:val="00847AA7"/>
    <w:rsid w:val="00853476"/>
    <w:rsid w:val="00854F20"/>
    <w:rsid w:val="00862470"/>
    <w:rsid w:val="00862D6F"/>
    <w:rsid w:val="008642B2"/>
    <w:rsid w:val="0086607D"/>
    <w:rsid w:val="00866FF3"/>
    <w:rsid w:val="0087160F"/>
    <w:rsid w:val="00875030"/>
    <w:rsid w:val="008836F5"/>
    <w:rsid w:val="008877D9"/>
    <w:rsid w:val="00887C76"/>
    <w:rsid w:val="00892609"/>
    <w:rsid w:val="008B12B7"/>
    <w:rsid w:val="008B3086"/>
    <w:rsid w:val="008B7CD3"/>
    <w:rsid w:val="008C17C4"/>
    <w:rsid w:val="008C2055"/>
    <w:rsid w:val="008C5C0F"/>
    <w:rsid w:val="008C646F"/>
    <w:rsid w:val="008D392F"/>
    <w:rsid w:val="008D5223"/>
    <w:rsid w:val="008D6AF8"/>
    <w:rsid w:val="008E0B28"/>
    <w:rsid w:val="00900FEE"/>
    <w:rsid w:val="0090454B"/>
    <w:rsid w:val="00905E9E"/>
    <w:rsid w:val="009108CB"/>
    <w:rsid w:val="00911C51"/>
    <w:rsid w:val="0091464E"/>
    <w:rsid w:val="00920174"/>
    <w:rsid w:val="0092520D"/>
    <w:rsid w:val="00927D4A"/>
    <w:rsid w:val="00932839"/>
    <w:rsid w:val="009335FB"/>
    <w:rsid w:val="00934175"/>
    <w:rsid w:val="009356D1"/>
    <w:rsid w:val="00966B48"/>
    <w:rsid w:val="00970916"/>
    <w:rsid w:val="00980F5C"/>
    <w:rsid w:val="009909E6"/>
    <w:rsid w:val="009953C1"/>
    <w:rsid w:val="0099644B"/>
    <w:rsid w:val="009A1E2F"/>
    <w:rsid w:val="009B0929"/>
    <w:rsid w:val="009B3632"/>
    <w:rsid w:val="009D0EFB"/>
    <w:rsid w:val="009D299B"/>
    <w:rsid w:val="009E4CB5"/>
    <w:rsid w:val="009E6887"/>
    <w:rsid w:val="009F2149"/>
    <w:rsid w:val="00A01BAE"/>
    <w:rsid w:val="00A0368E"/>
    <w:rsid w:val="00A05193"/>
    <w:rsid w:val="00A13F08"/>
    <w:rsid w:val="00A166B7"/>
    <w:rsid w:val="00A203AC"/>
    <w:rsid w:val="00A23BD3"/>
    <w:rsid w:val="00A30E95"/>
    <w:rsid w:val="00A30EC5"/>
    <w:rsid w:val="00A33102"/>
    <w:rsid w:val="00A35311"/>
    <w:rsid w:val="00A35986"/>
    <w:rsid w:val="00A361CA"/>
    <w:rsid w:val="00A37B40"/>
    <w:rsid w:val="00A454E4"/>
    <w:rsid w:val="00A47282"/>
    <w:rsid w:val="00A50755"/>
    <w:rsid w:val="00A50C0E"/>
    <w:rsid w:val="00A53539"/>
    <w:rsid w:val="00A54B1F"/>
    <w:rsid w:val="00A6233A"/>
    <w:rsid w:val="00A67FBE"/>
    <w:rsid w:val="00A70C70"/>
    <w:rsid w:val="00A734B0"/>
    <w:rsid w:val="00A73DED"/>
    <w:rsid w:val="00A830CF"/>
    <w:rsid w:val="00A842F3"/>
    <w:rsid w:val="00A940C9"/>
    <w:rsid w:val="00AA0EEC"/>
    <w:rsid w:val="00AA3F9D"/>
    <w:rsid w:val="00AB3FC2"/>
    <w:rsid w:val="00AB7642"/>
    <w:rsid w:val="00AC15DB"/>
    <w:rsid w:val="00AC6C12"/>
    <w:rsid w:val="00AD2C64"/>
    <w:rsid w:val="00AF0402"/>
    <w:rsid w:val="00B05874"/>
    <w:rsid w:val="00B05AF5"/>
    <w:rsid w:val="00B06811"/>
    <w:rsid w:val="00B07DFF"/>
    <w:rsid w:val="00B1015C"/>
    <w:rsid w:val="00B156BF"/>
    <w:rsid w:val="00B15F03"/>
    <w:rsid w:val="00B22B6B"/>
    <w:rsid w:val="00B24013"/>
    <w:rsid w:val="00B3415A"/>
    <w:rsid w:val="00B530B2"/>
    <w:rsid w:val="00B55337"/>
    <w:rsid w:val="00B62701"/>
    <w:rsid w:val="00B62999"/>
    <w:rsid w:val="00B632E5"/>
    <w:rsid w:val="00B70BD0"/>
    <w:rsid w:val="00B710E5"/>
    <w:rsid w:val="00B84907"/>
    <w:rsid w:val="00B94399"/>
    <w:rsid w:val="00B951EA"/>
    <w:rsid w:val="00BB56A4"/>
    <w:rsid w:val="00BB7A20"/>
    <w:rsid w:val="00BB7E60"/>
    <w:rsid w:val="00BC1CCE"/>
    <w:rsid w:val="00BC6AC3"/>
    <w:rsid w:val="00BD2D8C"/>
    <w:rsid w:val="00BD5011"/>
    <w:rsid w:val="00BD7129"/>
    <w:rsid w:val="00BE1E6A"/>
    <w:rsid w:val="00BE2D53"/>
    <w:rsid w:val="00BF0BA2"/>
    <w:rsid w:val="00BF2C24"/>
    <w:rsid w:val="00BF7B5E"/>
    <w:rsid w:val="00C16B5A"/>
    <w:rsid w:val="00C17AD6"/>
    <w:rsid w:val="00C205A4"/>
    <w:rsid w:val="00C22C06"/>
    <w:rsid w:val="00C421D4"/>
    <w:rsid w:val="00C42A61"/>
    <w:rsid w:val="00C47CB2"/>
    <w:rsid w:val="00C55BB4"/>
    <w:rsid w:val="00C63081"/>
    <w:rsid w:val="00C6478F"/>
    <w:rsid w:val="00C65CF8"/>
    <w:rsid w:val="00C70D63"/>
    <w:rsid w:val="00C71C51"/>
    <w:rsid w:val="00C73224"/>
    <w:rsid w:val="00C83101"/>
    <w:rsid w:val="00C84DF3"/>
    <w:rsid w:val="00C87BB9"/>
    <w:rsid w:val="00CA1360"/>
    <w:rsid w:val="00CB0602"/>
    <w:rsid w:val="00CB184F"/>
    <w:rsid w:val="00CB6EC1"/>
    <w:rsid w:val="00CC0AD1"/>
    <w:rsid w:val="00CC5AAD"/>
    <w:rsid w:val="00CC634E"/>
    <w:rsid w:val="00CD1A17"/>
    <w:rsid w:val="00CD7CEB"/>
    <w:rsid w:val="00CD7D64"/>
    <w:rsid w:val="00CE7F60"/>
    <w:rsid w:val="00CF0C38"/>
    <w:rsid w:val="00CF20CB"/>
    <w:rsid w:val="00CF525E"/>
    <w:rsid w:val="00D01527"/>
    <w:rsid w:val="00D2303E"/>
    <w:rsid w:val="00D23B0D"/>
    <w:rsid w:val="00D42B8F"/>
    <w:rsid w:val="00D50DA2"/>
    <w:rsid w:val="00D64177"/>
    <w:rsid w:val="00D653FC"/>
    <w:rsid w:val="00D76383"/>
    <w:rsid w:val="00D83BE7"/>
    <w:rsid w:val="00D83E54"/>
    <w:rsid w:val="00D918A5"/>
    <w:rsid w:val="00D93394"/>
    <w:rsid w:val="00DA415E"/>
    <w:rsid w:val="00DA5367"/>
    <w:rsid w:val="00DA54E6"/>
    <w:rsid w:val="00DB3F15"/>
    <w:rsid w:val="00DB62C1"/>
    <w:rsid w:val="00DB6747"/>
    <w:rsid w:val="00DC369B"/>
    <w:rsid w:val="00DC7739"/>
    <w:rsid w:val="00DD48C5"/>
    <w:rsid w:val="00DE2818"/>
    <w:rsid w:val="00DE5927"/>
    <w:rsid w:val="00DE596C"/>
    <w:rsid w:val="00DF0504"/>
    <w:rsid w:val="00DF39F7"/>
    <w:rsid w:val="00DF750A"/>
    <w:rsid w:val="00E05489"/>
    <w:rsid w:val="00E05560"/>
    <w:rsid w:val="00E06EE9"/>
    <w:rsid w:val="00E15EA9"/>
    <w:rsid w:val="00E16683"/>
    <w:rsid w:val="00E16F55"/>
    <w:rsid w:val="00E17B1B"/>
    <w:rsid w:val="00E314A2"/>
    <w:rsid w:val="00E35734"/>
    <w:rsid w:val="00E369AF"/>
    <w:rsid w:val="00E36D95"/>
    <w:rsid w:val="00E37B22"/>
    <w:rsid w:val="00E41E2B"/>
    <w:rsid w:val="00E4641F"/>
    <w:rsid w:val="00E66F18"/>
    <w:rsid w:val="00E7753B"/>
    <w:rsid w:val="00E83343"/>
    <w:rsid w:val="00E93A55"/>
    <w:rsid w:val="00EA4A65"/>
    <w:rsid w:val="00EA4D01"/>
    <w:rsid w:val="00EC2E83"/>
    <w:rsid w:val="00EC6AE8"/>
    <w:rsid w:val="00ED01B2"/>
    <w:rsid w:val="00ED7AF4"/>
    <w:rsid w:val="00EE5579"/>
    <w:rsid w:val="00EF3C70"/>
    <w:rsid w:val="00EF770B"/>
    <w:rsid w:val="00F02691"/>
    <w:rsid w:val="00F10B49"/>
    <w:rsid w:val="00F162CE"/>
    <w:rsid w:val="00F16BBF"/>
    <w:rsid w:val="00F22BB2"/>
    <w:rsid w:val="00F25716"/>
    <w:rsid w:val="00F27B9F"/>
    <w:rsid w:val="00F45CEE"/>
    <w:rsid w:val="00F638C6"/>
    <w:rsid w:val="00F64F87"/>
    <w:rsid w:val="00F672BF"/>
    <w:rsid w:val="00F71DF5"/>
    <w:rsid w:val="00F76521"/>
    <w:rsid w:val="00F775A0"/>
    <w:rsid w:val="00F80D4D"/>
    <w:rsid w:val="00F82AE9"/>
    <w:rsid w:val="00F841C9"/>
    <w:rsid w:val="00F85DB2"/>
    <w:rsid w:val="00FA78C8"/>
    <w:rsid w:val="00FB3BAD"/>
    <w:rsid w:val="00FB61B9"/>
    <w:rsid w:val="00FB6A22"/>
    <w:rsid w:val="00FC3CDB"/>
    <w:rsid w:val="00FC752E"/>
    <w:rsid w:val="00FD72AE"/>
    <w:rsid w:val="00FE3B92"/>
    <w:rsid w:val="00FE41FA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E45"/>
    <w:pPr>
      <w:spacing w:after="160" w:line="259" w:lineRule="auto"/>
      <w:jc w:val="both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6E45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rFonts w:cs="Times New Roman"/>
      <w:b/>
      <w:color w:val="2E74B5"/>
      <w:sz w:val="28"/>
      <w:szCs w:val="32"/>
    </w:rPr>
  </w:style>
  <w:style w:type="paragraph" w:styleId="Heading2">
    <w:name w:val="heading 2"/>
    <w:basedOn w:val="Normal"/>
    <w:next w:val="Provision"/>
    <w:link w:val="Heading2Char"/>
    <w:qFormat/>
    <w:rsid w:val="00746E45"/>
    <w:pPr>
      <w:keepNext/>
      <w:keepLines/>
      <w:numPr>
        <w:ilvl w:val="1"/>
        <w:numId w:val="1"/>
      </w:numPr>
      <w:spacing w:before="240" w:after="120"/>
      <w:outlineLvl w:val="1"/>
    </w:pPr>
    <w:rPr>
      <w:rFonts w:cs="Times New Roman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46E45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cs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qFormat/>
    <w:rsid w:val="00746E45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cs="Times New Roman"/>
      <w:color w:val="2E74B5"/>
    </w:rPr>
  </w:style>
  <w:style w:type="paragraph" w:styleId="Heading6">
    <w:name w:val="heading 6"/>
    <w:basedOn w:val="Normal"/>
    <w:next w:val="Normal"/>
    <w:link w:val="Heading6Char"/>
    <w:qFormat/>
    <w:rsid w:val="00746E45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cs="Times New Roman"/>
      <w:color w:val="1F4D78"/>
    </w:rPr>
  </w:style>
  <w:style w:type="paragraph" w:styleId="Heading7">
    <w:name w:val="heading 7"/>
    <w:basedOn w:val="Normal"/>
    <w:next w:val="Normal"/>
    <w:link w:val="Heading7Char"/>
    <w:qFormat/>
    <w:rsid w:val="00746E45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cs="Times New Roman"/>
      <w:i/>
      <w:iCs/>
      <w:color w:val="1F4D78"/>
    </w:rPr>
  </w:style>
  <w:style w:type="paragraph" w:styleId="Heading8">
    <w:name w:val="heading 8"/>
    <w:basedOn w:val="Normal"/>
    <w:next w:val="Normal"/>
    <w:link w:val="Heading8Char"/>
    <w:qFormat/>
    <w:rsid w:val="00746E45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746E45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46E45"/>
    <w:rPr>
      <w:rFonts w:ascii="Arial" w:eastAsia="SimSun" w:hAnsi="Arial"/>
      <w:b/>
      <w:color w:val="2E74B5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746E45"/>
    <w:rPr>
      <w:rFonts w:ascii="Arial" w:eastAsia="SimSun" w:hAnsi="Arial"/>
      <w:sz w:val="22"/>
      <w:szCs w:val="26"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746E45"/>
    <w:rPr>
      <w:rFonts w:ascii="Calibri Light" w:eastAsia="SimSun" w:hAnsi="Calibri Light"/>
      <w:i/>
      <w:color w:val="2E74B5"/>
      <w:lang w:val="en-US" w:eastAsia="en-US"/>
    </w:rPr>
  </w:style>
  <w:style w:type="character" w:customStyle="1" w:styleId="Heading5Char">
    <w:name w:val="Heading 5 Char"/>
    <w:link w:val="Heading5"/>
    <w:locked/>
    <w:rsid w:val="00746E45"/>
    <w:rPr>
      <w:rFonts w:ascii="Calibri Light" w:eastAsia="SimSun" w:hAnsi="Calibri Light"/>
      <w:color w:val="2E74B5"/>
      <w:lang w:val="en-US" w:eastAsia="en-US"/>
    </w:rPr>
  </w:style>
  <w:style w:type="character" w:customStyle="1" w:styleId="Heading6Char">
    <w:name w:val="Heading 6 Char"/>
    <w:link w:val="Heading6"/>
    <w:locked/>
    <w:rsid w:val="00746E45"/>
    <w:rPr>
      <w:rFonts w:ascii="Calibri Light" w:eastAsia="SimSun" w:hAnsi="Calibri Light"/>
      <w:color w:val="1F4D78"/>
      <w:lang w:val="en-US" w:eastAsia="en-US"/>
    </w:rPr>
  </w:style>
  <w:style w:type="character" w:customStyle="1" w:styleId="Heading7Char">
    <w:name w:val="Heading 7 Char"/>
    <w:link w:val="Heading7"/>
    <w:semiHidden/>
    <w:locked/>
    <w:rsid w:val="00746E45"/>
    <w:rPr>
      <w:rFonts w:ascii="Calibri Light" w:eastAsia="SimSun" w:hAnsi="Calibri Light"/>
      <w:i/>
      <w:color w:val="1F4D78"/>
      <w:lang w:val="en-US" w:eastAsia="en-US"/>
    </w:rPr>
  </w:style>
  <w:style w:type="character" w:customStyle="1" w:styleId="Heading8Char">
    <w:name w:val="Heading 8 Char"/>
    <w:link w:val="Heading8"/>
    <w:semiHidden/>
    <w:locked/>
    <w:rsid w:val="00746E45"/>
    <w:rPr>
      <w:rFonts w:ascii="Calibri Light" w:eastAsia="SimSun" w:hAnsi="Calibri Light"/>
      <w:color w:val="272727"/>
      <w:sz w:val="21"/>
      <w:lang w:val="en-US" w:eastAsia="en-US"/>
    </w:rPr>
  </w:style>
  <w:style w:type="character" w:customStyle="1" w:styleId="Heading9Char">
    <w:name w:val="Heading 9 Char"/>
    <w:link w:val="Heading9"/>
    <w:semiHidden/>
    <w:locked/>
    <w:rsid w:val="00746E45"/>
    <w:rPr>
      <w:rFonts w:ascii="Calibri Light" w:eastAsia="SimSun" w:hAnsi="Calibri Light"/>
      <w:i/>
      <w:color w:val="272727"/>
      <w:sz w:val="21"/>
      <w:lang w:val="en-US" w:eastAsia="en-US"/>
    </w:rPr>
  </w:style>
  <w:style w:type="paragraph" w:customStyle="1" w:styleId="ListParagraph1">
    <w:name w:val="List Paragraph1"/>
    <w:basedOn w:val="Normal"/>
    <w:rsid w:val="00746E45"/>
    <w:pPr>
      <w:ind w:left="720"/>
    </w:pPr>
  </w:style>
  <w:style w:type="paragraph" w:customStyle="1" w:styleId="Provision">
    <w:name w:val="Provision"/>
    <w:basedOn w:val="Normal"/>
    <w:rsid w:val="00746E45"/>
    <w:pPr>
      <w:spacing w:before="60" w:after="120" w:line="240" w:lineRule="auto"/>
      <w:ind w:left="720"/>
    </w:pPr>
    <w:rPr>
      <w:sz w:val="20"/>
    </w:rPr>
  </w:style>
  <w:style w:type="table" w:styleId="TableGrid">
    <w:name w:val="Table Grid"/>
    <w:basedOn w:val="TableNormal"/>
    <w:rsid w:val="00746E4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746E45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746E45"/>
    <w:rPr>
      <w:rFonts w:ascii="Arial" w:eastAsia="SimSun" w:hAnsi="Arial"/>
      <w:sz w:val="20"/>
      <w:lang w:val="en-US" w:eastAsia="en-US"/>
    </w:rPr>
  </w:style>
  <w:style w:type="character" w:styleId="FootnoteReference">
    <w:name w:val="footnote reference"/>
    <w:basedOn w:val="DefaultParagraphFont"/>
    <w:semiHidden/>
    <w:rsid w:val="00746E45"/>
    <w:rPr>
      <w:vertAlign w:val="superscript"/>
    </w:rPr>
  </w:style>
  <w:style w:type="table" w:customStyle="1" w:styleId="GridTable5Dark-Accent51">
    <w:name w:val="Grid Table 5 Dark - Accent 51"/>
    <w:rsid w:val="00746E45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1E1E1"/>
        <w:left w:val="single" w:sz="4" w:space="0" w:color="E1E1E1"/>
        <w:bottom w:val="single" w:sz="4" w:space="0" w:color="E1E1E1"/>
        <w:right w:val="single" w:sz="4" w:space="0" w:color="E1E1E1"/>
        <w:insideH w:val="single" w:sz="4" w:space="0" w:color="E1E1E1"/>
        <w:insideV w:val="single" w:sz="4" w:space="0" w:color="E1E1E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Arial"/>
        <w:b/>
        <w:bCs/>
        <w:color w:val="E1E1E1"/>
      </w:rPr>
      <w:tblPr/>
      <w:tcPr>
        <w:tcBorders>
          <w:top w:val="single" w:sz="4" w:space="0" w:color="E1E1E1"/>
          <w:left w:val="single" w:sz="4" w:space="0" w:color="E1E1E1"/>
          <w:right w:val="single" w:sz="4" w:space="0" w:color="E1E1E1"/>
          <w:insideH w:val="nil"/>
          <w:insideV w:val="nil"/>
        </w:tcBorders>
        <w:shd w:val="clear" w:color="auto" w:fill="4472C4"/>
      </w:tcPr>
    </w:tblStylePr>
    <w:tblStylePr w:type="lastRow">
      <w:rPr>
        <w:rFonts w:cs="Arial"/>
        <w:b/>
        <w:bCs/>
        <w:color w:val="E1E1E1"/>
      </w:rPr>
      <w:tblPr/>
      <w:tcPr>
        <w:tcBorders>
          <w:left w:val="single" w:sz="4" w:space="0" w:color="E1E1E1"/>
          <w:bottom w:val="single" w:sz="4" w:space="0" w:color="E1E1E1"/>
          <w:right w:val="single" w:sz="4" w:space="0" w:color="E1E1E1"/>
          <w:insideH w:val="nil"/>
          <w:insideV w:val="nil"/>
        </w:tcBorders>
        <w:shd w:val="clear" w:color="auto" w:fill="4472C4"/>
      </w:tcPr>
    </w:tblStylePr>
    <w:tblStylePr w:type="firstCol">
      <w:rPr>
        <w:rFonts w:cs="Arial"/>
        <w:b/>
        <w:bCs/>
        <w:color w:val="E1E1E1"/>
      </w:rPr>
      <w:tblPr/>
      <w:tcPr>
        <w:tcBorders>
          <w:top w:val="single" w:sz="4" w:space="0" w:color="E1E1E1"/>
          <w:left w:val="single" w:sz="4" w:space="0" w:color="E1E1E1"/>
          <w:bottom w:val="single" w:sz="4" w:space="0" w:color="E1E1E1"/>
          <w:insideV w:val="nil"/>
        </w:tcBorders>
        <w:shd w:val="clear" w:color="auto" w:fill="4472C4"/>
      </w:tcPr>
    </w:tblStylePr>
    <w:tblStylePr w:type="lastCol">
      <w:rPr>
        <w:rFonts w:cs="Arial"/>
        <w:b/>
        <w:bCs/>
        <w:color w:val="E1E1E1"/>
      </w:rPr>
      <w:tblPr/>
      <w:tcPr>
        <w:tcBorders>
          <w:top w:val="single" w:sz="4" w:space="0" w:color="E1E1E1"/>
          <w:bottom w:val="single" w:sz="4" w:space="0" w:color="E1E1E1"/>
          <w:right w:val="single" w:sz="4" w:space="0" w:color="E1E1E1"/>
          <w:insideV w:val="nil"/>
        </w:tcBorders>
        <w:shd w:val="clear" w:color="auto" w:fill="4472C4"/>
      </w:tcPr>
    </w:tblStylePr>
    <w:tblStylePr w:type="band1Vert">
      <w:rPr>
        <w:rFonts w:cs="Arial"/>
      </w:rPr>
      <w:tblPr/>
      <w:tcPr>
        <w:shd w:val="clear" w:color="auto" w:fill="B4C6E7"/>
      </w:tcPr>
    </w:tblStylePr>
    <w:tblStylePr w:type="band1Horz">
      <w:rPr>
        <w:rFonts w:cs="Arial"/>
      </w:rPr>
      <w:tblPr/>
      <w:tcPr>
        <w:shd w:val="clear" w:color="auto" w:fill="B4C6E7"/>
      </w:tcPr>
    </w:tblStylePr>
  </w:style>
  <w:style w:type="paragraph" w:styleId="BalloonText">
    <w:name w:val="Balloon Text"/>
    <w:basedOn w:val="Normal"/>
    <w:link w:val="BalloonTextChar"/>
    <w:semiHidden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94399"/>
    <w:rPr>
      <w:rFonts w:ascii="Tahoma" w:eastAsia="SimSun" w:hAnsi="Tahoma"/>
      <w:sz w:val="16"/>
      <w:lang w:val="en-US" w:eastAsia="en-US"/>
    </w:rPr>
  </w:style>
  <w:style w:type="character" w:styleId="CommentReference">
    <w:name w:val="annotation reference"/>
    <w:basedOn w:val="DefaultParagraphFont"/>
    <w:semiHidden/>
    <w:rsid w:val="001A4040"/>
    <w:rPr>
      <w:sz w:val="16"/>
    </w:rPr>
  </w:style>
  <w:style w:type="paragraph" w:styleId="CommentText">
    <w:name w:val="annotation text"/>
    <w:basedOn w:val="Normal"/>
    <w:link w:val="CommentTextChar"/>
    <w:semiHidden/>
    <w:rsid w:val="001A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1A4040"/>
    <w:rPr>
      <w:rFonts w:ascii="Arial" w:eastAsia="SimSun" w:hAnsi="Arial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404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A4040"/>
    <w:rPr>
      <w:rFonts w:ascii="Arial" w:eastAsia="SimSun" w:hAnsi="Arial"/>
      <w:b/>
      <w:sz w:val="20"/>
      <w:lang w:val="en-US" w:eastAsia="en-US"/>
    </w:rPr>
  </w:style>
  <w:style w:type="paragraph" w:styleId="Header">
    <w:name w:val="header"/>
    <w:basedOn w:val="Normal"/>
    <w:link w:val="HeaderChar"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647D7C"/>
    <w:rPr>
      <w:rFonts w:ascii="Arial" w:eastAsia="SimSun" w:hAnsi="Arial"/>
      <w:lang w:val="en-US" w:eastAsia="en-US"/>
    </w:rPr>
  </w:style>
  <w:style w:type="paragraph" w:styleId="Footer">
    <w:name w:val="footer"/>
    <w:basedOn w:val="Normal"/>
    <w:link w:val="FooterChar"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647D7C"/>
    <w:rPr>
      <w:rFonts w:ascii="Arial" w:eastAsia="SimSun" w:hAnsi="Arial"/>
      <w:lang w:val="en-US" w:eastAsia="en-US"/>
    </w:rPr>
  </w:style>
  <w:style w:type="paragraph" w:styleId="Caption">
    <w:name w:val="caption"/>
    <w:basedOn w:val="Normal"/>
    <w:next w:val="Normal"/>
    <w:qFormat/>
    <w:rsid w:val="00892609"/>
    <w:pPr>
      <w:spacing w:after="200" w:line="240" w:lineRule="auto"/>
    </w:pPr>
    <w:rPr>
      <w:i/>
      <w:iCs/>
      <w:color w:val="44546A"/>
      <w:sz w:val="20"/>
      <w:szCs w:val="18"/>
    </w:rPr>
  </w:style>
  <w:style w:type="character" w:styleId="Hyperlink">
    <w:name w:val="Hyperlink"/>
    <w:basedOn w:val="DefaultParagraphFont"/>
    <w:rsid w:val="00784C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E45"/>
    <w:pPr>
      <w:spacing w:after="160" w:line="259" w:lineRule="auto"/>
      <w:jc w:val="both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6E45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rFonts w:cs="Times New Roman"/>
      <w:b/>
      <w:color w:val="2E74B5"/>
      <w:sz w:val="28"/>
      <w:szCs w:val="32"/>
    </w:rPr>
  </w:style>
  <w:style w:type="paragraph" w:styleId="Heading2">
    <w:name w:val="heading 2"/>
    <w:basedOn w:val="Normal"/>
    <w:next w:val="Provision"/>
    <w:link w:val="Heading2Char"/>
    <w:qFormat/>
    <w:rsid w:val="00746E45"/>
    <w:pPr>
      <w:keepNext/>
      <w:keepLines/>
      <w:numPr>
        <w:ilvl w:val="1"/>
        <w:numId w:val="1"/>
      </w:numPr>
      <w:spacing w:before="240" w:after="120"/>
      <w:outlineLvl w:val="1"/>
    </w:pPr>
    <w:rPr>
      <w:rFonts w:cs="Times New Roman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46E45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cs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qFormat/>
    <w:rsid w:val="00746E45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cs="Times New Roman"/>
      <w:color w:val="2E74B5"/>
    </w:rPr>
  </w:style>
  <w:style w:type="paragraph" w:styleId="Heading6">
    <w:name w:val="heading 6"/>
    <w:basedOn w:val="Normal"/>
    <w:next w:val="Normal"/>
    <w:link w:val="Heading6Char"/>
    <w:qFormat/>
    <w:rsid w:val="00746E45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cs="Times New Roman"/>
      <w:color w:val="1F4D78"/>
    </w:rPr>
  </w:style>
  <w:style w:type="paragraph" w:styleId="Heading7">
    <w:name w:val="heading 7"/>
    <w:basedOn w:val="Normal"/>
    <w:next w:val="Normal"/>
    <w:link w:val="Heading7Char"/>
    <w:qFormat/>
    <w:rsid w:val="00746E45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cs="Times New Roman"/>
      <w:i/>
      <w:iCs/>
      <w:color w:val="1F4D78"/>
    </w:rPr>
  </w:style>
  <w:style w:type="paragraph" w:styleId="Heading8">
    <w:name w:val="heading 8"/>
    <w:basedOn w:val="Normal"/>
    <w:next w:val="Normal"/>
    <w:link w:val="Heading8Char"/>
    <w:qFormat/>
    <w:rsid w:val="00746E45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746E45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46E45"/>
    <w:rPr>
      <w:rFonts w:ascii="Arial" w:eastAsia="SimSun" w:hAnsi="Arial"/>
      <w:b/>
      <w:color w:val="2E74B5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746E45"/>
    <w:rPr>
      <w:rFonts w:ascii="Arial" w:eastAsia="SimSun" w:hAnsi="Arial"/>
      <w:sz w:val="22"/>
      <w:szCs w:val="26"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746E45"/>
    <w:rPr>
      <w:rFonts w:ascii="Calibri Light" w:eastAsia="SimSun" w:hAnsi="Calibri Light"/>
      <w:i/>
      <w:color w:val="2E74B5"/>
      <w:lang w:val="en-US" w:eastAsia="en-US"/>
    </w:rPr>
  </w:style>
  <w:style w:type="character" w:customStyle="1" w:styleId="Heading5Char">
    <w:name w:val="Heading 5 Char"/>
    <w:link w:val="Heading5"/>
    <w:locked/>
    <w:rsid w:val="00746E45"/>
    <w:rPr>
      <w:rFonts w:ascii="Calibri Light" w:eastAsia="SimSun" w:hAnsi="Calibri Light"/>
      <w:color w:val="2E74B5"/>
      <w:lang w:val="en-US" w:eastAsia="en-US"/>
    </w:rPr>
  </w:style>
  <w:style w:type="character" w:customStyle="1" w:styleId="Heading6Char">
    <w:name w:val="Heading 6 Char"/>
    <w:link w:val="Heading6"/>
    <w:locked/>
    <w:rsid w:val="00746E45"/>
    <w:rPr>
      <w:rFonts w:ascii="Calibri Light" w:eastAsia="SimSun" w:hAnsi="Calibri Light"/>
      <w:color w:val="1F4D78"/>
      <w:lang w:val="en-US" w:eastAsia="en-US"/>
    </w:rPr>
  </w:style>
  <w:style w:type="character" w:customStyle="1" w:styleId="Heading7Char">
    <w:name w:val="Heading 7 Char"/>
    <w:link w:val="Heading7"/>
    <w:semiHidden/>
    <w:locked/>
    <w:rsid w:val="00746E45"/>
    <w:rPr>
      <w:rFonts w:ascii="Calibri Light" w:eastAsia="SimSun" w:hAnsi="Calibri Light"/>
      <w:i/>
      <w:color w:val="1F4D78"/>
      <w:lang w:val="en-US" w:eastAsia="en-US"/>
    </w:rPr>
  </w:style>
  <w:style w:type="character" w:customStyle="1" w:styleId="Heading8Char">
    <w:name w:val="Heading 8 Char"/>
    <w:link w:val="Heading8"/>
    <w:semiHidden/>
    <w:locked/>
    <w:rsid w:val="00746E45"/>
    <w:rPr>
      <w:rFonts w:ascii="Calibri Light" w:eastAsia="SimSun" w:hAnsi="Calibri Light"/>
      <w:color w:val="272727"/>
      <w:sz w:val="21"/>
      <w:lang w:val="en-US" w:eastAsia="en-US"/>
    </w:rPr>
  </w:style>
  <w:style w:type="character" w:customStyle="1" w:styleId="Heading9Char">
    <w:name w:val="Heading 9 Char"/>
    <w:link w:val="Heading9"/>
    <w:semiHidden/>
    <w:locked/>
    <w:rsid w:val="00746E45"/>
    <w:rPr>
      <w:rFonts w:ascii="Calibri Light" w:eastAsia="SimSun" w:hAnsi="Calibri Light"/>
      <w:i/>
      <w:color w:val="272727"/>
      <w:sz w:val="21"/>
      <w:lang w:val="en-US" w:eastAsia="en-US"/>
    </w:rPr>
  </w:style>
  <w:style w:type="paragraph" w:customStyle="1" w:styleId="ListParagraph1">
    <w:name w:val="List Paragraph1"/>
    <w:basedOn w:val="Normal"/>
    <w:rsid w:val="00746E45"/>
    <w:pPr>
      <w:ind w:left="720"/>
    </w:pPr>
  </w:style>
  <w:style w:type="paragraph" w:customStyle="1" w:styleId="Provision">
    <w:name w:val="Provision"/>
    <w:basedOn w:val="Normal"/>
    <w:rsid w:val="00746E45"/>
    <w:pPr>
      <w:spacing w:before="60" w:after="120" w:line="240" w:lineRule="auto"/>
      <w:ind w:left="720"/>
    </w:pPr>
    <w:rPr>
      <w:sz w:val="20"/>
    </w:rPr>
  </w:style>
  <w:style w:type="table" w:styleId="TableGrid">
    <w:name w:val="Table Grid"/>
    <w:basedOn w:val="TableNormal"/>
    <w:rsid w:val="00746E4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746E45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746E45"/>
    <w:rPr>
      <w:rFonts w:ascii="Arial" w:eastAsia="SimSun" w:hAnsi="Arial"/>
      <w:sz w:val="20"/>
      <w:lang w:val="en-US" w:eastAsia="en-US"/>
    </w:rPr>
  </w:style>
  <w:style w:type="character" w:styleId="FootnoteReference">
    <w:name w:val="footnote reference"/>
    <w:basedOn w:val="DefaultParagraphFont"/>
    <w:semiHidden/>
    <w:rsid w:val="00746E45"/>
    <w:rPr>
      <w:vertAlign w:val="superscript"/>
    </w:rPr>
  </w:style>
  <w:style w:type="table" w:customStyle="1" w:styleId="GridTable5Dark-Accent51">
    <w:name w:val="Grid Table 5 Dark - Accent 51"/>
    <w:rsid w:val="00746E45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1E1E1"/>
        <w:left w:val="single" w:sz="4" w:space="0" w:color="E1E1E1"/>
        <w:bottom w:val="single" w:sz="4" w:space="0" w:color="E1E1E1"/>
        <w:right w:val="single" w:sz="4" w:space="0" w:color="E1E1E1"/>
        <w:insideH w:val="single" w:sz="4" w:space="0" w:color="E1E1E1"/>
        <w:insideV w:val="single" w:sz="4" w:space="0" w:color="E1E1E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Arial"/>
        <w:b/>
        <w:bCs/>
        <w:color w:val="E1E1E1"/>
      </w:rPr>
      <w:tblPr/>
      <w:tcPr>
        <w:tcBorders>
          <w:top w:val="single" w:sz="4" w:space="0" w:color="E1E1E1"/>
          <w:left w:val="single" w:sz="4" w:space="0" w:color="E1E1E1"/>
          <w:right w:val="single" w:sz="4" w:space="0" w:color="E1E1E1"/>
          <w:insideH w:val="nil"/>
          <w:insideV w:val="nil"/>
        </w:tcBorders>
        <w:shd w:val="clear" w:color="auto" w:fill="4472C4"/>
      </w:tcPr>
    </w:tblStylePr>
    <w:tblStylePr w:type="lastRow">
      <w:rPr>
        <w:rFonts w:cs="Arial"/>
        <w:b/>
        <w:bCs/>
        <w:color w:val="E1E1E1"/>
      </w:rPr>
      <w:tblPr/>
      <w:tcPr>
        <w:tcBorders>
          <w:left w:val="single" w:sz="4" w:space="0" w:color="E1E1E1"/>
          <w:bottom w:val="single" w:sz="4" w:space="0" w:color="E1E1E1"/>
          <w:right w:val="single" w:sz="4" w:space="0" w:color="E1E1E1"/>
          <w:insideH w:val="nil"/>
          <w:insideV w:val="nil"/>
        </w:tcBorders>
        <w:shd w:val="clear" w:color="auto" w:fill="4472C4"/>
      </w:tcPr>
    </w:tblStylePr>
    <w:tblStylePr w:type="firstCol">
      <w:rPr>
        <w:rFonts w:cs="Arial"/>
        <w:b/>
        <w:bCs/>
        <w:color w:val="E1E1E1"/>
      </w:rPr>
      <w:tblPr/>
      <w:tcPr>
        <w:tcBorders>
          <w:top w:val="single" w:sz="4" w:space="0" w:color="E1E1E1"/>
          <w:left w:val="single" w:sz="4" w:space="0" w:color="E1E1E1"/>
          <w:bottom w:val="single" w:sz="4" w:space="0" w:color="E1E1E1"/>
          <w:insideV w:val="nil"/>
        </w:tcBorders>
        <w:shd w:val="clear" w:color="auto" w:fill="4472C4"/>
      </w:tcPr>
    </w:tblStylePr>
    <w:tblStylePr w:type="lastCol">
      <w:rPr>
        <w:rFonts w:cs="Arial"/>
        <w:b/>
        <w:bCs/>
        <w:color w:val="E1E1E1"/>
      </w:rPr>
      <w:tblPr/>
      <w:tcPr>
        <w:tcBorders>
          <w:top w:val="single" w:sz="4" w:space="0" w:color="E1E1E1"/>
          <w:bottom w:val="single" w:sz="4" w:space="0" w:color="E1E1E1"/>
          <w:right w:val="single" w:sz="4" w:space="0" w:color="E1E1E1"/>
          <w:insideV w:val="nil"/>
        </w:tcBorders>
        <w:shd w:val="clear" w:color="auto" w:fill="4472C4"/>
      </w:tcPr>
    </w:tblStylePr>
    <w:tblStylePr w:type="band1Vert">
      <w:rPr>
        <w:rFonts w:cs="Arial"/>
      </w:rPr>
      <w:tblPr/>
      <w:tcPr>
        <w:shd w:val="clear" w:color="auto" w:fill="B4C6E7"/>
      </w:tcPr>
    </w:tblStylePr>
    <w:tblStylePr w:type="band1Horz">
      <w:rPr>
        <w:rFonts w:cs="Arial"/>
      </w:rPr>
      <w:tblPr/>
      <w:tcPr>
        <w:shd w:val="clear" w:color="auto" w:fill="B4C6E7"/>
      </w:tcPr>
    </w:tblStylePr>
  </w:style>
  <w:style w:type="paragraph" w:styleId="BalloonText">
    <w:name w:val="Balloon Text"/>
    <w:basedOn w:val="Normal"/>
    <w:link w:val="BalloonTextChar"/>
    <w:semiHidden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94399"/>
    <w:rPr>
      <w:rFonts w:ascii="Tahoma" w:eastAsia="SimSun" w:hAnsi="Tahoma"/>
      <w:sz w:val="16"/>
      <w:lang w:val="en-US" w:eastAsia="en-US"/>
    </w:rPr>
  </w:style>
  <w:style w:type="character" w:styleId="CommentReference">
    <w:name w:val="annotation reference"/>
    <w:basedOn w:val="DefaultParagraphFont"/>
    <w:semiHidden/>
    <w:rsid w:val="001A4040"/>
    <w:rPr>
      <w:sz w:val="16"/>
    </w:rPr>
  </w:style>
  <w:style w:type="paragraph" w:styleId="CommentText">
    <w:name w:val="annotation text"/>
    <w:basedOn w:val="Normal"/>
    <w:link w:val="CommentTextChar"/>
    <w:semiHidden/>
    <w:rsid w:val="001A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1A4040"/>
    <w:rPr>
      <w:rFonts w:ascii="Arial" w:eastAsia="SimSun" w:hAnsi="Arial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404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A4040"/>
    <w:rPr>
      <w:rFonts w:ascii="Arial" w:eastAsia="SimSun" w:hAnsi="Arial"/>
      <w:b/>
      <w:sz w:val="20"/>
      <w:lang w:val="en-US" w:eastAsia="en-US"/>
    </w:rPr>
  </w:style>
  <w:style w:type="paragraph" w:styleId="Header">
    <w:name w:val="header"/>
    <w:basedOn w:val="Normal"/>
    <w:link w:val="HeaderChar"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647D7C"/>
    <w:rPr>
      <w:rFonts w:ascii="Arial" w:eastAsia="SimSun" w:hAnsi="Arial"/>
      <w:lang w:val="en-US" w:eastAsia="en-US"/>
    </w:rPr>
  </w:style>
  <w:style w:type="paragraph" w:styleId="Footer">
    <w:name w:val="footer"/>
    <w:basedOn w:val="Normal"/>
    <w:link w:val="FooterChar"/>
    <w:rsid w:val="0064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647D7C"/>
    <w:rPr>
      <w:rFonts w:ascii="Arial" w:eastAsia="SimSun" w:hAnsi="Arial"/>
      <w:lang w:val="en-US" w:eastAsia="en-US"/>
    </w:rPr>
  </w:style>
  <w:style w:type="paragraph" w:styleId="Caption">
    <w:name w:val="caption"/>
    <w:basedOn w:val="Normal"/>
    <w:next w:val="Normal"/>
    <w:qFormat/>
    <w:rsid w:val="00892609"/>
    <w:pPr>
      <w:spacing w:after="200" w:line="240" w:lineRule="auto"/>
    </w:pPr>
    <w:rPr>
      <w:i/>
      <w:iCs/>
      <w:color w:val="44546A"/>
      <w:sz w:val="20"/>
      <w:szCs w:val="18"/>
    </w:rPr>
  </w:style>
  <w:style w:type="character" w:styleId="Hyperlink">
    <w:name w:val="Hyperlink"/>
    <w:basedOn w:val="DefaultParagraphFont"/>
    <w:rsid w:val="00784C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3704</Words>
  <Characters>27665</Characters>
  <Application>Microsoft Office Word</Application>
  <DocSecurity>4</DocSecurity>
  <Lines>230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Updated Study and Additional Analysis</vt:lpstr>
      <vt:lpstr>Updated Study and Additional Analysis</vt:lpstr>
    </vt:vector>
  </TitlesOfParts>
  <LinksUpToDate>false</LinksUpToDate>
  <CharactersWithSpaces>31307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Study and Additional Analysis</dc:title>
  <dc:creator/>
  <cp:lastModifiedBy/>
  <cp:revision>1</cp:revision>
  <dcterms:created xsi:type="dcterms:W3CDTF">2017-11-07T10:48:00Z</dcterms:created>
  <dcterms:modified xsi:type="dcterms:W3CDTF">2017-11-07T10:48:00Z</dcterms:modified>
</cp:coreProperties>
</file>