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13"/>
        <w:gridCol w:w="4337"/>
        <w:gridCol w:w="510"/>
      </w:tblGrid>
      <w:tr w:rsidR="00953D5A">
        <w:tc>
          <w:tcPr>
            <w:tcW w:w="4513" w:type="dxa"/>
            <w:tcBorders>
              <w:bottom w:val="single" w:sz="4" w:space="0" w:color="000000"/>
            </w:tcBorders>
            <w:tcMar>
              <w:bottom w:w="170" w:type="dxa"/>
            </w:tcMar>
          </w:tcPr>
          <w:p w:rsidR="00953D5A" w:rsidRDefault="00677CE0">
            <w:pPr>
              <w:widowControl w:val="0"/>
            </w:pPr>
            <w:bookmarkStart w:id="0" w:name="_GoBack"/>
            <w:bookmarkEnd w:id="0"/>
            <w:r>
              <w:t xml:space="preserve"> </w:t>
            </w:r>
          </w:p>
        </w:tc>
        <w:tc>
          <w:tcPr>
            <w:tcW w:w="4337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953D5A" w:rsidRDefault="000E3B22">
            <w:pPr>
              <w:widowControl w:val="0"/>
            </w:pPr>
            <w:r w:rsidRPr="00CC617B">
              <w:rPr>
                <w:noProof/>
                <w:lang w:eastAsia="en-US"/>
              </w:rPr>
              <w:drawing>
                <wp:inline distT="0" distB="0" distL="0" distR="0" wp14:anchorId="6EE64479" wp14:editId="12DDB951">
                  <wp:extent cx="1737360" cy="1292225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953D5A" w:rsidRDefault="000E3B22">
            <w:pPr>
              <w:widowControl w:val="0"/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953D5A">
        <w:trPr>
          <w:trHeight w:val="340"/>
        </w:trPr>
        <w:tc>
          <w:tcPr>
            <w:tcW w:w="9360" w:type="dxa"/>
            <w:gridSpan w:val="3"/>
            <w:tcBorders>
              <w:top w:val="single" w:sz="4" w:space="0" w:color="000000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953D5A" w:rsidRPr="007807F3" w:rsidRDefault="00CD1487" w:rsidP="00C96684">
            <w:pPr>
              <w:widowControl w:val="0"/>
              <w:jc w:val="right"/>
              <w:rPr>
                <w:rFonts w:ascii="Arial Black" w:eastAsia="Arial Black" w:hAnsi="Arial Black" w:cs="Arial Black"/>
                <w:smallCaps/>
                <w:sz w:val="15"/>
                <w:szCs w:val="15"/>
              </w:rPr>
            </w:pPr>
            <w:r w:rsidRPr="007807F3">
              <w:rPr>
                <w:rFonts w:ascii="Arial Black" w:eastAsia="Arial Black" w:hAnsi="Arial Black" w:cs="Arial Black"/>
                <w:smallCaps/>
                <w:sz w:val="15"/>
                <w:szCs w:val="15"/>
              </w:rPr>
              <w:t>SCCR/3</w:t>
            </w:r>
            <w:r w:rsidR="00C96684">
              <w:rPr>
                <w:rFonts w:ascii="Arial Black" w:eastAsia="Arial Black" w:hAnsi="Arial Black" w:cs="Arial Black"/>
                <w:smallCaps/>
                <w:sz w:val="15"/>
                <w:szCs w:val="15"/>
              </w:rPr>
              <w:t>5/3</w:t>
            </w:r>
          </w:p>
        </w:tc>
      </w:tr>
      <w:tr w:rsidR="00953D5A">
        <w:trPr>
          <w:trHeight w:val="160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953D5A" w:rsidRPr="000E3B22" w:rsidRDefault="000E3B22" w:rsidP="000E3B22">
            <w:pPr>
              <w:widowControl w:val="0"/>
              <w:jc w:val="right"/>
              <w:rPr>
                <w:rFonts w:ascii="Arial Black" w:eastAsia="Arial Black" w:hAnsi="Arial Black" w:cs="Arial Black"/>
                <w:smallCaps/>
                <w:sz w:val="15"/>
                <w:szCs w:val="15"/>
                <w:lang w:val="ru-RU"/>
              </w:rPr>
            </w:pPr>
            <w:r>
              <w:rPr>
                <w:rFonts w:ascii="Arial Black" w:eastAsia="Arial Black" w:hAnsi="Arial Black" w:cs="Arial Black"/>
                <w:smallCaps/>
                <w:sz w:val="15"/>
                <w:szCs w:val="15"/>
                <w:lang w:val="ru-RU"/>
              </w:rPr>
              <w:t>ОРИГИНАЛ</w:t>
            </w:r>
            <w:r w:rsidRPr="007807F3">
              <w:rPr>
                <w:rFonts w:ascii="Arial Black" w:eastAsia="Arial Black" w:hAnsi="Arial Black" w:cs="Arial Black"/>
                <w:smallCaps/>
                <w:sz w:val="15"/>
                <w:szCs w:val="15"/>
              </w:rPr>
              <w:t xml:space="preserve">: </w:t>
            </w:r>
            <w:bookmarkStart w:id="1" w:name="kix.ol82kc1hyx0w" w:colFirst="0" w:colLast="0"/>
            <w:bookmarkEnd w:id="1"/>
            <w:r>
              <w:rPr>
                <w:rFonts w:ascii="Arial Black" w:eastAsia="Arial Black" w:hAnsi="Arial Black" w:cs="Arial Black"/>
                <w:smallCaps/>
                <w:sz w:val="15"/>
                <w:szCs w:val="15"/>
                <w:lang w:val="ru-RU"/>
              </w:rPr>
              <w:t>АНГЛИЙСКИЙ</w:t>
            </w:r>
          </w:p>
        </w:tc>
      </w:tr>
      <w:tr w:rsidR="00953D5A" w:rsidRPr="000E3B22">
        <w:trPr>
          <w:trHeight w:val="180"/>
        </w:trPr>
        <w:tc>
          <w:tcPr>
            <w:tcW w:w="9360" w:type="dxa"/>
            <w:gridSpan w:val="3"/>
            <w:tcMar>
              <w:left w:w="0" w:type="dxa"/>
              <w:right w:w="0" w:type="dxa"/>
            </w:tcMar>
            <w:vAlign w:val="bottom"/>
          </w:tcPr>
          <w:p w:rsidR="00953D5A" w:rsidRPr="000E3B22" w:rsidRDefault="000E3B22" w:rsidP="000E3B22">
            <w:pPr>
              <w:widowControl w:val="0"/>
              <w:jc w:val="right"/>
              <w:rPr>
                <w:rFonts w:ascii="Arial Black" w:eastAsia="Arial Black" w:hAnsi="Arial Black" w:cs="Arial Black"/>
                <w:smallCaps/>
                <w:sz w:val="15"/>
                <w:szCs w:val="15"/>
                <w:lang w:val="ru-RU"/>
              </w:rPr>
            </w:pPr>
            <w:r>
              <w:rPr>
                <w:rFonts w:ascii="Arial Black" w:eastAsia="Arial Black" w:hAnsi="Arial Black" w:cs="Arial Black"/>
                <w:smallCaps/>
                <w:sz w:val="15"/>
                <w:szCs w:val="15"/>
                <w:lang w:val="ru-RU"/>
              </w:rPr>
              <w:t>ДАТА</w:t>
            </w:r>
            <w:r w:rsidRPr="000E3B22">
              <w:rPr>
                <w:rFonts w:ascii="Arial Black" w:eastAsia="Arial Black" w:hAnsi="Arial Black" w:cs="Arial Black"/>
                <w:smallCaps/>
                <w:sz w:val="15"/>
                <w:szCs w:val="15"/>
                <w:lang w:val="ru-RU"/>
              </w:rPr>
              <w:t xml:space="preserve">: </w:t>
            </w:r>
            <w:r>
              <w:rPr>
                <w:rFonts w:ascii="Arial Black" w:eastAsia="Arial Black" w:hAnsi="Arial Black" w:cs="Arial Black"/>
                <w:smallCaps/>
                <w:sz w:val="15"/>
                <w:szCs w:val="15"/>
                <w:lang w:val="ru-RU"/>
              </w:rPr>
              <w:t>27 ОКТЯБРЯ 2017 Г.</w:t>
            </w:r>
            <w:r w:rsidRPr="000E3B22">
              <w:rPr>
                <w:rFonts w:ascii="Arial Black" w:eastAsia="Arial Black" w:hAnsi="Arial Black" w:cs="Arial Black"/>
                <w:smallCaps/>
                <w:sz w:val="15"/>
                <w:szCs w:val="15"/>
                <w:lang w:val="ru-RU"/>
              </w:rPr>
              <w:t xml:space="preserve">  </w:t>
            </w:r>
            <w:bookmarkStart w:id="2" w:name="kix.5ohx5oop467x" w:colFirst="0" w:colLast="0"/>
            <w:bookmarkEnd w:id="2"/>
          </w:p>
        </w:tc>
      </w:tr>
    </w:tbl>
    <w:p w:rsidR="00953D5A" w:rsidRPr="000E3B22" w:rsidRDefault="00953D5A">
      <w:pPr>
        <w:widowControl w:val="0"/>
        <w:rPr>
          <w:lang w:val="ru-RU"/>
        </w:rPr>
      </w:pPr>
    </w:p>
    <w:p w:rsidR="00953D5A" w:rsidRPr="000E3B22" w:rsidRDefault="00953D5A">
      <w:pPr>
        <w:widowControl w:val="0"/>
        <w:rPr>
          <w:lang w:val="ru-RU"/>
        </w:rPr>
      </w:pPr>
    </w:p>
    <w:p w:rsidR="00953D5A" w:rsidRPr="000E3B22" w:rsidRDefault="00953D5A">
      <w:pPr>
        <w:widowControl w:val="0"/>
        <w:rPr>
          <w:lang w:val="ru-RU"/>
        </w:rPr>
      </w:pPr>
    </w:p>
    <w:p w:rsidR="00953D5A" w:rsidRPr="000E3B22" w:rsidRDefault="00953D5A">
      <w:pPr>
        <w:widowControl w:val="0"/>
        <w:rPr>
          <w:lang w:val="ru-RU"/>
        </w:rPr>
      </w:pPr>
    </w:p>
    <w:p w:rsidR="00953D5A" w:rsidRPr="000E3B22" w:rsidRDefault="00953D5A">
      <w:pPr>
        <w:widowControl w:val="0"/>
        <w:rPr>
          <w:lang w:val="ru-RU"/>
        </w:rPr>
      </w:pPr>
    </w:p>
    <w:p w:rsidR="000E3B22" w:rsidRDefault="000E3B22" w:rsidP="000E3B22">
      <w:pPr>
        <w:rPr>
          <w:b/>
          <w:sz w:val="28"/>
          <w:szCs w:val="28"/>
          <w:lang w:val="ru-RU"/>
        </w:rPr>
      </w:pPr>
      <w:r w:rsidRPr="00A90231"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0E3B22" w:rsidRPr="00A90231" w:rsidRDefault="000E3B22" w:rsidP="000E3B22">
      <w:pPr>
        <w:rPr>
          <w:lang w:val="ru-RU"/>
        </w:rPr>
      </w:pPr>
    </w:p>
    <w:p w:rsidR="000E3B22" w:rsidRPr="00A90231" w:rsidRDefault="000E3B22" w:rsidP="000E3B22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пятая сессия</w:t>
      </w:r>
    </w:p>
    <w:p w:rsidR="00953D5A" w:rsidRPr="00BD072A" w:rsidRDefault="000E3B22" w:rsidP="000E3B22">
      <w:pPr>
        <w:widowControl w:val="0"/>
        <w:rPr>
          <w:lang w:val="ru-RU"/>
        </w:rPr>
      </w:pPr>
      <w:r>
        <w:rPr>
          <w:b/>
          <w:sz w:val="24"/>
          <w:szCs w:val="24"/>
          <w:lang w:val="ru-RU"/>
        </w:rPr>
        <w:t>Женева, 13 – 17 ноября 201</w:t>
      </w:r>
      <w:r w:rsidRPr="00BD072A">
        <w:rPr>
          <w:b/>
          <w:sz w:val="24"/>
          <w:szCs w:val="24"/>
          <w:lang w:val="ru-RU"/>
        </w:rPr>
        <w:t xml:space="preserve">7 </w:t>
      </w:r>
      <w:r>
        <w:rPr>
          <w:b/>
          <w:sz w:val="24"/>
          <w:szCs w:val="24"/>
          <w:lang w:val="ru-RU"/>
        </w:rPr>
        <w:t>г</w:t>
      </w:r>
      <w:r w:rsidRPr="00BD072A">
        <w:rPr>
          <w:b/>
          <w:sz w:val="24"/>
          <w:szCs w:val="24"/>
          <w:lang w:val="ru-RU"/>
        </w:rPr>
        <w:t>.</w:t>
      </w:r>
    </w:p>
    <w:p w:rsidR="00953D5A" w:rsidRPr="00BD072A" w:rsidRDefault="00953D5A">
      <w:pPr>
        <w:widowControl w:val="0"/>
        <w:rPr>
          <w:lang w:val="ru-RU"/>
        </w:rPr>
      </w:pPr>
    </w:p>
    <w:p w:rsidR="00953D5A" w:rsidRPr="00BD072A" w:rsidRDefault="00953D5A">
      <w:pPr>
        <w:widowControl w:val="0"/>
        <w:rPr>
          <w:lang w:val="ru-RU"/>
        </w:rPr>
      </w:pPr>
    </w:p>
    <w:p w:rsidR="00953D5A" w:rsidRPr="00FC238C" w:rsidRDefault="00FC238C">
      <w:pPr>
        <w:widowControl w:val="0"/>
        <w:rPr>
          <w:lang w:val="ru-RU"/>
        </w:rPr>
      </w:pPr>
      <w:bookmarkStart w:id="3" w:name="kix.kae5xrpnz9am" w:colFirst="0" w:colLast="0"/>
      <w:bookmarkEnd w:id="3"/>
      <w:r>
        <w:rPr>
          <w:lang w:val="ru-RU"/>
        </w:rPr>
        <w:t>РЕЗЮМЕ</w:t>
      </w:r>
      <w:r w:rsidR="007807F3" w:rsidRPr="00FC238C">
        <w:rPr>
          <w:lang w:val="ru-RU"/>
        </w:rPr>
        <w:t xml:space="preserve"> – </w:t>
      </w:r>
      <w:r>
        <w:rPr>
          <w:lang w:val="ru-RU"/>
        </w:rPr>
        <w:t>ОБЗОРНОЕ ИССЛЕДОВАНИЕ ПО ВОПРОСУ О ДОСТУПЕ ЛИЦ С ОГРАНИЧЕННЫМИ ВОЗМОЖНОСТЯМИ К ПРОИЗВЕДЕНИЯМ, ОХРАНЯЕМЫМ АВТОРСКИМ ПРАВОМ</w:t>
      </w:r>
    </w:p>
    <w:p w:rsidR="007807F3" w:rsidRPr="00FC238C" w:rsidRDefault="007807F3">
      <w:pPr>
        <w:widowControl w:val="0"/>
        <w:rPr>
          <w:lang w:val="ru-RU"/>
        </w:rPr>
      </w:pPr>
    </w:p>
    <w:p w:rsidR="007807F3" w:rsidRPr="00FC238C" w:rsidRDefault="00FC238C">
      <w:pPr>
        <w:widowControl w:val="0"/>
        <w:rPr>
          <w:i/>
          <w:lang w:val="ru-RU"/>
        </w:rPr>
      </w:pPr>
      <w:r>
        <w:rPr>
          <w:i/>
          <w:lang w:val="ru-RU"/>
        </w:rPr>
        <w:t>подготовлено г-ном Блейком Ридом и г-жой Каролайн Нкубе</w:t>
      </w:r>
    </w:p>
    <w:p w:rsidR="00953D5A" w:rsidRPr="00FC238C" w:rsidRDefault="00953D5A">
      <w:pPr>
        <w:widowControl w:val="0"/>
        <w:rPr>
          <w:lang w:val="ru-RU"/>
        </w:rPr>
      </w:pPr>
    </w:p>
    <w:p w:rsidR="007807F3" w:rsidRPr="00FC238C" w:rsidRDefault="007807F3">
      <w:pPr>
        <w:keepNext/>
        <w:keepLines/>
        <w:widowControl w:val="0"/>
        <w:spacing w:before="160" w:after="80" w:line="300" w:lineRule="auto"/>
        <w:rPr>
          <w:lang w:val="ru-RU"/>
        </w:rPr>
        <w:sectPr w:rsidR="007807F3" w:rsidRPr="00FC238C" w:rsidSect="007862C0">
          <w:pgSz w:w="11909" w:h="16834"/>
          <w:pgMar w:top="816" w:right="1440" w:bottom="1440" w:left="1440" w:header="510" w:footer="1020" w:gutter="0"/>
          <w:pgNumType w:start="1"/>
          <w:cols w:space="720"/>
          <w:titlePg/>
          <w:docGrid w:linePitch="299"/>
        </w:sectPr>
      </w:pPr>
    </w:p>
    <w:p w:rsidR="00953D5A" w:rsidRPr="00FC238C" w:rsidRDefault="00FC238C" w:rsidP="007B4424">
      <w:pPr>
        <w:pStyle w:val="Heading1"/>
        <w:rPr>
          <w:lang w:val="ru-RU"/>
        </w:rPr>
      </w:pPr>
      <w:bookmarkStart w:id="4" w:name="_j81i0iqrfm4d" w:colFirst="0" w:colLast="0"/>
      <w:bookmarkEnd w:id="4"/>
      <w:r>
        <w:rPr>
          <w:lang w:val="ru-RU"/>
        </w:rPr>
        <w:lastRenderedPageBreak/>
        <w:t>РЕЗЮМЕ</w:t>
      </w:r>
    </w:p>
    <w:p w:rsidR="007807F3" w:rsidRPr="00FC238C" w:rsidRDefault="007807F3" w:rsidP="007B4424">
      <w:pPr>
        <w:rPr>
          <w:lang w:val="ru-RU"/>
        </w:rPr>
      </w:pPr>
    </w:p>
    <w:p w:rsidR="00953D5A" w:rsidRPr="00FC238C" w:rsidRDefault="00FC238C" w:rsidP="00FC238C">
      <w:pPr>
        <w:widowControl w:val="0"/>
        <w:spacing w:after="120"/>
        <w:rPr>
          <w:lang w:val="ru-RU"/>
        </w:rPr>
      </w:pPr>
      <w:r>
        <w:rPr>
          <w:lang w:val="ru-RU"/>
        </w:rPr>
        <w:t>Цель данного обзорного исследования — анализ взаимосвяз</w:t>
      </w:r>
      <w:r w:rsidR="00BD072A">
        <w:rPr>
          <w:lang w:val="ru-RU"/>
        </w:rPr>
        <w:t>ей</w:t>
      </w:r>
      <w:r>
        <w:rPr>
          <w:lang w:val="ru-RU"/>
        </w:rPr>
        <w:t xml:space="preserve"> между авторским правом и смежными правами и доступом лиц с ограниченными возможностями к охраняемым произведениям.  В исследовании рассматрива</w:t>
      </w:r>
      <w:r w:rsidR="00BD072A">
        <w:rPr>
          <w:lang w:val="ru-RU"/>
        </w:rPr>
        <w:t>ю</w:t>
      </w:r>
      <w:r>
        <w:rPr>
          <w:lang w:val="ru-RU"/>
        </w:rPr>
        <w:t>тся взаимосвяз</w:t>
      </w:r>
      <w:r w:rsidR="00BD072A">
        <w:rPr>
          <w:lang w:val="ru-RU"/>
        </w:rPr>
        <w:t>и</w:t>
      </w:r>
      <w:r>
        <w:rPr>
          <w:lang w:val="ru-RU"/>
        </w:rPr>
        <w:t xml:space="preserve"> между </w:t>
      </w:r>
      <w:r w:rsidR="00BD072A">
        <w:rPr>
          <w:lang w:val="ru-RU"/>
        </w:rPr>
        <w:t xml:space="preserve">различными </w:t>
      </w:r>
      <w:r>
        <w:rPr>
          <w:lang w:val="ru-RU"/>
        </w:rPr>
        <w:t xml:space="preserve">категориями ограниченных возможностей и различными категориями охраняемых произведений.  В нем также </w:t>
      </w:r>
      <w:r w:rsidR="00BD072A">
        <w:rPr>
          <w:lang w:val="ru-RU"/>
        </w:rPr>
        <w:t>перечисляются</w:t>
      </w:r>
      <w:r>
        <w:rPr>
          <w:lang w:val="ru-RU"/>
        </w:rPr>
        <w:t xml:space="preserve"> средства, которые используются для создания доступных форматов охраняемых произведений.  </w:t>
      </w:r>
      <w:r w:rsidR="00BD072A">
        <w:rPr>
          <w:lang w:val="ru-RU"/>
        </w:rPr>
        <w:t>Кроме того,</w:t>
      </w:r>
      <w:r>
        <w:rPr>
          <w:lang w:val="ru-RU"/>
        </w:rPr>
        <w:t xml:space="preserve"> в исследовании анализируются </w:t>
      </w:r>
      <w:r w:rsidR="00BD072A">
        <w:rPr>
          <w:lang w:val="ru-RU"/>
        </w:rPr>
        <w:t xml:space="preserve">авторско-правовые </w:t>
      </w:r>
      <w:r>
        <w:rPr>
          <w:lang w:val="ru-RU"/>
        </w:rPr>
        <w:t xml:space="preserve">взаимосвязи между ограниченными возможностями и категориями произведений, охраняемых авторским правом, и средствами, используемыми для обеспечения к ним доступа.  </w:t>
      </w:r>
    </w:p>
    <w:p w:rsidR="00953D5A" w:rsidRPr="00FC238C" w:rsidRDefault="00FC238C" w:rsidP="00FC238C">
      <w:pPr>
        <w:widowControl w:val="0"/>
        <w:spacing w:after="120"/>
        <w:rPr>
          <w:lang w:val="ru-RU"/>
        </w:rPr>
      </w:pPr>
      <w:r>
        <w:rPr>
          <w:lang w:val="ru-RU"/>
        </w:rPr>
        <w:t xml:space="preserve">В обзорном исследовании </w:t>
      </w:r>
      <w:r w:rsidR="002C407B">
        <w:rPr>
          <w:lang w:val="ru-RU"/>
        </w:rPr>
        <w:t>охарактеризовано то</w:t>
      </w:r>
      <w:r>
        <w:rPr>
          <w:lang w:val="ru-RU"/>
        </w:rPr>
        <w:t xml:space="preserve">, может ли использование </w:t>
      </w:r>
      <w:r w:rsidR="002C407B">
        <w:rPr>
          <w:lang w:val="ru-RU"/>
        </w:rPr>
        <w:t xml:space="preserve">те или иных </w:t>
      </w:r>
      <w:r w:rsidR="00036715">
        <w:rPr>
          <w:lang w:val="ru-RU"/>
        </w:rPr>
        <w:t>способов и средств обеспечения доступа иметь последствия для исключительных прав на различные категории произведений, охраняемых авторским правом и смежными правами</w:t>
      </w:r>
      <w:r w:rsidR="00CD1487" w:rsidRPr="00FC238C">
        <w:rPr>
          <w:lang w:val="ru-RU"/>
        </w:rPr>
        <w:t>.</w:t>
      </w:r>
      <w:r w:rsidR="00036715">
        <w:rPr>
          <w:lang w:val="ru-RU"/>
        </w:rPr>
        <w:t xml:space="preserve">  </w:t>
      </w:r>
      <w:r w:rsidR="002C407B">
        <w:rPr>
          <w:lang w:val="ru-RU"/>
        </w:rPr>
        <w:t>Однако в</w:t>
      </w:r>
      <w:r w:rsidR="00036715">
        <w:rPr>
          <w:lang w:val="ru-RU"/>
        </w:rPr>
        <w:t xml:space="preserve"> нем не рассматриваются последствия, уже отраженные в Марракешском договоре о ЛНЗ, а также способы и средства, которые, предположительно, не могут иметь никаких последствий для авторского права и смежных прав. </w:t>
      </w:r>
    </w:p>
    <w:p w:rsidR="000C6FB7" w:rsidRPr="00036715" w:rsidRDefault="00036715" w:rsidP="00FC238C">
      <w:pPr>
        <w:widowControl w:val="0"/>
        <w:spacing w:after="120"/>
        <w:rPr>
          <w:lang w:val="ru-RU"/>
        </w:rPr>
      </w:pPr>
      <w:r>
        <w:rPr>
          <w:lang w:val="ru-RU"/>
        </w:rPr>
        <w:t>Как показало исследование, государства-члены применяют различные подход</w:t>
      </w:r>
      <w:r w:rsidR="002C407B">
        <w:rPr>
          <w:lang w:val="ru-RU"/>
        </w:rPr>
        <w:t>ы к обеспечению доступа и охраны</w:t>
      </w:r>
      <w:r>
        <w:rPr>
          <w:lang w:val="ru-RU"/>
        </w:rPr>
        <w:t xml:space="preserve"> авторского права как в рамках Марракешского договора, так и в рамках усилий </w:t>
      </w:r>
      <w:r w:rsidR="002C407B">
        <w:rPr>
          <w:lang w:val="ru-RU"/>
        </w:rPr>
        <w:t>иным образом</w:t>
      </w:r>
      <w:r>
        <w:rPr>
          <w:lang w:val="ru-RU"/>
        </w:rPr>
        <w:t xml:space="preserve"> реформирова</w:t>
      </w:r>
      <w:r w:rsidR="002C407B">
        <w:rPr>
          <w:lang w:val="ru-RU"/>
        </w:rPr>
        <w:t>ть</w:t>
      </w:r>
      <w:r>
        <w:rPr>
          <w:lang w:val="ru-RU"/>
        </w:rPr>
        <w:t xml:space="preserve"> сфер</w:t>
      </w:r>
      <w:r w:rsidR="002C407B">
        <w:rPr>
          <w:lang w:val="ru-RU"/>
        </w:rPr>
        <w:t>у</w:t>
      </w:r>
      <w:r>
        <w:rPr>
          <w:lang w:val="ru-RU"/>
        </w:rPr>
        <w:t xml:space="preserve"> авторского права.  Между государствами выявлены существенные различия с точки зрения охвата конкретных охраняемых произведений и </w:t>
      </w:r>
      <w:r w:rsidR="00DF251A">
        <w:rPr>
          <w:lang w:val="ru-RU"/>
        </w:rPr>
        <w:t>актов</w:t>
      </w:r>
      <w:r>
        <w:rPr>
          <w:lang w:val="ru-RU"/>
        </w:rPr>
        <w:t xml:space="preserve">, подпадающих под исключения и ограничения, категорий ограниченных возможностей (нарушения зрения, </w:t>
      </w:r>
      <w:r w:rsidR="002C407B">
        <w:rPr>
          <w:lang w:val="ru-RU"/>
        </w:rPr>
        <w:t>соматические нарушения</w:t>
      </w:r>
      <w:r>
        <w:rPr>
          <w:lang w:val="ru-RU"/>
        </w:rPr>
        <w:t xml:space="preserve"> и когнитивные/</w:t>
      </w:r>
      <w:r w:rsidR="002C407B">
        <w:rPr>
          <w:lang w:val="ru-RU"/>
        </w:rPr>
        <w:t>умственные</w:t>
      </w:r>
      <w:r>
        <w:rPr>
          <w:lang w:val="ru-RU"/>
        </w:rPr>
        <w:t xml:space="preserve"> нарушения) и других условий, определяющих право на </w:t>
      </w:r>
      <w:r w:rsidR="002C407B">
        <w:rPr>
          <w:lang w:val="ru-RU"/>
        </w:rPr>
        <w:t>доступ</w:t>
      </w:r>
      <w:r>
        <w:rPr>
          <w:lang w:val="ru-RU"/>
        </w:rPr>
        <w:t xml:space="preserve">, выявленных препятствий на пути реформирования </w:t>
      </w:r>
      <w:r w:rsidR="002C407B">
        <w:rPr>
          <w:lang w:val="ru-RU"/>
        </w:rPr>
        <w:t xml:space="preserve">сферы </w:t>
      </w:r>
      <w:r>
        <w:rPr>
          <w:lang w:val="ru-RU"/>
        </w:rPr>
        <w:t xml:space="preserve">авторского права </w:t>
      </w:r>
      <w:r w:rsidR="008546D1">
        <w:rPr>
          <w:lang w:val="ru-RU"/>
        </w:rPr>
        <w:t xml:space="preserve">с учетом необходимости обеспечения доступа и </w:t>
      </w:r>
      <w:r w:rsidR="00333CE0">
        <w:rPr>
          <w:lang w:val="ru-RU"/>
        </w:rPr>
        <w:t>«точек пересечения»</w:t>
      </w:r>
      <w:r w:rsidR="008546D1">
        <w:rPr>
          <w:lang w:val="ru-RU"/>
        </w:rPr>
        <w:t xml:space="preserve"> с национальными законодательными и подзаконными актами, регулирующими вопросы доступа.  </w:t>
      </w:r>
    </w:p>
    <w:p w:rsidR="007807F3" w:rsidRPr="00036715" w:rsidRDefault="007807F3">
      <w:pPr>
        <w:widowControl w:val="0"/>
        <w:spacing w:after="80" w:line="300" w:lineRule="auto"/>
        <w:rPr>
          <w:lang w:val="ru-RU"/>
        </w:rPr>
      </w:pPr>
    </w:p>
    <w:p w:rsidR="00953D5A" w:rsidRPr="0028371D" w:rsidRDefault="00D2014B">
      <w:pPr>
        <w:pStyle w:val="Heading1"/>
        <w:widowControl w:val="0"/>
        <w:rPr>
          <w:lang w:val="ru-RU"/>
        </w:rPr>
      </w:pPr>
      <w:bookmarkStart w:id="5" w:name="_w4svgnbwft8z" w:colFirst="0" w:colLast="0"/>
      <w:bookmarkEnd w:id="5"/>
      <w:r>
        <w:rPr>
          <w:lang w:val="ru-RU"/>
        </w:rPr>
        <w:t>вопросник</w:t>
      </w:r>
      <w:r w:rsidRPr="0028371D">
        <w:rPr>
          <w:lang w:val="ru-RU"/>
        </w:rPr>
        <w:t xml:space="preserve"> </w:t>
      </w:r>
      <w:r>
        <w:rPr>
          <w:lang w:val="ru-RU"/>
        </w:rPr>
        <w:t>для</w:t>
      </w:r>
      <w:r w:rsidRPr="0028371D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28371D">
        <w:rPr>
          <w:lang w:val="ru-RU"/>
        </w:rPr>
        <w:t>-</w:t>
      </w:r>
      <w:r>
        <w:rPr>
          <w:lang w:val="ru-RU"/>
        </w:rPr>
        <w:t>членов</w:t>
      </w:r>
      <w:r w:rsidR="00CD1487" w:rsidRPr="0028371D">
        <w:rPr>
          <w:lang w:val="ru-RU"/>
        </w:rPr>
        <w:t xml:space="preserve"> </w:t>
      </w:r>
    </w:p>
    <w:p w:rsidR="007807F3" w:rsidRPr="0028371D" w:rsidRDefault="007807F3" w:rsidP="007B4424">
      <w:pPr>
        <w:rPr>
          <w:lang w:val="ru-RU"/>
        </w:rPr>
      </w:pPr>
    </w:p>
    <w:p w:rsidR="00953D5A" w:rsidRPr="009E4F83" w:rsidRDefault="00D2014B" w:rsidP="009E4F83">
      <w:pPr>
        <w:widowControl w:val="0"/>
        <w:spacing w:after="80"/>
        <w:rPr>
          <w:lang w:val="ru-RU"/>
        </w:rPr>
      </w:pPr>
      <w:r>
        <w:rPr>
          <w:lang w:val="ru-RU"/>
        </w:rPr>
        <w:t>В</w:t>
      </w:r>
      <w:r w:rsidRPr="00D2014B">
        <w:rPr>
          <w:lang w:val="ru-RU"/>
        </w:rPr>
        <w:t xml:space="preserve"> </w:t>
      </w:r>
      <w:r>
        <w:rPr>
          <w:lang w:val="ru-RU"/>
        </w:rPr>
        <w:t>исследовании</w:t>
      </w:r>
      <w:r w:rsidRPr="00D2014B">
        <w:rPr>
          <w:lang w:val="ru-RU"/>
        </w:rPr>
        <w:t xml:space="preserve"> </w:t>
      </w:r>
      <w:r>
        <w:rPr>
          <w:lang w:val="ru-RU"/>
        </w:rPr>
        <w:t>также</w:t>
      </w:r>
      <w:r w:rsidRPr="00D2014B">
        <w:rPr>
          <w:lang w:val="ru-RU"/>
        </w:rPr>
        <w:t xml:space="preserve"> </w:t>
      </w:r>
      <w:r>
        <w:rPr>
          <w:lang w:val="ru-RU"/>
        </w:rPr>
        <w:t>представлены</w:t>
      </w:r>
      <w:r w:rsidRPr="00D2014B">
        <w:rPr>
          <w:lang w:val="ru-RU"/>
        </w:rPr>
        <w:t xml:space="preserve"> </w:t>
      </w:r>
      <w:r>
        <w:rPr>
          <w:lang w:val="ru-RU"/>
        </w:rPr>
        <w:t xml:space="preserve">результаты опроса государств-членов, проведенного с целью сбора данных для обсуждения нынешнего состояния нормативно-правовой </w:t>
      </w:r>
      <w:r w:rsidR="009E4F83">
        <w:rPr>
          <w:lang w:val="ru-RU"/>
        </w:rPr>
        <w:t>базы, регулирующей доступ лиц с ограниченными возможностями к произведениям, которые могут охраняться авто</w:t>
      </w:r>
      <w:r w:rsidR="0028371D">
        <w:rPr>
          <w:lang w:val="ru-RU"/>
        </w:rPr>
        <w:t>рским правом и смежными правами, в отдельных государствах.</w:t>
      </w:r>
      <w:r w:rsidR="009E4F83">
        <w:rPr>
          <w:lang w:val="ru-RU"/>
        </w:rPr>
        <w:t xml:space="preserve">  По</w:t>
      </w:r>
      <w:r w:rsidR="009E4F83" w:rsidRPr="009E4F83">
        <w:rPr>
          <w:lang w:val="ru-RU"/>
        </w:rPr>
        <w:t xml:space="preserve"> </w:t>
      </w:r>
      <w:r w:rsidR="009E4F83">
        <w:rPr>
          <w:lang w:val="ru-RU"/>
        </w:rPr>
        <w:t>состоянию</w:t>
      </w:r>
      <w:r w:rsidR="009E4F83" w:rsidRPr="009E4F83">
        <w:rPr>
          <w:lang w:val="ru-RU"/>
        </w:rPr>
        <w:t xml:space="preserve"> </w:t>
      </w:r>
      <w:r w:rsidR="009E4F83">
        <w:rPr>
          <w:lang w:val="ru-RU"/>
        </w:rPr>
        <w:t>на</w:t>
      </w:r>
      <w:r w:rsidR="009E4F83" w:rsidRPr="009E4F83">
        <w:rPr>
          <w:lang w:val="ru-RU"/>
        </w:rPr>
        <w:t xml:space="preserve"> 7 </w:t>
      </w:r>
      <w:r w:rsidR="009E4F83">
        <w:rPr>
          <w:lang w:val="ru-RU"/>
        </w:rPr>
        <w:t>августа</w:t>
      </w:r>
      <w:r w:rsidR="009E4F83" w:rsidRPr="009E4F83">
        <w:rPr>
          <w:lang w:val="ru-RU"/>
        </w:rPr>
        <w:t xml:space="preserve"> 2017</w:t>
      </w:r>
      <w:r w:rsidR="009E4F83" w:rsidRPr="009E4F83">
        <w:t> </w:t>
      </w:r>
      <w:r w:rsidR="009E4F83">
        <w:rPr>
          <w:lang w:val="ru-RU"/>
        </w:rPr>
        <w:t>г</w:t>
      </w:r>
      <w:r w:rsidR="009E4F83" w:rsidRPr="009E4F83">
        <w:rPr>
          <w:lang w:val="ru-RU"/>
        </w:rPr>
        <w:t xml:space="preserve">. </w:t>
      </w:r>
      <w:r w:rsidR="009E4F83">
        <w:rPr>
          <w:lang w:val="ru-RU"/>
        </w:rPr>
        <w:t>ответы</w:t>
      </w:r>
      <w:r w:rsidR="009E4F83" w:rsidRPr="009E4F83">
        <w:rPr>
          <w:lang w:val="ru-RU"/>
        </w:rPr>
        <w:t xml:space="preserve"> </w:t>
      </w:r>
      <w:r w:rsidR="009E4F83">
        <w:rPr>
          <w:lang w:val="ru-RU"/>
        </w:rPr>
        <w:t>на</w:t>
      </w:r>
      <w:r w:rsidR="009E4F83" w:rsidRPr="009E4F83">
        <w:rPr>
          <w:lang w:val="ru-RU"/>
        </w:rPr>
        <w:t xml:space="preserve"> </w:t>
      </w:r>
      <w:r w:rsidR="009E4F83">
        <w:rPr>
          <w:lang w:val="ru-RU"/>
        </w:rPr>
        <w:t>вопросник</w:t>
      </w:r>
      <w:r w:rsidR="009E4F83" w:rsidRPr="009E4F83">
        <w:rPr>
          <w:lang w:val="ru-RU"/>
        </w:rPr>
        <w:t xml:space="preserve"> </w:t>
      </w:r>
      <w:r w:rsidR="009E4F83">
        <w:rPr>
          <w:lang w:val="ru-RU"/>
        </w:rPr>
        <w:t>были</w:t>
      </w:r>
      <w:r w:rsidR="009E4F83" w:rsidRPr="009E4F83">
        <w:rPr>
          <w:lang w:val="ru-RU"/>
        </w:rPr>
        <w:t xml:space="preserve"> </w:t>
      </w:r>
      <w:r w:rsidR="009E4F83">
        <w:rPr>
          <w:lang w:val="ru-RU"/>
        </w:rPr>
        <w:t>получены от 22 государств.  Четыре</w:t>
      </w:r>
      <w:r w:rsidR="009E4F83" w:rsidRPr="009E4F83">
        <w:rPr>
          <w:lang w:val="ru-RU"/>
        </w:rPr>
        <w:t xml:space="preserve"> </w:t>
      </w:r>
      <w:r w:rsidR="0023170E">
        <w:rPr>
          <w:lang w:val="ru-RU"/>
        </w:rPr>
        <w:t>из них</w:t>
      </w:r>
      <w:r w:rsidR="009E4F83" w:rsidRPr="009E4F83">
        <w:rPr>
          <w:lang w:val="ru-RU"/>
        </w:rPr>
        <w:t xml:space="preserve"> </w:t>
      </w:r>
      <w:r w:rsidR="009E4F83">
        <w:rPr>
          <w:lang w:val="ru-RU"/>
        </w:rPr>
        <w:t>запретили</w:t>
      </w:r>
      <w:r w:rsidR="009E4F83" w:rsidRPr="009E4F83">
        <w:rPr>
          <w:lang w:val="ru-RU"/>
        </w:rPr>
        <w:t xml:space="preserve"> </w:t>
      </w:r>
      <w:r w:rsidR="009E4F83">
        <w:rPr>
          <w:lang w:val="ru-RU"/>
        </w:rPr>
        <w:t>авторам</w:t>
      </w:r>
      <w:r w:rsidR="009E4F83" w:rsidRPr="009E4F83">
        <w:rPr>
          <w:lang w:val="ru-RU"/>
        </w:rPr>
        <w:t xml:space="preserve"> </w:t>
      </w:r>
      <w:r w:rsidR="009E4F83">
        <w:rPr>
          <w:lang w:val="ru-RU"/>
        </w:rPr>
        <w:t>исследования</w:t>
      </w:r>
      <w:r w:rsidR="009E4F83" w:rsidRPr="009E4F83">
        <w:rPr>
          <w:lang w:val="ru-RU"/>
        </w:rPr>
        <w:t xml:space="preserve"> </w:t>
      </w:r>
      <w:r w:rsidR="0028371D">
        <w:rPr>
          <w:lang w:val="ru-RU"/>
        </w:rPr>
        <w:t>предавать</w:t>
      </w:r>
      <w:r w:rsidR="009E4F83" w:rsidRPr="009E4F83">
        <w:rPr>
          <w:lang w:val="ru-RU"/>
        </w:rPr>
        <w:t xml:space="preserve"> </w:t>
      </w:r>
      <w:r w:rsidR="009E4F83">
        <w:rPr>
          <w:lang w:val="ru-RU"/>
        </w:rPr>
        <w:t>огласке</w:t>
      </w:r>
      <w:r w:rsidR="009E4F83" w:rsidRPr="009E4F83">
        <w:rPr>
          <w:lang w:val="ru-RU"/>
        </w:rPr>
        <w:t xml:space="preserve"> </w:t>
      </w:r>
      <w:r w:rsidR="0023170E">
        <w:rPr>
          <w:lang w:val="ru-RU"/>
        </w:rPr>
        <w:t>свои</w:t>
      </w:r>
      <w:r w:rsidR="0028371D">
        <w:rPr>
          <w:lang w:val="ru-RU"/>
        </w:rPr>
        <w:t xml:space="preserve"> отве</w:t>
      </w:r>
      <w:r w:rsidR="009E4F83">
        <w:rPr>
          <w:lang w:val="ru-RU"/>
        </w:rPr>
        <w:t xml:space="preserve">ты, вследствие чего </w:t>
      </w:r>
      <w:r w:rsidR="0028371D">
        <w:rPr>
          <w:lang w:val="ru-RU"/>
        </w:rPr>
        <w:t xml:space="preserve">представленная ими информация </w:t>
      </w:r>
      <w:r w:rsidR="009E4F83">
        <w:rPr>
          <w:lang w:val="ru-RU"/>
        </w:rPr>
        <w:t>был</w:t>
      </w:r>
      <w:r w:rsidR="0028371D">
        <w:rPr>
          <w:lang w:val="ru-RU"/>
        </w:rPr>
        <w:t>а</w:t>
      </w:r>
      <w:r w:rsidR="009E4F83">
        <w:rPr>
          <w:lang w:val="ru-RU"/>
        </w:rPr>
        <w:t xml:space="preserve"> исключен</w:t>
      </w:r>
      <w:r w:rsidR="0028371D">
        <w:rPr>
          <w:lang w:val="ru-RU"/>
        </w:rPr>
        <w:t>а</w:t>
      </w:r>
      <w:r w:rsidR="009E4F83">
        <w:rPr>
          <w:lang w:val="ru-RU"/>
        </w:rPr>
        <w:t xml:space="preserve"> из исследования</w:t>
      </w:r>
      <w:r w:rsidR="00DB286C">
        <w:rPr>
          <w:rStyle w:val="FootnoteReference"/>
        </w:rPr>
        <w:footnoteReference w:id="1"/>
      </w:r>
      <w:r w:rsidR="009E4F83">
        <w:rPr>
          <w:lang w:val="ru-RU"/>
        </w:rPr>
        <w:t>.</w:t>
      </w:r>
      <w:r w:rsidR="003C3941" w:rsidRPr="009E4F83">
        <w:rPr>
          <w:lang w:val="ru-RU"/>
        </w:rPr>
        <w:t xml:space="preserve"> </w:t>
      </w:r>
      <w:r w:rsidR="009E4F83">
        <w:rPr>
          <w:lang w:val="ru-RU"/>
        </w:rPr>
        <w:t xml:space="preserve">Краткий анализ </w:t>
      </w:r>
      <w:r w:rsidR="0028371D">
        <w:rPr>
          <w:lang w:val="ru-RU"/>
        </w:rPr>
        <w:t>полученных</w:t>
      </w:r>
      <w:r w:rsidR="009E4F83">
        <w:rPr>
          <w:lang w:val="ru-RU"/>
        </w:rPr>
        <w:t xml:space="preserve"> ответов приводится ниже</w:t>
      </w:r>
      <w:r w:rsidR="00CD1487" w:rsidRPr="009E4F83">
        <w:rPr>
          <w:lang w:val="ru-RU"/>
        </w:rPr>
        <w:t xml:space="preserve">. </w:t>
      </w:r>
      <w:r w:rsidR="009E4F83">
        <w:rPr>
          <w:lang w:val="ru-RU"/>
        </w:rPr>
        <w:t xml:space="preserve">Содержащаяся в данном резюме информация более детально </w:t>
      </w:r>
      <w:r w:rsidR="0028371D">
        <w:rPr>
          <w:lang w:val="ru-RU"/>
        </w:rPr>
        <w:t xml:space="preserve">будет рассмотрена </w:t>
      </w:r>
      <w:r w:rsidR="009E4F83">
        <w:rPr>
          <w:lang w:val="ru-RU"/>
        </w:rPr>
        <w:t xml:space="preserve">в отчете, которые будет представлен на </w:t>
      </w:r>
      <w:r w:rsidR="0028371D">
        <w:rPr>
          <w:lang w:val="ru-RU"/>
        </w:rPr>
        <w:t>тридцать пятой</w:t>
      </w:r>
      <w:r w:rsidR="009E4F83">
        <w:rPr>
          <w:lang w:val="ru-RU"/>
        </w:rPr>
        <w:t xml:space="preserve"> сессии ПКАП в ноябре.</w:t>
      </w:r>
    </w:p>
    <w:p w:rsidR="00953D5A" w:rsidRPr="007B7AD6" w:rsidRDefault="007B7AD6" w:rsidP="007B4424">
      <w:pPr>
        <w:pStyle w:val="Heading2"/>
        <w:rPr>
          <w:lang w:val="ru-RU"/>
        </w:rPr>
      </w:pPr>
      <w:bookmarkStart w:id="6" w:name="_dnusf7np02ov" w:colFirst="0" w:colLast="0"/>
      <w:bookmarkEnd w:id="6"/>
      <w:r>
        <w:rPr>
          <w:lang w:val="ru-RU"/>
        </w:rPr>
        <w:lastRenderedPageBreak/>
        <w:t xml:space="preserve">решение вопроса о доступе в рамках национального законодательства в области авторского права </w:t>
      </w:r>
    </w:p>
    <w:p w:rsidR="007807F3" w:rsidRPr="007B7AD6" w:rsidRDefault="007807F3" w:rsidP="007B4424">
      <w:pPr>
        <w:rPr>
          <w:lang w:val="ru-RU"/>
        </w:rPr>
      </w:pPr>
    </w:p>
    <w:p w:rsidR="00953D5A" w:rsidRPr="007B7AD6" w:rsidRDefault="007B7AD6" w:rsidP="007B7AD6">
      <w:pPr>
        <w:rPr>
          <w:lang w:val="ru-RU"/>
        </w:rPr>
      </w:pPr>
      <w:r>
        <w:rPr>
          <w:lang w:val="ru-RU"/>
        </w:rPr>
        <w:t>В 18 из 22 государств</w:t>
      </w:r>
      <w:r w:rsidR="00524586">
        <w:rPr>
          <w:lang w:val="ru-RU"/>
        </w:rPr>
        <w:t>-респондентов</w:t>
      </w:r>
      <w:r>
        <w:rPr>
          <w:lang w:val="ru-RU"/>
        </w:rPr>
        <w:t xml:space="preserve"> действу</w:t>
      </w:r>
      <w:r w:rsidR="0023170E">
        <w:rPr>
          <w:lang w:val="ru-RU"/>
        </w:rPr>
        <w:t>ю</w:t>
      </w:r>
      <w:r>
        <w:rPr>
          <w:lang w:val="ru-RU"/>
        </w:rPr>
        <w:t xml:space="preserve">т определенные законодательные положения, позволяющие лицам с ограниченными возможностями (или физическим или юридическим лицам, </w:t>
      </w:r>
      <w:r w:rsidR="00DF251A">
        <w:rPr>
          <w:lang w:val="ru-RU"/>
        </w:rPr>
        <w:t>действующим</w:t>
      </w:r>
      <w:r>
        <w:rPr>
          <w:lang w:val="ru-RU"/>
        </w:rPr>
        <w:t xml:space="preserve"> от их имени) совершать </w:t>
      </w:r>
      <w:r w:rsidR="00DF251A">
        <w:rPr>
          <w:lang w:val="ru-RU"/>
        </w:rPr>
        <w:t>акты</w:t>
      </w:r>
      <w:r>
        <w:rPr>
          <w:lang w:val="ru-RU"/>
        </w:rPr>
        <w:t xml:space="preserve">, обеспечивающие доступ к произведениям, охраняемым авторским правом.  Кроме того, большинство государств, в которых уже действуют такие положения, сообщили о том, что они планируют внести дополнительные изменения или рассматривают вопрос о внесении таких изменений: одни — </w:t>
      </w:r>
      <w:r w:rsidR="00DF251A">
        <w:rPr>
          <w:lang w:val="ru-RU"/>
        </w:rPr>
        <w:t>для обеспечения соблюдения</w:t>
      </w:r>
      <w:r>
        <w:rPr>
          <w:lang w:val="ru-RU"/>
        </w:rPr>
        <w:t xml:space="preserve"> положений Марракешского договора, а другие — </w:t>
      </w:r>
      <w:r w:rsidR="00DF251A">
        <w:rPr>
          <w:lang w:val="ru-RU"/>
        </w:rPr>
        <w:t>в</w:t>
      </w:r>
      <w:r>
        <w:rPr>
          <w:lang w:val="ru-RU"/>
        </w:rPr>
        <w:t xml:space="preserve"> более </w:t>
      </w:r>
      <w:r w:rsidR="00DF251A">
        <w:rPr>
          <w:lang w:val="ru-RU"/>
        </w:rPr>
        <w:t>общем плане</w:t>
      </w:r>
      <w:r>
        <w:rPr>
          <w:lang w:val="ru-RU"/>
        </w:rPr>
        <w:t xml:space="preserve">.  Ряд других стран находятся в процессе (или уже подошли к </w:t>
      </w:r>
      <w:r w:rsidR="00DF251A">
        <w:rPr>
          <w:lang w:val="ru-RU"/>
        </w:rPr>
        <w:t>началу</w:t>
      </w:r>
      <w:r>
        <w:rPr>
          <w:lang w:val="ru-RU"/>
        </w:rPr>
        <w:t xml:space="preserve"> процесса) принятия законодательных актов в целях выполнения Марракешского договора. </w:t>
      </w:r>
    </w:p>
    <w:p w:rsidR="00953D5A" w:rsidRPr="007B7AD6" w:rsidRDefault="007B7AD6" w:rsidP="007B4424">
      <w:pPr>
        <w:pStyle w:val="Heading2"/>
        <w:keepLines/>
        <w:rPr>
          <w:lang w:val="ru-RU"/>
        </w:rPr>
      </w:pPr>
      <w:bookmarkStart w:id="7" w:name="_fokweqoedl1o" w:colFirst="0" w:colLast="0"/>
      <w:bookmarkEnd w:id="7"/>
      <w:r>
        <w:rPr>
          <w:lang w:val="ru-RU"/>
        </w:rPr>
        <w:t xml:space="preserve">Конкретные </w:t>
      </w:r>
      <w:r w:rsidR="00DF251A">
        <w:rPr>
          <w:lang w:val="ru-RU"/>
        </w:rPr>
        <w:t>акты</w:t>
      </w:r>
    </w:p>
    <w:p w:rsidR="007807F3" w:rsidRPr="007B7AD6" w:rsidRDefault="007807F3" w:rsidP="007B4424">
      <w:pPr>
        <w:keepNext/>
        <w:keepLines/>
        <w:rPr>
          <w:lang w:val="ru-RU"/>
        </w:rPr>
      </w:pPr>
    </w:p>
    <w:p w:rsidR="00953D5A" w:rsidRPr="007B7AD6" w:rsidRDefault="007B7AD6" w:rsidP="00524586">
      <w:pPr>
        <w:keepNext/>
        <w:keepLines/>
        <w:spacing w:after="120"/>
        <w:rPr>
          <w:lang w:val="ru-RU"/>
        </w:rPr>
      </w:pPr>
      <w:r>
        <w:rPr>
          <w:lang w:val="ru-RU"/>
        </w:rPr>
        <w:t>Все государства</w:t>
      </w:r>
      <w:r w:rsidR="00524586">
        <w:rPr>
          <w:lang w:val="ru-RU"/>
        </w:rPr>
        <w:t>-респонденты</w:t>
      </w:r>
      <w:r>
        <w:rPr>
          <w:lang w:val="ru-RU"/>
        </w:rPr>
        <w:t xml:space="preserve"> с гибкой нормативно-правовой базой определили сферу охвата своего законодательства, перечислив конкретные </w:t>
      </w:r>
      <w:r w:rsidR="00DF251A">
        <w:rPr>
          <w:lang w:val="ru-RU"/>
        </w:rPr>
        <w:t>акты</w:t>
      </w:r>
      <w:r>
        <w:rPr>
          <w:lang w:val="ru-RU"/>
        </w:rPr>
        <w:t>, которые могут соверш</w:t>
      </w:r>
      <w:r w:rsidR="00FF54E3">
        <w:rPr>
          <w:lang w:val="ru-RU"/>
        </w:rPr>
        <w:t>аться</w:t>
      </w:r>
      <w:r>
        <w:rPr>
          <w:lang w:val="ru-RU"/>
        </w:rPr>
        <w:t xml:space="preserve"> в отношении произведений, </w:t>
      </w:r>
      <w:r w:rsidR="00FF54E3">
        <w:rPr>
          <w:lang w:val="ru-RU"/>
        </w:rPr>
        <w:t>охраняемых авторским правом.  Из</w:t>
      </w:r>
      <w:r>
        <w:rPr>
          <w:lang w:val="ru-RU"/>
        </w:rPr>
        <w:t xml:space="preserve"> этих государств</w:t>
      </w:r>
      <w:r w:rsidR="00CD1487" w:rsidRPr="007B7AD6">
        <w:rPr>
          <w:lang w:val="ru-RU"/>
        </w:rPr>
        <w:t>:</w:t>
      </w:r>
    </w:p>
    <w:p w:rsidR="00953D5A" w:rsidRPr="007B7AD6" w:rsidRDefault="007B7AD6" w:rsidP="00524586">
      <w:pPr>
        <w:numPr>
          <w:ilvl w:val="0"/>
          <w:numId w:val="5"/>
        </w:numPr>
        <w:spacing w:after="120"/>
        <w:rPr>
          <w:lang w:val="ru-RU"/>
        </w:rPr>
      </w:pPr>
      <w:r>
        <w:rPr>
          <w:lang w:val="ru-RU"/>
        </w:rPr>
        <w:t xml:space="preserve">все государства </w:t>
      </w:r>
      <w:r w:rsidR="00524586">
        <w:rPr>
          <w:lang w:val="ru-RU"/>
        </w:rPr>
        <w:t>с</w:t>
      </w:r>
      <w:r>
        <w:rPr>
          <w:lang w:val="ru-RU"/>
        </w:rPr>
        <w:t xml:space="preserve"> гибкой нормативно-правовой базой</w:t>
      </w:r>
      <w:r w:rsidR="0023170E">
        <w:rPr>
          <w:lang w:val="ru-RU"/>
        </w:rPr>
        <w:t>,</w:t>
      </w:r>
      <w:r>
        <w:rPr>
          <w:lang w:val="ru-RU"/>
        </w:rPr>
        <w:t xml:space="preserve"> за исключением одного</w:t>
      </w:r>
      <w:r w:rsidR="0023170E">
        <w:rPr>
          <w:lang w:val="ru-RU"/>
        </w:rPr>
        <w:t>,</w:t>
      </w:r>
      <w:r>
        <w:rPr>
          <w:lang w:val="ru-RU"/>
        </w:rPr>
        <w:t xml:space="preserve"> </w:t>
      </w:r>
      <w:r w:rsidR="00C01445">
        <w:rPr>
          <w:lang w:val="ru-RU"/>
        </w:rPr>
        <w:t>предусматривают</w:t>
      </w:r>
      <w:r w:rsidR="00FF54E3" w:rsidRPr="00FF54E3">
        <w:rPr>
          <w:lang w:val="ru-RU"/>
        </w:rPr>
        <w:t xml:space="preserve"> </w:t>
      </w:r>
      <w:r w:rsidR="00FF54E3">
        <w:rPr>
          <w:lang w:val="ru-RU"/>
        </w:rPr>
        <w:t>в своих исключениях и ограничениях</w:t>
      </w:r>
      <w:r w:rsidR="00C01445">
        <w:rPr>
          <w:lang w:val="ru-RU"/>
        </w:rPr>
        <w:t xml:space="preserve"> </w:t>
      </w:r>
      <w:r w:rsidR="00C01445" w:rsidRPr="00C01445">
        <w:rPr>
          <w:b/>
          <w:lang w:val="ru-RU"/>
        </w:rPr>
        <w:t>воспроизведение</w:t>
      </w:r>
      <w:r w:rsidR="00C01445">
        <w:rPr>
          <w:lang w:val="ru-RU"/>
        </w:rPr>
        <w:t>;</w:t>
      </w:r>
    </w:p>
    <w:p w:rsidR="00953D5A" w:rsidRPr="00C01445" w:rsidRDefault="00C01445" w:rsidP="00524586">
      <w:pPr>
        <w:numPr>
          <w:ilvl w:val="0"/>
          <w:numId w:val="5"/>
        </w:numPr>
        <w:spacing w:after="120"/>
        <w:rPr>
          <w:lang w:val="ru-RU"/>
        </w:rPr>
      </w:pPr>
      <w:r>
        <w:rPr>
          <w:lang w:val="ru-RU"/>
        </w:rPr>
        <w:t>значительное</w:t>
      </w:r>
      <w:r w:rsidRPr="00C01445">
        <w:rPr>
          <w:lang w:val="ru-RU"/>
        </w:rPr>
        <w:t xml:space="preserve"> </w:t>
      </w:r>
      <w:r>
        <w:rPr>
          <w:lang w:val="ru-RU"/>
        </w:rPr>
        <w:t>большинство</w:t>
      </w:r>
      <w:r w:rsidRPr="00C01445">
        <w:rPr>
          <w:lang w:val="ru-RU"/>
        </w:rPr>
        <w:t xml:space="preserve"> </w:t>
      </w:r>
      <w:r w:rsidR="00C4247B" w:rsidRPr="00C01445">
        <w:rPr>
          <w:lang w:val="ru-RU"/>
        </w:rPr>
        <w:t xml:space="preserve">(15 </w:t>
      </w:r>
      <w:r>
        <w:rPr>
          <w:lang w:val="ru-RU"/>
        </w:rPr>
        <w:t>государств</w:t>
      </w:r>
      <w:r w:rsidR="00C4247B" w:rsidRPr="00C01445">
        <w:rPr>
          <w:lang w:val="ru-RU"/>
        </w:rPr>
        <w:t xml:space="preserve">) </w:t>
      </w:r>
      <w:r>
        <w:rPr>
          <w:lang w:val="ru-RU"/>
        </w:rPr>
        <w:t>предусматривают</w:t>
      </w:r>
      <w:r w:rsidR="00CD1487" w:rsidRPr="00C01445">
        <w:rPr>
          <w:lang w:val="ru-RU"/>
        </w:rPr>
        <w:t xml:space="preserve"> </w:t>
      </w:r>
      <w:r>
        <w:rPr>
          <w:b/>
          <w:lang w:val="ru-RU"/>
        </w:rPr>
        <w:t>распространение</w:t>
      </w:r>
      <w:r w:rsidRPr="00C01445">
        <w:rPr>
          <w:lang w:val="ru-RU"/>
        </w:rPr>
        <w:t>;</w:t>
      </w:r>
    </w:p>
    <w:p w:rsidR="00953D5A" w:rsidRPr="00C01445" w:rsidRDefault="00C01445" w:rsidP="00524586">
      <w:pPr>
        <w:numPr>
          <w:ilvl w:val="0"/>
          <w:numId w:val="5"/>
        </w:numPr>
        <w:spacing w:after="120"/>
        <w:rPr>
          <w:lang w:val="ru-RU"/>
        </w:rPr>
      </w:pPr>
      <w:r>
        <w:rPr>
          <w:lang w:val="ru-RU"/>
        </w:rPr>
        <w:t>более</w:t>
      </w:r>
      <w:r w:rsidRPr="00C01445">
        <w:rPr>
          <w:lang w:val="ru-RU"/>
        </w:rPr>
        <w:t xml:space="preserve"> </w:t>
      </w:r>
      <w:r>
        <w:rPr>
          <w:lang w:val="ru-RU"/>
        </w:rPr>
        <w:t>половины</w:t>
      </w:r>
      <w:r w:rsidR="00CD1487" w:rsidRPr="00C01445">
        <w:rPr>
          <w:lang w:val="ru-RU"/>
        </w:rPr>
        <w:t xml:space="preserve"> </w:t>
      </w:r>
      <w:r w:rsidR="00C4247B" w:rsidRPr="00C01445">
        <w:rPr>
          <w:lang w:val="ru-RU"/>
        </w:rPr>
        <w:t xml:space="preserve">(11 </w:t>
      </w:r>
      <w:r>
        <w:rPr>
          <w:lang w:val="ru-RU"/>
        </w:rPr>
        <w:t>государств</w:t>
      </w:r>
      <w:r w:rsidR="00C4247B" w:rsidRPr="00C01445">
        <w:rPr>
          <w:lang w:val="ru-RU"/>
        </w:rPr>
        <w:t xml:space="preserve">) </w:t>
      </w:r>
      <w:r>
        <w:rPr>
          <w:lang w:val="ru-RU"/>
        </w:rPr>
        <w:t>предусматривают</w:t>
      </w:r>
      <w:r w:rsidR="00CD1487" w:rsidRPr="00C01445">
        <w:rPr>
          <w:i/>
          <w:lang w:val="ru-RU"/>
        </w:rPr>
        <w:t xml:space="preserve"> </w:t>
      </w:r>
      <w:r>
        <w:rPr>
          <w:b/>
          <w:lang w:val="ru-RU"/>
        </w:rPr>
        <w:t>сообщение для всеобщего сведения</w:t>
      </w:r>
      <w:r w:rsidR="00CD1487" w:rsidRPr="00C01445">
        <w:rPr>
          <w:lang w:val="ru-RU"/>
        </w:rPr>
        <w:t xml:space="preserve"> </w:t>
      </w:r>
      <w:r>
        <w:rPr>
          <w:lang w:val="ru-RU"/>
        </w:rPr>
        <w:t>или</w:t>
      </w:r>
      <w:r w:rsidR="00CD1487" w:rsidRPr="00C01445">
        <w:rPr>
          <w:lang w:val="ru-RU"/>
        </w:rPr>
        <w:t xml:space="preserve"> </w:t>
      </w:r>
      <w:r>
        <w:rPr>
          <w:b/>
          <w:lang w:val="ru-RU"/>
        </w:rPr>
        <w:t>доведение до всеобщего сведения</w:t>
      </w:r>
      <w:r w:rsidRPr="00C01445">
        <w:rPr>
          <w:lang w:val="ru-RU"/>
        </w:rPr>
        <w:t>;</w:t>
      </w:r>
      <w:r w:rsidR="00CD1487" w:rsidRPr="00C01445">
        <w:rPr>
          <w:lang w:val="ru-RU"/>
        </w:rPr>
        <w:t xml:space="preserve"> </w:t>
      </w:r>
    </w:p>
    <w:p w:rsidR="00953D5A" w:rsidRPr="00C01445" w:rsidRDefault="00C01445" w:rsidP="00524586">
      <w:pPr>
        <w:numPr>
          <w:ilvl w:val="0"/>
          <w:numId w:val="5"/>
        </w:numPr>
        <w:spacing w:after="120"/>
        <w:rPr>
          <w:lang w:val="ru-RU"/>
        </w:rPr>
      </w:pPr>
      <w:r>
        <w:rPr>
          <w:lang w:val="ru-RU"/>
        </w:rPr>
        <w:t>примерно</w:t>
      </w:r>
      <w:r w:rsidRPr="00C01445">
        <w:rPr>
          <w:lang w:val="ru-RU"/>
        </w:rPr>
        <w:t xml:space="preserve"> </w:t>
      </w:r>
      <w:r>
        <w:rPr>
          <w:lang w:val="ru-RU"/>
        </w:rPr>
        <w:t>половина</w:t>
      </w:r>
      <w:r w:rsidR="00CD1487" w:rsidRPr="00C01445">
        <w:rPr>
          <w:lang w:val="ru-RU"/>
        </w:rPr>
        <w:t xml:space="preserve"> </w:t>
      </w:r>
      <w:r w:rsidR="00C4247B" w:rsidRPr="00C01445">
        <w:rPr>
          <w:lang w:val="ru-RU"/>
        </w:rPr>
        <w:t>(</w:t>
      </w:r>
      <w:r>
        <w:rPr>
          <w:lang w:val="ru-RU"/>
        </w:rPr>
        <w:t>восемь государств</w:t>
      </w:r>
      <w:r w:rsidR="00C4247B" w:rsidRPr="00C01445">
        <w:rPr>
          <w:lang w:val="ru-RU"/>
        </w:rPr>
        <w:t xml:space="preserve">) </w:t>
      </w:r>
      <w:r>
        <w:rPr>
          <w:lang w:val="ru-RU"/>
        </w:rPr>
        <w:t>предусматривают</w:t>
      </w:r>
      <w:r w:rsidR="00CD1487" w:rsidRPr="00C01445">
        <w:rPr>
          <w:lang w:val="ru-RU"/>
        </w:rPr>
        <w:t xml:space="preserve"> </w:t>
      </w:r>
      <w:r>
        <w:rPr>
          <w:b/>
          <w:lang w:val="ru-RU"/>
        </w:rPr>
        <w:t>адаптацию</w:t>
      </w:r>
      <w:r w:rsidRPr="00C01445">
        <w:rPr>
          <w:lang w:val="ru-RU"/>
        </w:rPr>
        <w:t>;</w:t>
      </w:r>
      <w:r w:rsidR="00CD1487" w:rsidRPr="00C01445">
        <w:rPr>
          <w:b/>
          <w:lang w:val="ru-RU"/>
        </w:rPr>
        <w:t xml:space="preserve"> </w:t>
      </w:r>
      <w:r w:rsidR="00CD1487" w:rsidRPr="00C01445">
        <w:rPr>
          <w:lang w:val="ru-RU"/>
        </w:rPr>
        <w:t xml:space="preserve"> </w:t>
      </w:r>
    </w:p>
    <w:p w:rsidR="00953D5A" w:rsidRPr="00C01445" w:rsidRDefault="00C01445" w:rsidP="00524586">
      <w:pPr>
        <w:numPr>
          <w:ilvl w:val="0"/>
          <w:numId w:val="5"/>
        </w:numPr>
        <w:spacing w:after="120"/>
        <w:rPr>
          <w:lang w:val="ru-RU"/>
        </w:rPr>
      </w:pPr>
      <w:r>
        <w:rPr>
          <w:lang w:val="ru-RU"/>
        </w:rPr>
        <w:t>менее половины предусматривают ввоз, вывоз или обход технических мер защиты</w:t>
      </w:r>
      <w:r w:rsidR="007807F3" w:rsidRPr="00C01445">
        <w:rPr>
          <w:lang w:val="ru-RU"/>
        </w:rPr>
        <w:t xml:space="preserve"> </w:t>
      </w:r>
      <w:r w:rsidR="00C4247B" w:rsidRPr="00C01445">
        <w:rPr>
          <w:lang w:val="ru-RU"/>
        </w:rPr>
        <w:t>(</w:t>
      </w:r>
      <w:r>
        <w:rPr>
          <w:lang w:val="ru-RU"/>
        </w:rPr>
        <w:t>пять государств</w:t>
      </w:r>
      <w:r w:rsidR="00FF54E3">
        <w:rPr>
          <w:lang w:val="ru-RU"/>
        </w:rPr>
        <w:t xml:space="preserve"> –</w:t>
      </w:r>
      <w:r w:rsidR="00CD1487" w:rsidRPr="00C01445">
        <w:rPr>
          <w:lang w:val="ru-RU"/>
        </w:rPr>
        <w:t xml:space="preserve"> </w:t>
      </w:r>
      <w:r w:rsidRPr="00C01445">
        <w:rPr>
          <w:lang w:val="ru-RU"/>
        </w:rPr>
        <w:t>ввоз и вывоз</w:t>
      </w:r>
      <w:r w:rsidR="00CD1487" w:rsidRPr="00C01445">
        <w:rPr>
          <w:lang w:val="ru-RU"/>
        </w:rPr>
        <w:t>;</w:t>
      </w:r>
      <w:r>
        <w:rPr>
          <w:lang w:val="ru-RU"/>
        </w:rPr>
        <w:t xml:space="preserve">  шесть государств</w:t>
      </w:r>
      <w:r w:rsidR="00FF54E3">
        <w:rPr>
          <w:lang w:val="ru-RU"/>
        </w:rPr>
        <w:t xml:space="preserve"> –</w:t>
      </w:r>
      <w:r w:rsidR="00CD1487" w:rsidRPr="00C01445">
        <w:rPr>
          <w:lang w:val="ru-RU"/>
        </w:rPr>
        <w:t xml:space="preserve"> </w:t>
      </w:r>
      <w:r>
        <w:rPr>
          <w:lang w:val="ru-RU"/>
        </w:rPr>
        <w:t>обход</w:t>
      </w:r>
      <w:r w:rsidR="00C4247B" w:rsidRPr="00C01445">
        <w:rPr>
          <w:lang w:val="ru-RU"/>
        </w:rPr>
        <w:t>).</w:t>
      </w:r>
    </w:p>
    <w:p w:rsidR="00F23606" w:rsidRPr="00C01445" w:rsidRDefault="00F23606" w:rsidP="007B4424">
      <w:pPr>
        <w:pStyle w:val="Heading2"/>
        <w:rPr>
          <w:lang w:val="ru-RU"/>
        </w:rPr>
      </w:pPr>
      <w:bookmarkStart w:id="8" w:name="_dhsnp9extnz2" w:colFirst="0" w:colLast="0"/>
      <w:bookmarkEnd w:id="8"/>
    </w:p>
    <w:p w:rsidR="00953D5A" w:rsidRPr="00C01445" w:rsidRDefault="00C01445" w:rsidP="007B4424">
      <w:pPr>
        <w:pStyle w:val="Heading2"/>
        <w:rPr>
          <w:lang w:val="ru-RU"/>
        </w:rPr>
      </w:pPr>
      <w:r>
        <w:rPr>
          <w:lang w:val="ru-RU"/>
        </w:rPr>
        <w:t>конкретные категории ограниченных возможностей</w:t>
      </w:r>
    </w:p>
    <w:p w:rsidR="00F23606" w:rsidRPr="00C01445" w:rsidRDefault="00F23606" w:rsidP="007B4424">
      <w:pPr>
        <w:rPr>
          <w:lang w:val="ru-RU"/>
        </w:rPr>
      </w:pPr>
    </w:p>
    <w:p w:rsidR="00953D5A" w:rsidRPr="00C01445" w:rsidRDefault="00C01445" w:rsidP="003A3415">
      <w:pPr>
        <w:spacing w:after="120"/>
        <w:rPr>
          <w:lang w:val="ru-RU"/>
        </w:rPr>
      </w:pPr>
      <w:r>
        <w:rPr>
          <w:lang w:val="ru-RU"/>
        </w:rPr>
        <w:t>Большинство государств</w:t>
      </w:r>
      <w:r w:rsidR="00524586">
        <w:rPr>
          <w:lang w:val="ru-RU"/>
        </w:rPr>
        <w:t>-респондентов</w:t>
      </w:r>
      <w:r>
        <w:rPr>
          <w:lang w:val="ru-RU"/>
        </w:rPr>
        <w:t xml:space="preserve"> охарактеризовали то, в какой степени вышеперечисленные исключения и ограничения применяются в отношении </w:t>
      </w:r>
      <w:r w:rsidR="00FF54E3">
        <w:rPr>
          <w:lang w:val="ru-RU"/>
        </w:rPr>
        <w:t xml:space="preserve">только </w:t>
      </w:r>
      <w:r>
        <w:rPr>
          <w:lang w:val="ru-RU"/>
        </w:rPr>
        <w:t>конкретных категорий ограниченных возможностей</w:t>
      </w:r>
      <w:r w:rsidR="00CD1487" w:rsidRPr="00C01445">
        <w:rPr>
          <w:lang w:val="ru-RU"/>
        </w:rPr>
        <w:t xml:space="preserve">. </w:t>
      </w:r>
      <w:r>
        <w:rPr>
          <w:lang w:val="ru-RU"/>
        </w:rPr>
        <w:t>Из этих государств</w:t>
      </w:r>
      <w:r w:rsidR="00CD1487" w:rsidRPr="00C01445">
        <w:rPr>
          <w:lang w:val="ru-RU"/>
        </w:rPr>
        <w:t>:</w:t>
      </w:r>
    </w:p>
    <w:p w:rsidR="00953D5A" w:rsidRPr="006950A1" w:rsidRDefault="00C01445" w:rsidP="003A3415">
      <w:pPr>
        <w:numPr>
          <w:ilvl w:val="0"/>
          <w:numId w:val="6"/>
        </w:numPr>
        <w:spacing w:after="120"/>
        <w:rPr>
          <w:lang w:val="ru-RU"/>
        </w:rPr>
      </w:pPr>
      <w:r>
        <w:rPr>
          <w:lang w:val="ru-RU"/>
        </w:rPr>
        <w:t xml:space="preserve">значительное большинство применяют ограничения и исключения </w:t>
      </w:r>
      <w:r w:rsidR="006950A1">
        <w:rPr>
          <w:lang w:val="ru-RU"/>
        </w:rPr>
        <w:t xml:space="preserve">в отношении лиц с </w:t>
      </w:r>
      <w:r w:rsidR="006950A1" w:rsidRPr="00524586">
        <w:rPr>
          <w:b/>
          <w:lang w:val="ru-RU"/>
        </w:rPr>
        <w:t>любыми ограниченными возможностями</w:t>
      </w:r>
      <w:r w:rsidR="006950A1">
        <w:rPr>
          <w:lang w:val="ru-RU"/>
        </w:rPr>
        <w:t>, при этом несколько государств требуют, чтобы ограниченные возможности, по сути, обусловливали необходимость доступа к охраняемому произведению, или ограничивают перечень категори</w:t>
      </w:r>
      <w:r w:rsidR="00524586">
        <w:rPr>
          <w:lang w:val="ru-RU"/>
        </w:rPr>
        <w:t>й ограниченных возможностей, дающих право на доступ, в других законодательных актах, не касающихся авторского права;</w:t>
      </w:r>
    </w:p>
    <w:p w:rsidR="00953D5A" w:rsidRPr="006950A1" w:rsidRDefault="00524586" w:rsidP="003A3415">
      <w:pPr>
        <w:numPr>
          <w:ilvl w:val="0"/>
          <w:numId w:val="6"/>
        </w:numPr>
        <w:spacing w:after="120"/>
        <w:rPr>
          <w:lang w:val="ru-RU"/>
        </w:rPr>
      </w:pPr>
      <w:r>
        <w:rPr>
          <w:lang w:val="ru-RU"/>
        </w:rPr>
        <w:t>из государств, не применяющих исключения и ограничения в отношении лиц с любыми ограниченными возможностями</w:t>
      </w:r>
      <w:r w:rsidR="00CD1487" w:rsidRPr="006950A1">
        <w:rPr>
          <w:lang w:val="ru-RU"/>
        </w:rPr>
        <w:t>:</w:t>
      </w:r>
    </w:p>
    <w:p w:rsidR="00953D5A" w:rsidRPr="00524586" w:rsidRDefault="00524586" w:rsidP="003A3415">
      <w:pPr>
        <w:numPr>
          <w:ilvl w:val="1"/>
          <w:numId w:val="6"/>
        </w:numPr>
        <w:spacing w:after="120"/>
        <w:rPr>
          <w:lang w:val="ru-RU"/>
        </w:rPr>
      </w:pPr>
      <w:r>
        <w:rPr>
          <w:lang w:val="ru-RU"/>
        </w:rPr>
        <w:t xml:space="preserve">все оставшиеся государства применяют свои исключения и ограничения в отношении </w:t>
      </w:r>
      <w:r w:rsidRPr="00524586">
        <w:rPr>
          <w:b/>
          <w:lang w:val="ru-RU"/>
        </w:rPr>
        <w:t>лиц с нарушениями зрения</w:t>
      </w:r>
      <w:r>
        <w:rPr>
          <w:lang w:val="ru-RU"/>
        </w:rPr>
        <w:t>;</w:t>
      </w:r>
    </w:p>
    <w:p w:rsidR="00953D5A" w:rsidRPr="00524586" w:rsidRDefault="00524586" w:rsidP="003A3415">
      <w:pPr>
        <w:numPr>
          <w:ilvl w:val="1"/>
          <w:numId w:val="6"/>
        </w:numPr>
        <w:spacing w:after="120"/>
        <w:rPr>
          <w:lang w:val="ru-RU"/>
        </w:rPr>
      </w:pPr>
      <w:r>
        <w:rPr>
          <w:lang w:val="ru-RU"/>
        </w:rPr>
        <w:t>менее половины оставшихся государств применяют свои исключения и ограничения в отношении лиц с различными иными нарушениями</w:t>
      </w:r>
      <w:r w:rsidR="00CD1487" w:rsidRPr="00524586">
        <w:rPr>
          <w:lang w:val="ru-RU"/>
        </w:rPr>
        <w:t xml:space="preserve">, </w:t>
      </w:r>
      <w:r>
        <w:rPr>
          <w:lang w:val="ru-RU"/>
        </w:rPr>
        <w:t xml:space="preserve">включая </w:t>
      </w:r>
      <w:r w:rsidR="00CD1487" w:rsidRPr="00524586">
        <w:rPr>
          <w:lang w:val="ru-RU"/>
        </w:rPr>
        <w:t xml:space="preserve"> </w:t>
      </w:r>
      <w:r>
        <w:rPr>
          <w:b/>
          <w:lang w:val="ru-RU"/>
        </w:rPr>
        <w:t>глухоту/дефекты слуха</w:t>
      </w:r>
      <w:r w:rsidR="00CD1487" w:rsidRPr="00524586">
        <w:rPr>
          <w:b/>
          <w:lang w:val="ru-RU"/>
        </w:rPr>
        <w:t xml:space="preserve">, </w:t>
      </w:r>
      <w:r w:rsidR="003A3415">
        <w:rPr>
          <w:b/>
          <w:lang w:val="ru-RU"/>
        </w:rPr>
        <w:t xml:space="preserve">когнитивные и </w:t>
      </w:r>
      <w:r w:rsidR="002C407B">
        <w:rPr>
          <w:b/>
          <w:lang w:val="ru-RU"/>
        </w:rPr>
        <w:t>умственные</w:t>
      </w:r>
      <w:r w:rsidR="003A3415">
        <w:rPr>
          <w:b/>
          <w:lang w:val="ru-RU"/>
        </w:rPr>
        <w:t xml:space="preserve"> нарушения</w:t>
      </w:r>
      <w:r w:rsidR="00CD1487" w:rsidRPr="00524586">
        <w:rPr>
          <w:b/>
          <w:lang w:val="ru-RU"/>
        </w:rPr>
        <w:t xml:space="preserve"> </w:t>
      </w:r>
      <w:r w:rsidR="003A3415">
        <w:rPr>
          <w:b/>
          <w:lang w:val="ru-RU"/>
        </w:rPr>
        <w:t>и нарушения моторики</w:t>
      </w:r>
      <w:r w:rsidR="00CD1487" w:rsidRPr="00524586">
        <w:rPr>
          <w:b/>
          <w:lang w:val="ru-RU"/>
        </w:rPr>
        <w:t>.</w:t>
      </w:r>
      <w:r w:rsidR="00CD1487" w:rsidRPr="00524586">
        <w:rPr>
          <w:highlight w:val="yellow"/>
          <w:lang w:val="ru-RU"/>
        </w:rPr>
        <w:t xml:space="preserve">  </w:t>
      </w:r>
    </w:p>
    <w:p w:rsidR="00F23606" w:rsidRPr="00524586" w:rsidRDefault="00F23606" w:rsidP="007B4424">
      <w:pPr>
        <w:pStyle w:val="Heading2"/>
        <w:rPr>
          <w:lang w:val="ru-RU"/>
        </w:rPr>
      </w:pPr>
      <w:bookmarkStart w:id="9" w:name="_z85aonjdl99q" w:colFirst="0" w:colLast="0"/>
      <w:bookmarkEnd w:id="9"/>
    </w:p>
    <w:p w:rsidR="00953D5A" w:rsidRPr="003A3415" w:rsidRDefault="003A3415" w:rsidP="007B4424">
      <w:pPr>
        <w:pStyle w:val="Heading2"/>
        <w:rPr>
          <w:lang w:val="ru-RU"/>
        </w:rPr>
      </w:pPr>
      <w:r>
        <w:rPr>
          <w:lang w:val="ru-RU"/>
        </w:rPr>
        <w:t>категории произведений, охраняемых авторским правом</w:t>
      </w:r>
    </w:p>
    <w:p w:rsidR="00F23606" w:rsidRPr="003A3415" w:rsidRDefault="00F23606" w:rsidP="007B4424">
      <w:pPr>
        <w:rPr>
          <w:lang w:val="ru-RU"/>
        </w:rPr>
      </w:pPr>
    </w:p>
    <w:p w:rsidR="00953D5A" w:rsidRPr="003A3415" w:rsidRDefault="003A3415">
      <w:pPr>
        <w:rPr>
          <w:lang w:val="ru-RU"/>
        </w:rPr>
      </w:pPr>
      <w:r>
        <w:rPr>
          <w:lang w:val="ru-RU"/>
        </w:rPr>
        <w:t>Двенадцать государств-респондентов охарактеризовали то,</w:t>
      </w:r>
      <w:r w:rsidR="00D27444">
        <w:rPr>
          <w:lang w:val="ru-RU"/>
        </w:rPr>
        <w:t xml:space="preserve"> в какой степени вышеперечисленные исключения и ограничения применяются в отношении </w:t>
      </w:r>
      <w:r w:rsidR="00FF54E3">
        <w:rPr>
          <w:lang w:val="ru-RU"/>
        </w:rPr>
        <w:t xml:space="preserve">только </w:t>
      </w:r>
      <w:r w:rsidR="00D27444">
        <w:rPr>
          <w:lang w:val="ru-RU"/>
        </w:rPr>
        <w:t>конкретных категорий произведений, охраняемым авторским правом.  Из этих государств</w:t>
      </w:r>
      <w:r w:rsidR="00CD1487" w:rsidRPr="003A3415">
        <w:rPr>
          <w:lang w:val="ru-RU"/>
        </w:rPr>
        <w:t>:</w:t>
      </w:r>
    </w:p>
    <w:p w:rsidR="00953D5A" w:rsidRPr="00D27444" w:rsidRDefault="00D27444">
      <w:pPr>
        <w:numPr>
          <w:ilvl w:val="0"/>
          <w:numId w:val="3"/>
        </w:numPr>
        <w:contextualSpacing/>
        <w:rPr>
          <w:lang w:val="ru-RU"/>
        </w:rPr>
      </w:pPr>
      <w:r>
        <w:rPr>
          <w:lang w:val="ru-RU"/>
        </w:rPr>
        <w:t>меньшинство</w:t>
      </w:r>
      <w:r w:rsidR="00CD1487" w:rsidRPr="00D27444">
        <w:rPr>
          <w:lang w:val="ru-RU"/>
        </w:rPr>
        <w:t xml:space="preserve"> </w:t>
      </w:r>
      <w:r w:rsidR="00C4247B" w:rsidRPr="00D27444">
        <w:rPr>
          <w:lang w:val="ru-RU"/>
        </w:rPr>
        <w:t>(</w:t>
      </w:r>
      <w:r>
        <w:rPr>
          <w:lang w:val="ru-RU"/>
        </w:rPr>
        <w:t>пять</w:t>
      </w:r>
      <w:r w:rsidRPr="00D27444">
        <w:rPr>
          <w:lang w:val="ru-RU"/>
        </w:rPr>
        <w:t xml:space="preserve"> </w:t>
      </w:r>
      <w:r>
        <w:rPr>
          <w:lang w:val="ru-RU"/>
        </w:rPr>
        <w:t>государств</w:t>
      </w:r>
      <w:r w:rsidR="00C4247B" w:rsidRPr="00D27444">
        <w:rPr>
          <w:lang w:val="ru-RU"/>
        </w:rPr>
        <w:t xml:space="preserve">) </w:t>
      </w:r>
      <w:r>
        <w:rPr>
          <w:lang w:val="ru-RU"/>
        </w:rPr>
        <w:t xml:space="preserve">применяют свои исключения и ограничения в отношении </w:t>
      </w:r>
      <w:r w:rsidRPr="00D27444">
        <w:rPr>
          <w:b/>
          <w:lang w:val="ru-RU"/>
        </w:rPr>
        <w:t>всех категорий произведений</w:t>
      </w:r>
      <w:r>
        <w:rPr>
          <w:lang w:val="ru-RU"/>
        </w:rPr>
        <w:t xml:space="preserve">; </w:t>
      </w:r>
    </w:p>
    <w:p w:rsidR="00953D5A" w:rsidRPr="00D27444" w:rsidRDefault="00D27444" w:rsidP="00774F75">
      <w:pPr>
        <w:numPr>
          <w:ilvl w:val="0"/>
          <w:numId w:val="3"/>
        </w:numPr>
        <w:contextualSpacing/>
        <w:rPr>
          <w:lang w:val="ru-RU"/>
        </w:rPr>
      </w:pPr>
      <w:r>
        <w:rPr>
          <w:lang w:val="ru-RU"/>
        </w:rPr>
        <w:t xml:space="preserve">из оставшихся государств примерно половина (шесть государств) применяют их в отношении </w:t>
      </w:r>
      <w:r>
        <w:rPr>
          <w:b/>
          <w:lang w:val="ru-RU"/>
        </w:rPr>
        <w:t>письменных произведений</w:t>
      </w:r>
      <w:r w:rsidR="00C02069">
        <w:rPr>
          <w:rStyle w:val="FootnoteReference"/>
        </w:rPr>
        <w:footnoteReference w:id="2"/>
      </w:r>
      <w:r>
        <w:rPr>
          <w:b/>
          <w:lang w:val="ru-RU"/>
        </w:rPr>
        <w:t>;</w:t>
      </w:r>
    </w:p>
    <w:p w:rsidR="00953D5A" w:rsidRPr="00D27444" w:rsidRDefault="00D27444">
      <w:pPr>
        <w:numPr>
          <w:ilvl w:val="0"/>
          <w:numId w:val="3"/>
        </w:numPr>
        <w:contextualSpacing/>
        <w:rPr>
          <w:lang w:val="ru-RU"/>
        </w:rPr>
      </w:pPr>
      <w:r>
        <w:rPr>
          <w:lang w:val="ru-RU"/>
        </w:rPr>
        <w:t>несколько</w:t>
      </w:r>
      <w:r w:rsidRPr="00D27444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D27444">
        <w:rPr>
          <w:lang w:val="ru-RU"/>
        </w:rPr>
        <w:t xml:space="preserve"> (</w:t>
      </w:r>
      <w:r>
        <w:rPr>
          <w:lang w:val="ru-RU"/>
        </w:rPr>
        <w:t>четыре</w:t>
      </w:r>
      <w:r w:rsidRPr="00D27444">
        <w:rPr>
          <w:lang w:val="ru-RU"/>
        </w:rPr>
        <w:t xml:space="preserve">) </w:t>
      </w:r>
      <w:r>
        <w:rPr>
          <w:lang w:val="ru-RU"/>
        </w:rPr>
        <w:t>применяют</w:t>
      </w:r>
      <w:r w:rsidRPr="00D27444">
        <w:rPr>
          <w:lang w:val="ru-RU"/>
        </w:rPr>
        <w:t xml:space="preserve"> </w:t>
      </w:r>
      <w:r>
        <w:rPr>
          <w:lang w:val="ru-RU"/>
        </w:rPr>
        <w:t>их</w:t>
      </w:r>
      <w:r w:rsidRPr="00D27444">
        <w:rPr>
          <w:lang w:val="ru-RU"/>
        </w:rPr>
        <w:t xml:space="preserve"> </w:t>
      </w:r>
      <w:r>
        <w:rPr>
          <w:lang w:val="ru-RU"/>
        </w:rPr>
        <w:t>в</w:t>
      </w:r>
      <w:r w:rsidRPr="00D27444">
        <w:rPr>
          <w:lang w:val="ru-RU"/>
        </w:rPr>
        <w:t xml:space="preserve"> </w:t>
      </w:r>
      <w:r>
        <w:rPr>
          <w:lang w:val="ru-RU"/>
        </w:rPr>
        <w:t>отношении</w:t>
      </w:r>
      <w:r w:rsidR="00CD1487" w:rsidRPr="00D27444">
        <w:rPr>
          <w:lang w:val="ru-RU"/>
        </w:rPr>
        <w:t xml:space="preserve"> </w:t>
      </w:r>
      <w:r>
        <w:rPr>
          <w:b/>
          <w:lang w:val="ru-RU"/>
        </w:rPr>
        <w:t>других категорий произведений</w:t>
      </w:r>
      <w:r w:rsidR="00CD1487" w:rsidRPr="00D27444">
        <w:rPr>
          <w:lang w:val="ru-RU"/>
        </w:rPr>
        <w:t xml:space="preserve">, </w:t>
      </w:r>
      <w:r>
        <w:rPr>
          <w:lang w:val="ru-RU"/>
        </w:rPr>
        <w:t>таких как аудиовизуальные произведения, художественные произведения и научные произведения</w:t>
      </w:r>
      <w:r w:rsidR="00CD1487" w:rsidRPr="00D27444">
        <w:rPr>
          <w:lang w:val="ru-RU"/>
        </w:rPr>
        <w:t>.</w:t>
      </w:r>
    </w:p>
    <w:p w:rsidR="00953D5A" w:rsidRPr="00D27444" w:rsidRDefault="00953D5A">
      <w:pPr>
        <w:rPr>
          <w:b/>
          <w:lang w:val="ru-RU"/>
        </w:rPr>
      </w:pPr>
    </w:p>
    <w:p w:rsidR="00953D5A" w:rsidRPr="00D30D2D" w:rsidRDefault="00D30D2D" w:rsidP="007B4424">
      <w:pPr>
        <w:pStyle w:val="Heading2"/>
        <w:rPr>
          <w:lang w:val="ru-RU"/>
        </w:rPr>
      </w:pPr>
      <w:bookmarkStart w:id="10" w:name="_b8zfqroevzw9" w:colFirst="0" w:colLast="0"/>
      <w:bookmarkEnd w:id="10"/>
      <w:r>
        <w:rPr>
          <w:lang w:val="ru-RU"/>
        </w:rPr>
        <w:t xml:space="preserve">условия использования </w:t>
      </w:r>
    </w:p>
    <w:p w:rsidR="00F23606" w:rsidRPr="00D30D2D" w:rsidRDefault="00F23606" w:rsidP="007B4424">
      <w:pPr>
        <w:rPr>
          <w:lang w:val="ru-RU"/>
        </w:rPr>
      </w:pPr>
    </w:p>
    <w:p w:rsidR="00953D5A" w:rsidRPr="00D30D2D" w:rsidRDefault="00D30D2D" w:rsidP="008130B9">
      <w:pPr>
        <w:spacing w:after="120"/>
        <w:rPr>
          <w:lang w:val="ru-RU"/>
        </w:rPr>
      </w:pPr>
      <w:r>
        <w:rPr>
          <w:lang w:val="ru-RU"/>
        </w:rPr>
        <w:t xml:space="preserve">В большинстве государств в отношении использования ограничений и исключений установлены различные виды условий, иных, чем конкретные </w:t>
      </w:r>
      <w:r w:rsidR="00DF251A">
        <w:rPr>
          <w:lang w:val="ru-RU"/>
        </w:rPr>
        <w:t>акты</w:t>
      </w:r>
      <w:r>
        <w:rPr>
          <w:lang w:val="ru-RU"/>
        </w:rPr>
        <w:t>, конкретные категории ограниченных возможностей или категории произведений, охраняемых авторским правом.  Дополнительные условия существенно варьируются по странам и во многих случаях являются весьма специфическими, вследствие чего анализ будет представлен не в данном резюме, а в полном отчете</w:t>
      </w:r>
      <w:r w:rsidR="00CD1487" w:rsidRPr="00D30D2D">
        <w:rPr>
          <w:lang w:val="ru-RU"/>
        </w:rPr>
        <w:t>:</w:t>
      </w:r>
      <w:r>
        <w:rPr>
          <w:lang w:val="ru-RU"/>
        </w:rPr>
        <w:t xml:space="preserve">  Вместе с тем следует отметить, что некоторые условия включают следующее:</w:t>
      </w:r>
    </w:p>
    <w:p w:rsidR="00953D5A" w:rsidRPr="00D30D2D" w:rsidRDefault="00D30D2D" w:rsidP="00D30D2D">
      <w:pPr>
        <w:numPr>
          <w:ilvl w:val="0"/>
          <w:numId w:val="7"/>
        </w:numPr>
        <w:spacing w:after="120" w:line="276" w:lineRule="auto"/>
        <w:rPr>
          <w:lang w:val="ru-RU"/>
        </w:rPr>
      </w:pPr>
      <w:r>
        <w:rPr>
          <w:lang w:val="ru-RU"/>
        </w:rPr>
        <w:t>ограничения в отношении коммерческого использования или требования об использовании в некоммерческих целях</w:t>
      </w:r>
      <w:r w:rsidR="00CD1487" w:rsidRPr="00D30D2D">
        <w:rPr>
          <w:lang w:val="ru-RU"/>
        </w:rPr>
        <w:t>;</w:t>
      </w:r>
    </w:p>
    <w:p w:rsidR="00953D5A" w:rsidRPr="00D30D2D" w:rsidRDefault="00FF54E3" w:rsidP="00D30D2D">
      <w:pPr>
        <w:numPr>
          <w:ilvl w:val="0"/>
          <w:numId w:val="7"/>
        </w:numPr>
        <w:spacing w:after="120" w:line="276" w:lineRule="auto"/>
        <w:rPr>
          <w:lang w:val="ru-RU"/>
        </w:rPr>
      </w:pPr>
      <w:r>
        <w:rPr>
          <w:lang w:val="ru-RU"/>
        </w:rPr>
        <w:t>отсутствие</w:t>
      </w:r>
      <w:r w:rsidR="00D30D2D">
        <w:rPr>
          <w:lang w:val="ru-RU"/>
        </w:rPr>
        <w:t xml:space="preserve"> возможности получения соответствующего произведения в доступных форматах коммерческим путем</w:t>
      </w:r>
      <w:r w:rsidR="00CD1487" w:rsidRPr="00D30D2D">
        <w:rPr>
          <w:lang w:val="ru-RU"/>
        </w:rPr>
        <w:t>;</w:t>
      </w:r>
    </w:p>
    <w:p w:rsidR="00953D5A" w:rsidRPr="00D30D2D" w:rsidRDefault="00D30D2D" w:rsidP="00D30D2D">
      <w:pPr>
        <w:numPr>
          <w:ilvl w:val="0"/>
          <w:numId w:val="7"/>
        </w:numPr>
        <w:spacing w:after="120" w:line="276" w:lineRule="auto"/>
        <w:rPr>
          <w:lang w:val="ru-RU"/>
        </w:rPr>
      </w:pPr>
      <w:r>
        <w:rPr>
          <w:lang w:val="ru-RU"/>
        </w:rPr>
        <w:t>вознаграждение владельца авторского права либо автоматически, либо по просьбе</w:t>
      </w:r>
      <w:r w:rsidR="00CD1487" w:rsidRPr="00D30D2D">
        <w:rPr>
          <w:lang w:val="ru-RU"/>
        </w:rPr>
        <w:t>;</w:t>
      </w:r>
    </w:p>
    <w:p w:rsidR="00953D5A" w:rsidRDefault="00D30D2D" w:rsidP="00D30D2D">
      <w:pPr>
        <w:numPr>
          <w:ilvl w:val="0"/>
          <w:numId w:val="7"/>
        </w:numPr>
        <w:spacing w:after="120" w:line="276" w:lineRule="auto"/>
      </w:pPr>
      <w:r>
        <w:rPr>
          <w:lang w:val="ru-RU"/>
        </w:rPr>
        <w:t>удовлетворение требованиям «трехступенчатой проверки»</w:t>
      </w:r>
      <w:r w:rsidR="00CD1487">
        <w:t>;</w:t>
      </w:r>
    </w:p>
    <w:p w:rsidR="00953D5A" w:rsidRPr="00D30D2D" w:rsidRDefault="00D30D2D" w:rsidP="00D30D2D">
      <w:pPr>
        <w:numPr>
          <w:ilvl w:val="0"/>
          <w:numId w:val="7"/>
        </w:numPr>
        <w:spacing w:after="120" w:line="276" w:lineRule="auto"/>
        <w:rPr>
          <w:lang w:val="ru-RU"/>
        </w:rPr>
      </w:pPr>
      <w:r>
        <w:rPr>
          <w:lang w:val="ru-RU"/>
        </w:rPr>
        <w:t>выполнение требований в отношении информации об управлении авторским правом;</w:t>
      </w:r>
    </w:p>
    <w:p w:rsidR="00953D5A" w:rsidRPr="00D30D2D" w:rsidRDefault="00D30D2D" w:rsidP="00D30D2D">
      <w:pPr>
        <w:numPr>
          <w:ilvl w:val="0"/>
          <w:numId w:val="7"/>
        </w:numPr>
        <w:spacing w:after="120" w:line="276" w:lineRule="auto"/>
        <w:rPr>
          <w:lang w:val="ru-RU"/>
        </w:rPr>
      </w:pPr>
      <w:r>
        <w:rPr>
          <w:lang w:val="ru-RU"/>
        </w:rPr>
        <w:t>отсутствие воздействия на существующие рынки произведений</w:t>
      </w:r>
      <w:r w:rsidR="00CD1487" w:rsidRPr="00D30D2D">
        <w:rPr>
          <w:lang w:val="ru-RU"/>
        </w:rPr>
        <w:t>.</w:t>
      </w:r>
    </w:p>
    <w:p w:rsidR="00953D5A" w:rsidRPr="00D30D2D" w:rsidRDefault="00953D5A">
      <w:pPr>
        <w:rPr>
          <w:lang w:val="ru-RU"/>
        </w:rPr>
      </w:pPr>
    </w:p>
    <w:p w:rsidR="00953D5A" w:rsidRPr="00D30D2D" w:rsidRDefault="00D30D2D" w:rsidP="007B4424">
      <w:pPr>
        <w:pStyle w:val="Heading2"/>
        <w:rPr>
          <w:lang w:val="ru-RU"/>
        </w:rPr>
      </w:pPr>
      <w:bookmarkStart w:id="11" w:name="_qu6el3j573wl" w:colFirst="0" w:colLast="0"/>
      <w:bookmarkEnd w:id="11"/>
      <w:r>
        <w:rPr>
          <w:lang w:val="ru-RU"/>
        </w:rPr>
        <w:t>препятствия для использования исключений и ограничений</w:t>
      </w:r>
    </w:p>
    <w:p w:rsidR="00F23606" w:rsidRPr="00D30D2D" w:rsidRDefault="00F23606" w:rsidP="007B4424">
      <w:pPr>
        <w:rPr>
          <w:lang w:val="ru-RU"/>
        </w:rPr>
      </w:pPr>
    </w:p>
    <w:p w:rsidR="00953D5A" w:rsidRPr="00D30D2D" w:rsidRDefault="00D30D2D" w:rsidP="008130B9">
      <w:pPr>
        <w:spacing w:after="120"/>
        <w:rPr>
          <w:lang w:val="ru-RU"/>
        </w:rPr>
      </w:pPr>
      <w:r>
        <w:rPr>
          <w:lang w:val="ru-RU"/>
        </w:rPr>
        <w:t>Менее половины государств-респондентов сообщили о препятствиях для использования действующих в них исключений и ограничений.  Некоторые из указанных препятствий включа</w:t>
      </w:r>
      <w:r w:rsidR="00FF54E3">
        <w:rPr>
          <w:lang w:val="ru-RU"/>
        </w:rPr>
        <w:t>ю</w:t>
      </w:r>
      <w:r>
        <w:rPr>
          <w:lang w:val="ru-RU"/>
        </w:rPr>
        <w:t>т</w:t>
      </w:r>
      <w:r w:rsidR="00CD1487" w:rsidRPr="00D30D2D">
        <w:rPr>
          <w:lang w:val="ru-RU"/>
        </w:rPr>
        <w:t>:</w:t>
      </w:r>
    </w:p>
    <w:p w:rsidR="00953D5A" w:rsidRPr="00D30D2D" w:rsidRDefault="00D30D2D" w:rsidP="008130B9">
      <w:pPr>
        <w:numPr>
          <w:ilvl w:val="0"/>
          <w:numId w:val="4"/>
        </w:numPr>
        <w:spacing w:after="120"/>
        <w:rPr>
          <w:lang w:val="ru-RU"/>
        </w:rPr>
      </w:pPr>
      <w:r>
        <w:rPr>
          <w:lang w:val="ru-RU"/>
        </w:rPr>
        <w:t>отсутствие в более общем плане государственной поддержки лиц с ограниченными возможностями</w:t>
      </w:r>
      <w:r w:rsidR="00CD1487" w:rsidRPr="00D30D2D">
        <w:rPr>
          <w:lang w:val="ru-RU"/>
        </w:rPr>
        <w:t>;</w:t>
      </w:r>
    </w:p>
    <w:p w:rsidR="00953D5A" w:rsidRPr="00D30D2D" w:rsidRDefault="00D30D2D" w:rsidP="008130B9">
      <w:pPr>
        <w:numPr>
          <w:ilvl w:val="0"/>
          <w:numId w:val="4"/>
        </w:numPr>
        <w:spacing w:after="120"/>
        <w:rPr>
          <w:lang w:val="ru-RU"/>
        </w:rPr>
      </w:pPr>
      <w:r>
        <w:rPr>
          <w:lang w:val="ru-RU"/>
        </w:rPr>
        <w:t xml:space="preserve">трудности взаимодействия с издателями и другими организациями, </w:t>
      </w:r>
      <w:r w:rsidR="00FF54E3">
        <w:rPr>
          <w:lang w:val="ru-RU"/>
        </w:rPr>
        <w:t>предоставляющими</w:t>
      </w:r>
      <w:r>
        <w:rPr>
          <w:lang w:val="ru-RU"/>
        </w:rPr>
        <w:t xml:space="preserve"> произведения, охраняемые авторским правом</w:t>
      </w:r>
      <w:r w:rsidR="00CD1487" w:rsidRPr="00D30D2D">
        <w:rPr>
          <w:lang w:val="ru-RU"/>
        </w:rPr>
        <w:t>;</w:t>
      </w:r>
    </w:p>
    <w:p w:rsidR="00953D5A" w:rsidRPr="008130B9" w:rsidRDefault="008130B9" w:rsidP="008130B9">
      <w:pPr>
        <w:numPr>
          <w:ilvl w:val="0"/>
          <w:numId w:val="4"/>
        </w:numPr>
        <w:spacing w:after="120"/>
        <w:rPr>
          <w:lang w:val="ru-RU"/>
        </w:rPr>
      </w:pPr>
      <w:r>
        <w:rPr>
          <w:lang w:val="ru-RU"/>
        </w:rPr>
        <w:t>отсутствие информации о наличии исключений и ограничений, особенно об их трансграничном действии;</w:t>
      </w:r>
    </w:p>
    <w:p w:rsidR="00953D5A" w:rsidRPr="008130B9" w:rsidRDefault="008130B9" w:rsidP="008130B9">
      <w:pPr>
        <w:numPr>
          <w:ilvl w:val="0"/>
          <w:numId w:val="4"/>
        </w:numPr>
        <w:spacing w:after="120"/>
        <w:rPr>
          <w:lang w:val="ru-RU"/>
        </w:rPr>
      </w:pPr>
      <w:r>
        <w:rPr>
          <w:lang w:val="ru-RU"/>
        </w:rPr>
        <w:t>отсутствие сотрудничества со стороны заинтересованных лиц с ограниченными возможностями по причине ограниченности ресурсов и институционального потенциала.</w:t>
      </w:r>
    </w:p>
    <w:p w:rsidR="00953D5A" w:rsidRPr="008130B9" w:rsidRDefault="008130B9" w:rsidP="007B4424">
      <w:pPr>
        <w:pStyle w:val="Heading2"/>
        <w:rPr>
          <w:lang w:val="ru-RU"/>
        </w:rPr>
      </w:pPr>
      <w:bookmarkStart w:id="12" w:name="_mgmy96mmwgpq" w:colFirst="0" w:colLast="0"/>
      <w:bookmarkEnd w:id="12"/>
      <w:r>
        <w:rPr>
          <w:lang w:val="ru-RU"/>
        </w:rPr>
        <w:t>взаимосвязь между ограничениями и исключениями из авторского права и связанным с ними законодательством, касающимся лиц с ограниченными возможностями</w:t>
      </w:r>
    </w:p>
    <w:p w:rsidR="00F23606" w:rsidRPr="008130B9" w:rsidRDefault="00F23606" w:rsidP="007B4424">
      <w:pPr>
        <w:rPr>
          <w:lang w:val="ru-RU"/>
        </w:rPr>
      </w:pPr>
    </w:p>
    <w:p w:rsidR="00953D5A" w:rsidRPr="008130B9" w:rsidRDefault="008130B9" w:rsidP="008130B9">
      <w:pPr>
        <w:widowControl w:val="0"/>
        <w:spacing w:after="80"/>
        <w:rPr>
          <w:lang w:val="ru-RU"/>
        </w:rPr>
      </w:pPr>
      <w:r>
        <w:rPr>
          <w:lang w:val="ru-RU"/>
        </w:rPr>
        <w:t>Хотя действующее в государствах-членах законодательство, касающееся произведений, охраняемых авторским правом, в основном ориентировано на охрану авторского права и смежных прав, в некоторых странах действуют также закон</w:t>
      </w:r>
      <w:r w:rsidR="00FF54E3">
        <w:rPr>
          <w:lang w:val="ru-RU"/>
        </w:rPr>
        <w:t>одательные и</w:t>
      </w:r>
      <w:r>
        <w:rPr>
          <w:lang w:val="ru-RU"/>
        </w:rPr>
        <w:t xml:space="preserve"> подзаконные акты, касающиеся лиц с ограниченными возможностями и/или телекоммуникаций, в рамках которых уставлены требования об обеспечении доступа к определенным видам произведений.  Такие требования существенно варьируются по странам, и они будут более </w:t>
      </w:r>
      <w:r w:rsidRPr="003030CE">
        <w:rPr>
          <w:lang w:val="ru-RU"/>
        </w:rPr>
        <w:t xml:space="preserve">подробно </w:t>
      </w:r>
      <w:r>
        <w:rPr>
          <w:lang w:val="ru-RU"/>
        </w:rPr>
        <w:t>рассмотрены в полном отчете, однако большинство из них касается в</w:t>
      </w:r>
      <w:r w:rsidR="00EA01FB">
        <w:rPr>
          <w:lang w:val="ru-RU"/>
        </w:rPr>
        <w:t>ключения субтитров и обеспечения</w:t>
      </w:r>
      <w:r>
        <w:rPr>
          <w:lang w:val="ru-RU"/>
        </w:rPr>
        <w:t xml:space="preserve"> перевода на язык глухонемых при трансляции аудиовизуальных программ.  </w:t>
      </w:r>
    </w:p>
    <w:p w:rsidR="007862C0" w:rsidRPr="008130B9" w:rsidRDefault="007862C0">
      <w:pPr>
        <w:widowControl w:val="0"/>
        <w:spacing w:after="80" w:line="300" w:lineRule="auto"/>
        <w:rPr>
          <w:lang w:val="ru-RU"/>
        </w:rPr>
      </w:pPr>
    </w:p>
    <w:p w:rsidR="007862C0" w:rsidRPr="008130B9" w:rsidRDefault="007862C0">
      <w:pPr>
        <w:widowControl w:val="0"/>
        <w:spacing w:after="80" w:line="300" w:lineRule="auto"/>
        <w:rPr>
          <w:lang w:val="ru-RU"/>
        </w:rPr>
      </w:pPr>
    </w:p>
    <w:p w:rsidR="007862C0" w:rsidRPr="008130B9" w:rsidRDefault="007862C0">
      <w:pPr>
        <w:widowControl w:val="0"/>
        <w:spacing w:after="80" w:line="300" w:lineRule="auto"/>
        <w:rPr>
          <w:lang w:val="ru-RU"/>
        </w:rPr>
      </w:pPr>
    </w:p>
    <w:p w:rsidR="007862C0" w:rsidRPr="008130B9" w:rsidRDefault="007862C0">
      <w:pPr>
        <w:widowControl w:val="0"/>
        <w:spacing w:after="80" w:line="300" w:lineRule="auto"/>
        <w:rPr>
          <w:lang w:val="ru-RU"/>
        </w:rPr>
      </w:pPr>
    </w:p>
    <w:p w:rsidR="007862C0" w:rsidRDefault="007862C0" w:rsidP="007862C0">
      <w:pPr>
        <w:widowControl w:val="0"/>
        <w:spacing w:after="80" w:line="300" w:lineRule="auto"/>
        <w:ind w:left="5387"/>
      </w:pPr>
      <w:r>
        <w:t>[</w:t>
      </w:r>
      <w:r w:rsidR="00D41516">
        <w:rPr>
          <w:lang w:val="ru-RU"/>
        </w:rPr>
        <w:t>Конец документа</w:t>
      </w:r>
      <w:r>
        <w:t>]</w:t>
      </w:r>
    </w:p>
    <w:sectPr w:rsidR="007862C0" w:rsidSect="00D41516">
      <w:headerReference w:type="default" r:id="rId10"/>
      <w:headerReference w:type="first" r:id="rId11"/>
      <w:pgSz w:w="11909" w:h="16834"/>
      <w:pgMar w:top="816" w:right="1440" w:bottom="1440" w:left="1440" w:header="510" w:footer="1020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038" w:rsidRDefault="00286038" w:rsidP="00972CE9">
      <w:r>
        <w:separator/>
      </w:r>
    </w:p>
  </w:endnote>
  <w:endnote w:type="continuationSeparator" w:id="0">
    <w:p w:rsidR="00286038" w:rsidRDefault="00286038" w:rsidP="0097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038" w:rsidRDefault="00286038" w:rsidP="00972CE9">
      <w:r>
        <w:separator/>
      </w:r>
    </w:p>
  </w:footnote>
  <w:footnote w:type="continuationSeparator" w:id="0">
    <w:p w:rsidR="00286038" w:rsidRDefault="00286038" w:rsidP="00972CE9">
      <w:r>
        <w:continuationSeparator/>
      </w:r>
    </w:p>
  </w:footnote>
  <w:footnote w:id="1">
    <w:p w:rsidR="00DB286C" w:rsidRPr="009E4F83" w:rsidRDefault="00DB286C" w:rsidP="007B4424">
      <w:pPr>
        <w:widowControl w:val="0"/>
        <w:spacing w:after="80"/>
        <w:rPr>
          <w:lang w:val="ru-RU"/>
        </w:rPr>
      </w:pPr>
      <w:r>
        <w:rPr>
          <w:rStyle w:val="FootnoteReference"/>
        </w:rPr>
        <w:footnoteRef/>
      </w:r>
      <w:r w:rsidRPr="009E4F83">
        <w:rPr>
          <w:lang w:val="ru-RU"/>
        </w:rPr>
        <w:t xml:space="preserve"> </w:t>
      </w:r>
      <w:r w:rsidR="0028371D">
        <w:rPr>
          <w:lang w:val="ru-RU"/>
        </w:rPr>
        <w:t>Опубликовать</w:t>
      </w:r>
      <w:r w:rsidR="009E4F83">
        <w:rPr>
          <w:lang w:val="ru-RU"/>
        </w:rPr>
        <w:t xml:space="preserve"> свои ответы </w:t>
      </w:r>
      <w:r w:rsidR="0028371D">
        <w:rPr>
          <w:lang w:val="ru-RU"/>
        </w:rPr>
        <w:t>разрешили следующие 18 стран</w:t>
      </w:r>
      <w:r w:rsidR="003E070C" w:rsidRPr="009E4F83">
        <w:rPr>
          <w:lang w:val="ru-RU"/>
        </w:rPr>
        <w:t xml:space="preserve">: </w:t>
      </w:r>
      <w:r w:rsidR="009E4F83">
        <w:rPr>
          <w:lang w:val="ru-RU"/>
        </w:rPr>
        <w:t>Ботсвана, Бразилия, Чили, Чешская Республика, Эквадор, Сальвадор, Эстония, Гватемала, Гондурас, Индонезия, Сербия, Сейшельские Острова, Сингапур, Словакия, Швеция, Таиланд, Турция и Соединенное Королевство</w:t>
      </w:r>
      <w:r w:rsidRPr="009E4F83">
        <w:rPr>
          <w:lang w:val="ru-RU"/>
        </w:rPr>
        <w:t xml:space="preserve">. </w:t>
      </w:r>
    </w:p>
  </w:footnote>
  <w:footnote w:id="2">
    <w:p w:rsidR="00C02069" w:rsidRPr="00D27444" w:rsidRDefault="00C02069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D27444">
        <w:rPr>
          <w:lang w:val="ru-RU"/>
        </w:rPr>
        <w:t xml:space="preserve"> </w:t>
      </w:r>
      <w:r w:rsidR="00D27444">
        <w:rPr>
          <w:lang w:val="ru-RU"/>
        </w:rPr>
        <w:t>В исследовании используется термин «письменные произведения», под которым подразумеваются «литературные произведения».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516" w:rsidRDefault="00D41516" w:rsidP="00D41516">
    <w:pPr>
      <w:pStyle w:val="Header"/>
      <w:jc w:val="right"/>
    </w:pPr>
    <w:r>
      <w:t>SCCR/35/3</w:t>
    </w:r>
  </w:p>
  <w:p w:rsidR="00D41516" w:rsidRDefault="00D41516" w:rsidP="00D41516">
    <w:pPr>
      <w:pStyle w:val="Header"/>
      <w:jc w:val="right"/>
      <w:rPr>
        <w:noProof/>
        <w:lang w:val="ru-RU"/>
      </w:rPr>
    </w:pPr>
    <w:r>
      <w:rPr>
        <w:lang w:val="ru-RU"/>
      </w:rPr>
      <w:t xml:space="preserve">стр. </w:t>
    </w:r>
    <w:r w:rsidRPr="00D41516">
      <w:rPr>
        <w:lang w:val="ru-RU"/>
      </w:rPr>
      <w:fldChar w:fldCharType="begin"/>
    </w:r>
    <w:r w:rsidRPr="00D41516">
      <w:rPr>
        <w:lang w:val="ru-RU"/>
      </w:rPr>
      <w:instrText xml:space="preserve"> PAGE   \* MERGEFORMAT </w:instrText>
    </w:r>
    <w:r w:rsidRPr="00D41516">
      <w:rPr>
        <w:lang w:val="ru-RU"/>
      </w:rPr>
      <w:fldChar w:fldCharType="separate"/>
    </w:r>
    <w:r w:rsidR="00AF7F10">
      <w:rPr>
        <w:noProof/>
        <w:lang w:val="ru-RU"/>
      </w:rPr>
      <w:t>5</w:t>
    </w:r>
    <w:r w:rsidRPr="00D41516">
      <w:rPr>
        <w:noProof/>
        <w:lang w:val="ru-RU"/>
      </w:rPr>
      <w:fldChar w:fldCharType="end"/>
    </w:r>
  </w:p>
  <w:p w:rsidR="000E3B22" w:rsidRPr="00D41516" w:rsidRDefault="000E3B22" w:rsidP="00D41516">
    <w:pPr>
      <w:pStyle w:val="Header"/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516" w:rsidRDefault="00D415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1CEF"/>
    <w:multiLevelType w:val="multilevel"/>
    <w:tmpl w:val="2AFEC3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9C26D3D"/>
    <w:multiLevelType w:val="multilevel"/>
    <w:tmpl w:val="98A686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6D627CF"/>
    <w:multiLevelType w:val="multilevel"/>
    <w:tmpl w:val="71A068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A271ABB"/>
    <w:multiLevelType w:val="multilevel"/>
    <w:tmpl w:val="5C2447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19E662A"/>
    <w:multiLevelType w:val="multilevel"/>
    <w:tmpl w:val="3BB293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91F0C64"/>
    <w:multiLevelType w:val="multilevel"/>
    <w:tmpl w:val="3878DD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7BB52F7E"/>
    <w:multiLevelType w:val="multilevel"/>
    <w:tmpl w:val="D24A12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5A"/>
    <w:rsid w:val="00036715"/>
    <w:rsid w:val="000C3678"/>
    <w:rsid w:val="000C6FB7"/>
    <w:rsid w:val="000E3B22"/>
    <w:rsid w:val="00114697"/>
    <w:rsid w:val="00117728"/>
    <w:rsid w:val="002238F0"/>
    <w:rsid w:val="002267BB"/>
    <w:rsid w:val="0023170E"/>
    <w:rsid w:val="0028371D"/>
    <w:rsid w:val="00286038"/>
    <w:rsid w:val="002C407B"/>
    <w:rsid w:val="002F3CEE"/>
    <w:rsid w:val="002F44B6"/>
    <w:rsid w:val="003030CE"/>
    <w:rsid w:val="00333CE0"/>
    <w:rsid w:val="003A3415"/>
    <w:rsid w:val="003C3941"/>
    <w:rsid w:val="003E070C"/>
    <w:rsid w:val="004109CE"/>
    <w:rsid w:val="00524586"/>
    <w:rsid w:val="00677CE0"/>
    <w:rsid w:val="006950A1"/>
    <w:rsid w:val="00774F75"/>
    <w:rsid w:val="007807F3"/>
    <w:rsid w:val="007862C0"/>
    <w:rsid w:val="007B4424"/>
    <w:rsid w:val="007B7AD6"/>
    <w:rsid w:val="00805135"/>
    <w:rsid w:val="008130B9"/>
    <w:rsid w:val="00847392"/>
    <w:rsid w:val="008546D1"/>
    <w:rsid w:val="008B0B7B"/>
    <w:rsid w:val="008D76EA"/>
    <w:rsid w:val="00953D5A"/>
    <w:rsid w:val="00972CE9"/>
    <w:rsid w:val="009745A6"/>
    <w:rsid w:val="009900B7"/>
    <w:rsid w:val="009936E0"/>
    <w:rsid w:val="009E4F83"/>
    <w:rsid w:val="009F2822"/>
    <w:rsid w:val="00AA0D84"/>
    <w:rsid w:val="00AB1294"/>
    <w:rsid w:val="00AF4715"/>
    <w:rsid w:val="00AF7884"/>
    <w:rsid w:val="00AF7F10"/>
    <w:rsid w:val="00B22DD6"/>
    <w:rsid w:val="00B305C0"/>
    <w:rsid w:val="00B6402F"/>
    <w:rsid w:val="00BD072A"/>
    <w:rsid w:val="00C01445"/>
    <w:rsid w:val="00C02069"/>
    <w:rsid w:val="00C30939"/>
    <w:rsid w:val="00C4247B"/>
    <w:rsid w:val="00C54D98"/>
    <w:rsid w:val="00C62CE0"/>
    <w:rsid w:val="00C94DEF"/>
    <w:rsid w:val="00C96684"/>
    <w:rsid w:val="00CD1487"/>
    <w:rsid w:val="00CD2012"/>
    <w:rsid w:val="00D2014B"/>
    <w:rsid w:val="00D25CC8"/>
    <w:rsid w:val="00D27444"/>
    <w:rsid w:val="00D30D2D"/>
    <w:rsid w:val="00D41516"/>
    <w:rsid w:val="00D747A4"/>
    <w:rsid w:val="00D912B8"/>
    <w:rsid w:val="00DB286C"/>
    <w:rsid w:val="00DE64DA"/>
    <w:rsid w:val="00DF251A"/>
    <w:rsid w:val="00DF37C0"/>
    <w:rsid w:val="00E625DF"/>
    <w:rsid w:val="00EA01FB"/>
    <w:rsid w:val="00ED601E"/>
    <w:rsid w:val="00F23606"/>
    <w:rsid w:val="00F30CA7"/>
    <w:rsid w:val="00F463D1"/>
    <w:rsid w:val="00F476B7"/>
    <w:rsid w:val="00F92B20"/>
    <w:rsid w:val="00FC238C"/>
    <w:rsid w:val="00FF54E3"/>
    <w:rsid w:val="00FF59B9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7F3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7807F3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807F3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807F3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807F3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CE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CE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C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CE9"/>
  </w:style>
  <w:style w:type="paragraph" w:styleId="Footer">
    <w:name w:val="footer"/>
    <w:basedOn w:val="Normal"/>
    <w:link w:val="FooterChar"/>
    <w:uiPriority w:val="99"/>
    <w:unhideWhenUsed/>
    <w:rsid w:val="00972C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CE9"/>
  </w:style>
  <w:style w:type="paragraph" w:styleId="FootnoteText">
    <w:name w:val="footnote text"/>
    <w:basedOn w:val="Normal"/>
    <w:link w:val="FootnoteTextChar"/>
    <w:uiPriority w:val="99"/>
    <w:unhideWhenUsed/>
    <w:rsid w:val="00DB286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28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B286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5A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5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45A6"/>
  </w:style>
  <w:style w:type="paragraph" w:styleId="Caption">
    <w:name w:val="caption"/>
    <w:basedOn w:val="Normal"/>
    <w:next w:val="Normal"/>
    <w:qFormat/>
    <w:rsid w:val="007807F3"/>
    <w:rPr>
      <w:b/>
      <w:bCs/>
      <w:sz w:val="18"/>
    </w:rPr>
  </w:style>
  <w:style w:type="paragraph" w:styleId="ListParagraph">
    <w:name w:val="List Paragraph"/>
    <w:basedOn w:val="Normal"/>
    <w:uiPriority w:val="34"/>
    <w:qFormat/>
    <w:rsid w:val="007807F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7F3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7807F3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807F3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807F3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807F3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CE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CE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C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CE9"/>
  </w:style>
  <w:style w:type="paragraph" w:styleId="Footer">
    <w:name w:val="footer"/>
    <w:basedOn w:val="Normal"/>
    <w:link w:val="FooterChar"/>
    <w:uiPriority w:val="99"/>
    <w:unhideWhenUsed/>
    <w:rsid w:val="00972C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CE9"/>
  </w:style>
  <w:style w:type="paragraph" w:styleId="FootnoteText">
    <w:name w:val="footnote text"/>
    <w:basedOn w:val="Normal"/>
    <w:link w:val="FootnoteTextChar"/>
    <w:uiPriority w:val="99"/>
    <w:unhideWhenUsed/>
    <w:rsid w:val="00DB286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B28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B286C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5A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5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45A6"/>
  </w:style>
  <w:style w:type="paragraph" w:styleId="Caption">
    <w:name w:val="caption"/>
    <w:basedOn w:val="Normal"/>
    <w:next w:val="Normal"/>
    <w:qFormat/>
    <w:rsid w:val="007807F3"/>
    <w:rPr>
      <w:b/>
      <w:bCs/>
      <w:sz w:val="18"/>
    </w:rPr>
  </w:style>
  <w:style w:type="paragraph" w:styleId="ListParagraph">
    <w:name w:val="List Paragraph"/>
    <w:basedOn w:val="Normal"/>
    <w:uiPriority w:val="34"/>
    <w:qFormat/>
    <w:rsid w:val="007807F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F6902-1F88-4058-9A37-22CF0E42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1351</Words>
  <Characters>7701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9034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FERRAZ VAZQUEZ Rafael</dc:creator>
  <cp:lastModifiedBy>HAIZEL Francesca</cp:lastModifiedBy>
  <cp:revision>2</cp:revision>
  <cp:lastPrinted>2017-10-30T15:36:00Z</cp:lastPrinted>
  <dcterms:created xsi:type="dcterms:W3CDTF">2017-10-31T13:43:00Z</dcterms:created>
  <dcterms:modified xsi:type="dcterms:W3CDTF">2017-10-31T13:43:00Z</dcterms:modified>
</cp:coreProperties>
</file>