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541B0" w:rsidRPr="00D541B0" w:rsidTr="00D541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541B0" w:rsidRPr="00D541B0" w:rsidRDefault="00D541B0" w:rsidP="00FD4B2A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41B0" w:rsidRPr="00D541B0" w:rsidRDefault="00D541B0" w:rsidP="00FD4B2A">
            <w:pPr>
              <w:rPr>
                <w:lang w:val="fr-FR"/>
              </w:rPr>
            </w:pPr>
            <w:r w:rsidRPr="00D541B0">
              <w:rPr>
                <w:noProof/>
                <w:lang w:eastAsia="en-US"/>
              </w:rPr>
              <w:drawing>
                <wp:inline distT="0" distB="0" distL="0" distR="0" wp14:anchorId="43A71BEB" wp14:editId="7CE6DCAF">
                  <wp:extent cx="1860550" cy="1327150"/>
                  <wp:effectExtent l="0" t="0" r="6350" b="6350"/>
                  <wp:docPr id="1" name="Imag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41B0" w:rsidRPr="00D541B0" w:rsidRDefault="00D541B0" w:rsidP="00FD4B2A">
            <w:pPr>
              <w:jc w:val="right"/>
              <w:rPr>
                <w:lang w:val="fr-FR"/>
              </w:rPr>
            </w:pPr>
            <w:r w:rsidRPr="00D541B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541B0" w:rsidRPr="00D541B0" w:rsidTr="00FD4B2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41B0" w:rsidRPr="00D541B0" w:rsidRDefault="00D541B0" w:rsidP="00FD4B2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1B0">
              <w:rPr>
                <w:rFonts w:ascii="Arial Black" w:hAnsi="Arial Black"/>
                <w:caps/>
                <w:sz w:val="15"/>
                <w:lang w:val="fr-FR"/>
              </w:rPr>
              <w:t>vip/3/pm</w:t>
            </w:r>
            <w:bookmarkStart w:id="1" w:name="Code"/>
            <w:bookmarkEnd w:id="1"/>
            <w:r w:rsidRPr="00D541B0">
              <w:rPr>
                <w:rFonts w:ascii="Arial Black" w:hAnsi="Arial Black"/>
                <w:caps/>
                <w:sz w:val="15"/>
                <w:lang w:val="fr-FR"/>
              </w:rPr>
              <w:t xml:space="preserve">/2  </w:t>
            </w:r>
          </w:p>
        </w:tc>
      </w:tr>
      <w:tr w:rsidR="00D541B0" w:rsidRPr="00D541B0" w:rsidTr="00FD4B2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41B0" w:rsidRPr="00D541B0" w:rsidRDefault="00D541B0" w:rsidP="00FD4B2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1B0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2" w:name="Original"/>
            <w:bookmarkEnd w:id="2"/>
            <w:r w:rsidRPr="00D541B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541B0" w:rsidRPr="00D541B0" w:rsidTr="00FD4B2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41B0" w:rsidRPr="00D541B0" w:rsidRDefault="00D541B0" w:rsidP="00FD4B2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1B0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3" w:name="Date"/>
            <w:bookmarkEnd w:id="3"/>
            <w:r w:rsidRPr="00D541B0">
              <w:rPr>
                <w:rFonts w:ascii="Arial Black" w:hAnsi="Arial Black"/>
                <w:caps/>
                <w:sz w:val="15"/>
                <w:lang w:val="fr-FR"/>
              </w:rPr>
              <w:t>20 avril 2013</w:t>
            </w:r>
          </w:p>
        </w:tc>
      </w:tr>
    </w:tbl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b/>
          <w:sz w:val="28"/>
          <w:szCs w:val="28"/>
          <w:lang w:val="fr-FR"/>
        </w:rPr>
      </w:pPr>
      <w:r w:rsidRPr="00D541B0">
        <w:rPr>
          <w:b/>
          <w:sz w:val="28"/>
          <w:szCs w:val="28"/>
          <w:lang w:val="fr-FR"/>
        </w:rPr>
        <w:t xml:space="preserve">Comité préparatoire </w:t>
      </w:r>
      <w:bookmarkStart w:id="4" w:name="_Hlk346615940"/>
      <w:r w:rsidRPr="00D541B0">
        <w:rPr>
          <w:b/>
          <w:sz w:val="28"/>
          <w:szCs w:val="28"/>
          <w:lang w:val="fr-FR"/>
        </w:rPr>
        <w:t>de la Conférence diplomatique pour la conclusion d’un traité visant à faciliter l’accès des déficients visuels et des personnes ayant des difficultés de lecture des textes imprimés aux œuvres publiées</w:t>
      </w:r>
    </w:p>
    <w:bookmarkEnd w:id="4"/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b/>
          <w:sz w:val="24"/>
          <w:szCs w:val="24"/>
          <w:lang w:val="fr-FR"/>
        </w:rPr>
      </w:pPr>
      <w:r w:rsidRPr="00D541B0">
        <w:rPr>
          <w:b/>
          <w:sz w:val="24"/>
          <w:szCs w:val="24"/>
          <w:lang w:val="fr-FR"/>
        </w:rPr>
        <w:t>Genève, 20 avril 2013</w:t>
      </w: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caps/>
          <w:sz w:val="24"/>
          <w:lang w:val="fr-FR"/>
        </w:rPr>
      </w:pPr>
      <w:bookmarkStart w:id="5" w:name="TitleOfDoc"/>
      <w:bookmarkEnd w:id="5"/>
      <w:r w:rsidRPr="00D541B0">
        <w:rPr>
          <w:caps/>
          <w:sz w:val="24"/>
          <w:lang w:val="fr-FR"/>
        </w:rPr>
        <w:t>rapport</w:t>
      </w: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i/>
          <w:lang w:val="fr-FR"/>
        </w:rPr>
      </w:pPr>
      <w:bookmarkStart w:id="6" w:name="Prepared"/>
      <w:bookmarkEnd w:id="6"/>
      <w:r w:rsidRPr="00D541B0">
        <w:rPr>
          <w:i/>
          <w:lang w:val="fr-FR"/>
        </w:rPr>
        <w:t>adopté par le comité préparatoire</w:t>
      </w: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D541B0" w:rsidRPr="00D541B0" w:rsidRDefault="00D541B0" w:rsidP="00D541B0">
      <w:pPr>
        <w:rPr>
          <w:lang w:val="fr-FR"/>
        </w:rPr>
      </w:pPr>
    </w:p>
    <w:p w:rsidR="00C947B0" w:rsidRPr="00D541B0" w:rsidRDefault="00C947B0" w:rsidP="00C947B0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2C11DD" w:rsidRPr="00D541B0">
        <w:rPr>
          <w:lang w:val="fr-FR"/>
        </w:rPr>
        <w:t>La réunion du Comité préparatoire de la conférence diplomatique pour la conclusion d’un traité visant à faciliter l’accès des déficients visuels et des personnes ayant des difficultés de lecture des textes imprimés aux œuvres publiées (ci</w:t>
      </w:r>
      <w:r w:rsidR="002C11DD" w:rsidRPr="00D541B0">
        <w:rPr>
          <w:lang w:val="fr-FR"/>
        </w:rPr>
        <w:noBreakHyphen/>
        <w:t xml:space="preserve">après dénommé “comité préparatoire”) s’est tenue à Genève le </w:t>
      </w:r>
      <w:r w:rsidR="007C5C3C" w:rsidRPr="00D541B0">
        <w:rPr>
          <w:lang w:val="fr-FR"/>
        </w:rPr>
        <w:t>20</w:t>
      </w:r>
      <w:r w:rsidR="002C11DD" w:rsidRPr="00D541B0">
        <w:rPr>
          <w:lang w:val="fr-FR"/>
        </w:rPr>
        <w:t> avril </w:t>
      </w:r>
      <w:r w:rsidRPr="00D541B0">
        <w:rPr>
          <w:lang w:val="fr-FR"/>
        </w:rPr>
        <w:t>2013.</w:t>
      </w:r>
      <w:r w:rsidR="007B6316" w:rsidRPr="00D541B0">
        <w:rPr>
          <w:lang w:val="fr-FR"/>
        </w:rPr>
        <w:t xml:space="preserve">  </w:t>
      </w:r>
      <w:r w:rsidR="002C11DD" w:rsidRPr="00D541B0">
        <w:rPr>
          <w:lang w:val="fr-FR"/>
        </w:rPr>
        <w:t>Elle était présidée par S. E. M. Selim </w:t>
      </w:r>
      <w:r w:rsidR="00E144E2" w:rsidRPr="00D541B0">
        <w:rPr>
          <w:lang w:val="fr-FR"/>
        </w:rPr>
        <w:t>K</w:t>
      </w:r>
      <w:r w:rsidR="007B6316" w:rsidRPr="00D541B0">
        <w:rPr>
          <w:lang w:val="fr-FR"/>
        </w:rPr>
        <w:t xml:space="preserve">uneralp </w:t>
      </w:r>
      <w:r w:rsidR="0006302C" w:rsidRPr="00D541B0">
        <w:rPr>
          <w:lang w:val="fr-FR"/>
        </w:rPr>
        <w:t>(Tur</w:t>
      </w:r>
      <w:r w:rsidR="002C11DD" w:rsidRPr="00D541B0">
        <w:rPr>
          <w:lang w:val="fr-FR"/>
        </w:rPr>
        <w:t>quie</w:t>
      </w:r>
      <w:r w:rsidR="0006302C" w:rsidRPr="00D541B0">
        <w:rPr>
          <w:lang w:val="fr-FR"/>
        </w:rPr>
        <w:t>)</w:t>
      </w:r>
      <w:r w:rsidR="00AE3ABB" w:rsidRPr="00D541B0">
        <w:rPr>
          <w:lang w:val="fr-FR"/>
        </w:rPr>
        <w:t>,</w:t>
      </w:r>
      <w:r w:rsidR="0006302C" w:rsidRPr="00D541B0">
        <w:rPr>
          <w:lang w:val="fr-FR"/>
        </w:rPr>
        <w:t xml:space="preserve"> </w:t>
      </w:r>
      <w:r w:rsidR="002C11DD" w:rsidRPr="00D541B0">
        <w:rPr>
          <w:lang w:val="fr-FR"/>
        </w:rPr>
        <w:t>en sa qualité de président</w:t>
      </w:r>
      <w:r w:rsidR="007B6316" w:rsidRPr="00D541B0">
        <w:rPr>
          <w:lang w:val="fr-FR"/>
        </w:rPr>
        <w:t>.</w:t>
      </w:r>
    </w:p>
    <w:p w:rsidR="00C947B0" w:rsidRPr="00D541B0" w:rsidRDefault="00C947B0" w:rsidP="00C947B0">
      <w:pPr>
        <w:rPr>
          <w:lang w:val="fr-FR"/>
        </w:rPr>
      </w:pPr>
    </w:p>
    <w:p w:rsidR="00C947B0" w:rsidRPr="00D541B0" w:rsidRDefault="00C947B0" w:rsidP="00C947B0">
      <w:pPr>
        <w:rPr>
          <w:snapToGrid w:val="0"/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2C11DD" w:rsidRPr="00D541B0">
        <w:rPr>
          <w:lang w:val="fr-FR"/>
        </w:rPr>
        <w:t>Les États ci</w:t>
      </w:r>
      <w:r w:rsidR="002C11DD" w:rsidRPr="00D541B0">
        <w:rPr>
          <w:lang w:val="fr-FR"/>
        </w:rPr>
        <w:noBreakHyphen/>
        <w:t>après, membres de l’OMPI, étaient représentés à cette réunion </w:t>
      </w:r>
      <w:r w:rsidRPr="00D541B0">
        <w:rPr>
          <w:snapToGrid w:val="0"/>
          <w:lang w:val="fr-FR"/>
        </w:rPr>
        <w:t xml:space="preserve">: </w:t>
      </w:r>
    </w:p>
    <w:p w:rsidR="00C947B0" w:rsidRPr="00D541B0" w:rsidRDefault="00C947B0" w:rsidP="00C947B0">
      <w:pPr>
        <w:rPr>
          <w:snapToGrid w:val="0"/>
          <w:lang w:val="fr-FR"/>
        </w:rPr>
      </w:pPr>
    </w:p>
    <w:p w:rsidR="002928D3" w:rsidRDefault="00B97571" w:rsidP="00B97571">
      <w:pPr>
        <w:ind w:left="567"/>
        <w:rPr>
          <w:snapToGrid w:val="0"/>
          <w:color w:val="000000"/>
          <w:lang w:val="fr-FR"/>
        </w:rPr>
      </w:pPr>
      <w:r>
        <w:rPr>
          <w:szCs w:val="22"/>
          <w:lang w:val="fr-FR"/>
        </w:rPr>
        <w:t xml:space="preserve">Afrique du Sud, </w:t>
      </w:r>
      <w:r>
        <w:rPr>
          <w:snapToGrid w:val="0"/>
          <w:lang w:val="fr-FR"/>
        </w:rPr>
        <w:t xml:space="preserve">Algérie, </w:t>
      </w:r>
      <w:r>
        <w:rPr>
          <w:szCs w:val="22"/>
          <w:lang w:val="fr-FR"/>
        </w:rPr>
        <w:t xml:space="preserve">Allemagne, </w:t>
      </w:r>
      <w:r>
        <w:rPr>
          <w:snapToGrid w:val="0"/>
          <w:lang w:val="fr-FR"/>
        </w:rPr>
        <w:t xml:space="preserve">Andorre, Argentine, </w:t>
      </w:r>
      <w:r>
        <w:rPr>
          <w:szCs w:val="22"/>
          <w:lang w:val="fr-FR"/>
        </w:rPr>
        <w:t xml:space="preserve">Australie, Autriche, </w:t>
      </w:r>
      <w:r w:rsidRPr="00D541B0">
        <w:rPr>
          <w:szCs w:val="22"/>
          <w:lang w:val="fr-FR"/>
        </w:rPr>
        <w:t>Bangladesh</w:t>
      </w:r>
      <w:r>
        <w:rPr>
          <w:szCs w:val="22"/>
          <w:lang w:val="fr-FR"/>
        </w:rPr>
        <w:t xml:space="preserve">, Bélarus, Belgique, Bénin, </w:t>
      </w:r>
      <w:r w:rsidRPr="00D541B0">
        <w:rPr>
          <w:szCs w:val="22"/>
          <w:lang w:val="fr-FR"/>
        </w:rPr>
        <w:t>Botswana</w:t>
      </w:r>
      <w:r>
        <w:rPr>
          <w:szCs w:val="22"/>
          <w:lang w:val="fr-FR"/>
        </w:rPr>
        <w:t xml:space="preserve">, Brésil, </w:t>
      </w:r>
      <w:r>
        <w:rPr>
          <w:color w:val="000000"/>
          <w:szCs w:val="22"/>
          <w:lang w:val="fr-FR"/>
        </w:rPr>
        <w:t xml:space="preserve">Cameroun, </w:t>
      </w:r>
      <w:r w:rsidRPr="00D541B0">
        <w:rPr>
          <w:szCs w:val="22"/>
          <w:lang w:val="fr-FR"/>
        </w:rPr>
        <w:t>Canada</w:t>
      </w:r>
      <w:r>
        <w:rPr>
          <w:szCs w:val="22"/>
          <w:lang w:val="fr-FR"/>
        </w:rPr>
        <w:t xml:space="preserve">, Chili, Chine, Colombie, </w:t>
      </w:r>
      <w:r w:rsidRPr="00D541B0">
        <w:rPr>
          <w:szCs w:val="22"/>
          <w:lang w:val="fr-FR"/>
        </w:rPr>
        <w:t>Congo</w:t>
      </w:r>
      <w:r>
        <w:rPr>
          <w:szCs w:val="22"/>
          <w:lang w:val="fr-FR"/>
        </w:rPr>
        <w:t xml:space="preserve">, Costa Rica, </w:t>
      </w:r>
      <w:r w:rsidRPr="00D541B0">
        <w:rPr>
          <w:szCs w:val="22"/>
          <w:lang w:val="fr-FR"/>
        </w:rPr>
        <w:t>Côte</w:t>
      </w:r>
      <w:r>
        <w:rPr>
          <w:szCs w:val="22"/>
          <w:lang w:val="fr-FR"/>
        </w:rPr>
        <w:t xml:space="preserve"> </w:t>
      </w:r>
      <w:r w:rsidRPr="00D541B0">
        <w:rPr>
          <w:szCs w:val="22"/>
          <w:lang w:val="fr-FR"/>
        </w:rPr>
        <w:t>d’Ivoire</w:t>
      </w:r>
      <w:r>
        <w:rPr>
          <w:szCs w:val="22"/>
          <w:lang w:val="fr-FR"/>
        </w:rPr>
        <w:t>, Danemark, Égypte, El Salvador, Équateur, Espagne, États</w:t>
      </w:r>
      <w:r>
        <w:rPr>
          <w:szCs w:val="22"/>
          <w:lang w:val="fr-FR"/>
        </w:rPr>
        <w:noBreakHyphen/>
        <w:t xml:space="preserve">Unis d’Amérique, Éthiopie, Fédération de Russie, Finlande, </w:t>
      </w:r>
      <w:r w:rsidRPr="00D541B0">
        <w:rPr>
          <w:szCs w:val="22"/>
          <w:lang w:val="fr-FR"/>
        </w:rPr>
        <w:t>France</w:t>
      </w:r>
      <w:r>
        <w:rPr>
          <w:color w:val="000000"/>
          <w:szCs w:val="22"/>
          <w:lang w:val="fr-FR"/>
        </w:rPr>
        <w:t xml:space="preserve">, </w:t>
      </w:r>
      <w:r w:rsidRPr="00D541B0">
        <w:rPr>
          <w:color w:val="000000"/>
          <w:szCs w:val="22"/>
          <w:lang w:val="fr-FR"/>
        </w:rPr>
        <w:t>Gabon</w:t>
      </w:r>
      <w:r>
        <w:rPr>
          <w:color w:val="000000"/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Grèce, Guinée, Haïti, Hongrie, Inde, Indonésie, </w:t>
      </w:r>
      <w:r w:rsidRPr="00D541B0">
        <w:rPr>
          <w:szCs w:val="22"/>
          <w:lang w:val="fr-FR"/>
        </w:rPr>
        <w:t>Iran</w:t>
      </w:r>
      <w:r>
        <w:rPr>
          <w:szCs w:val="22"/>
          <w:lang w:val="fr-FR"/>
        </w:rPr>
        <w:t xml:space="preserve"> </w:t>
      </w:r>
      <w:r w:rsidRPr="00D541B0">
        <w:rPr>
          <w:szCs w:val="22"/>
          <w:lang w:val="fr-FR"/>
        </w:rPr>
        <w:t>(</w:t>
      </w:r>
      <w:r>
        <w:rPr>
          <w:szCs w:val="22"/>
          <w:lang w:val="fr-FR"/>
        </w:rPr>
        <w:t>République islamique d’</w:t>
      </w:r>
      <w:r w:rsidRPr="00D541B0">
        <w:rPr>
          <w:szCs w:val="22"/>
          <w:lang w:val="fr-FR"/>
        </w:rPr>
        <w:t>)</w:t>
      </w:r>
      <w:r>
        <w:rPr>
          <w:szCs w:val="22"/>
          <w:lang w:val="fr-FR"/>
        </w:rPr>
        <w:t xml:space="preserve">, Irlande, Italie, Jamaïque, Japon, Kenya, Lettonie, Liban, Lituanie, Malaisie, Maroc, Mexique, </w:t>
      </w:r>
      <w:r w:rsidRPr="00D541B0">
        <w:rPr>
          <w:szCs w:val="22"/>
          <w:lang w:val="fr-FR"/>
        </w:rPr>
        <w:t>Monaco</w:t>
      </w:r>
      <w:r>
        <w:rPr>
          <w:szCs w:val="22"/>
          <w:lang w:val="fr-FR"/>
        </w:rPr>
        <w:t xml:space="preserve">, </w:t>
      </w:r>
      <w:r w:rsidRPr="00D541B0">
        <w:rPr>
          <w:szCs w:val="22"/>
          <w:lang w:val="fr-FR"/>
        </w:rPr>
        <w:t>Myanmar</w:t>
      </w:r>
      <w:r>
        <w:rPr>
          <w:szCs w:val="22"/>
          <w:lang w:val="fr-FR"/>
        </w:rPr>
        <w:t xml:space="preserve">, Nigéria, </w:t>
      </w:r>
      <w:r w:rsidRPr="00D541B0">
        <w:rPr>
          <w:szCs w:val="22"/>
          <w:lang w:val="fr-FR"/>
        </w:rPr>
        <w:t>Pakistan</w:t>
      </w:r>
      <w:r>
        <w:rPr>
          <w:szCs w:val="22"/>
          <w:lang w:val="fr-FR"/>
        </w:rPr>
        <w:t xml:space="preserve">, </w:t>
      </w:r>
      <w:r w:rsidRPr="00D541B0">
        <w:rPr>
          <w:szCs w:val="22"/>
          <w:lang w:val="fr-FR"/>
        </w:rPr>
        <w:t>Panama</w:t>
      </w:r>
      <w:r>
        <w:rPr>
          <w:szCs w:val="22"/>
          <w:lang w:val="fr-FR"/>
        </w:rPr>
        <w:t xml:space="preserve">, </w:t>
      </w:r>
      <w:r w:rsidRPr="00D541B0">
        <w:rPr>
          <w:szCs w:val="22"/>
          <w:lang w:val="fr-FR"/>
        </w:rPr>
        <w:t>Paraguay</w:t>
      </w:r>
      <w:r>
        <w:rPr>
          <w:szCs w:val="22"/>
          <w:lang w:val="fr-FR"/>
        </w:rPr>
        <w:t xml:space="preserve">, Pérou, Philippines, Pologne, </w:t>
      </w:r>
      <w:r w:rsidRPr="00D541B0">
        <w:rPr>
          <w:szCs w:val="22"/>
          <w:lang w:val="fr-FR"/>
        </w:rPr>
        <w:t>Portugal</w:t>
      </w:r>
      <w:r>
        <w:rPr>
          <w:szCs w:val="22"/>
          <w:lang w:val="fr-FR"/>
        </w:rPr>
        <w:t>, République de Corée, République dominicaine, République populaire démocratique de Corée, République tchèque, Roumanie, Royaume</w:t>
      </w:r>
      <w:r>
        <w:rPr>
          <w:szCs w:val="22"/>
          <w:lang w:val="fr-FR"/>
        </w:rPr>
        <w:noBreakHyphen/>
        <w:t>Uni, Saint</w:t>
      </w:r>
      <w:r>
        <w:rPr>
          <w:szCs w:val="22"/>
          <w:lang w:val="fr-FR"/>
        </w:rPr>
        <w:noBreakHyphen/>
        <w:t xml:space="preserve">Siège, Sénégal, Serbie, Singapour, Slovénie, Sri Lanka, Suède, Suisse, </w:t>
      </w:r>
      <w:r w:rsidRPr="00D541B0">
        <w:rPr>
          <w:szCs w:val="22"/>
          <w:lang w:val="fr-FR"/>
        </w:rPr>
        <w:t>Togo</w:t>
      </w:r>
      <w:r>
        <w:rPr>
          <w:szCs w:val="22"/>
          <w:lang w:val="fr-FR"/>
        </w:rPr>
        <w:t>, Trinité</w:t>
      </w:r>
      <w:r>
        <w:rPr>
          <w:szCs w:val="22"/>
          <w:lang w:val="fr-FR"/>
        </w:rPr>
        <w:noBreakHyphen/>
        <w:t>et</w:t>
      </w:r>
      <w:r>
        <w:rPr>
          <w:szCs w:val="22"/>
          <w:lang w:val="fr-FR"/>
        </w:rPr>
        <w:noBreakHyphen/>
        <w:t xml:space="preserve">Tobago, Tunisie, Turquie, </w:t>
      </w:r>
      <w:r w:rsidRPr="00D541B0">
        <w:rPr>
          <w:color w:val="000000"/>
          <w:szCs w:val="22"/>
          <w:lang w:val="fr-FR"/>
        </w:rPr>
        <w:t>Uruguay</w:t>
      </w:r>
      <w:r>
        <w:rPr>
          <w:color w:val="000000"/>
          <w:szCs w:val="22"/>
          <w:lang w:val="fr-FR"/>
        </w:rPr>
        <w:t xml:space="preserve">, </w:t>
      </w:r>
      <w:r w:rsidRPr="00D541B0">
        <w:rPr>
          <w:color w:val="000000"/>
          <w:szCs w:val="22"/>
          <w:lang w:val="fr-FR"/>
        </w:rPr>
        <w:t>Venezuela</w:t>
      </w:r>
      <w:r>
        <w:rPr>
          <w:color w:val="000000"/>
          <w:szCs w:val="22"/>
          <w:lang w:val="fr-FR"/>
        </w:rPr>
        <w:t xml:space="preserve"> </w:t>
      </w:r>
      <w:r w:rsidRPr="00D541B0">
        <w:rPr>
          <w:color w:val="000000"/>
          <w:szCs w:val="22"/>
          <w:lang w:val="fr-FR"/>
        </w:rPr>
        <w:t>(</w:t>
      </w:r>
      <w:r>
        <w:rPr>
          <w:color w:val="000000"/>
          <w:szCs w:val="22"/>
          <w:lang w:val="fr-FR"/>
        </w:rPr>
        <w:t>République bolivarienne du</w:t>
      </w:r>
      <w:r w:rsidRPr="00D541B0">
        <w:rPr>
          <w:color w:val="000000"/>
          <w:szCs w:val="22"/>
          <w:lang w:val="fr-FR"/>
        </w:rPr>
        <w:t>)</w:t>
      </w:r>
      <w:r>
        <w:rPr>
          <w:color w:val="000000"/>
          <w:szCs w:val="22"/>
          <w:lang w:val="fr-FR"/>
        </w:rPr>
        <w:t>, Viet Nam</w:t>
      </w:r>
      <w:r w:rsidRPr="00D541B0">
        <w:rPr>
          <w:color w:val="000000"/>
          <w:szCs w:val="22"/>
          <w:lang w:val="fr-FR"/>
        </w:rPr>
        <w:t xml:space="preserve"> (81).</w:t>
      </w:r>
    </w:p>
    <w:p w:rsidR="00B97571" w:rsidRPr="00D541B0" w:rsidRDefault="00B97571" w:rsidP="00B97571">
      <w:pPr>
        <w:ind w:left="567"/>
        <w:rPr>
          <w:lang w:val="fr-FR"/>
        </w:rPr>
      </w:pPr>
    </w:p>
    <w:p w:rsidR="005914B9" w:rsidRPr="00D541B0" w:rsidRDefault="00C947B0" w:rsidP="000D09BC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2C11DD" w:rsidRPr="00D541B0">
        <w:rPr>
          <w:snapToGrid w:val="0"/>
          <w:lang w:val="fr-FR"/>
        </w:rPr>
        <w:t>L’Union européenne a aussi participé à cette réunion en qualité d’observatrice</w:t>
      </w:r>
      <w:r w:rsidR="000D09BC" w:rsidRPr="00D541B0">
        <w:rPr>
          <w:snapToGrid w:val="0"/>
          <w:lang w:val="fr-FR"/>
        </w:rPr>
        <w:t>.</w:t>
      </w:r>
    </w:p>
    <w:p w:rsidR="003F76B9" w:rsidRPr="00D541B0" w:rsidRDefault="003F76B9">
      <w:pPr>
        <w:rPr>
          <w:lang w:val="fr-FR"/>
        </w:rPr>
      </w:pPr>
      <w:r w:rsidRPr="00D541B0">
        <w:rPr>
          <w:lang w:val="fr-FR"/>
        </w:rPr>
        <w:br w:type="page"/>
      </w:r>
    </w:p>
    <w:p w:rsidR="000D09BC" w:rsidRPr="00D541B0" w:rsidRDefault="00D541B0" w:rsidP="000D09BC">
      <w:pPr>
        <w:pStyle w:val="Heading1"/>
        <w:spacing w:before="0" w:after="0"/>
        <w:rPr>
          <w:lang w:val="fr-FR"/>
        </w:rPr>
      </w:pPr>
      <w:r>
        <w:rPr>
          <w:lang w:val="fr-FR"/>
        </w:rPr>
        <w:lastRenderedPageBreak/>
        <w:t>iI.</w:t>
      </w:r>
      <w:r>
        <w:rPr>
          <w:lang w:val="fr-FR"/>
        </w:rPr>
        <w:tab/>
      </w:r>
      <w:r w:rsidR="002C11DD" w:rsidRPr="00D541B0">
        <w:rPr>
          <w:lang w:val="fr-FR"/>
        </w:rPr>
        <w:t>ADOPTION DE L’ORDRE DU JOUR</w:t>
      </w:r>
    </w:p>
    <w:p w:rsidR="000D09BC" w:rsidRPr="00D541B0" w:rsidRDefault="000D09BC" w:rsidP="000D09BC">
      <w:pPr>
        <w:rPr>
          <w:lang w:val="fr-FR"/>
        </w:rPr>
      </w:pPr>
    </w:p>
    <w:p w:rsidR="000D09BC" w:rsidRPr="00D541B0" w:rsidRDefault="000D09BC" w:rsidP="000D09BC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5552F0" w:rsidRPr="00D541B0">
        <w:rPr>
          <w:lang w:val="fr-FR"/>
        </w:rPr>
        <w:t>L</w:t>
      </w:r>
      <w:r w:rsidR="002C11DD" w:rsidRPr="00D541B0">
        <w:rPr>
          <w:lang w:val="fr-FR"/>
        </w:rPr>
        <w:t>e projet d’ordre du jour figurant dans le</w:t>
      </w:r>
      <w:r w:rsidR="00D541B0">
        <w:rPr>
          <w:lang w:val="fr-FR"/>
        </w:rPr>
        <w:t xml:space="preserve"> document VIP/3/PM/1 </w:t>
      </w:r>
      <w:r w:rsidRPr="00D541B0">
        <w:rPr>
          <w:lang w:val="fr-FR"/>
        </w:rPr>
        <w:t>Prov.</w:t>
      </w:r>
      <w:r w:rsidR="002C11DD" w:rsidRPr="00D541B0">
        <w:rPr>
          <w:lang w:val="fr-FR"/>
        </w:rPr>
        <w:t xml:space="preserve"> a été adopté à l’unanimité</w:t>
      </w:r>
      <w:r w:rsidRPr="00D541B0">
        <w:rPr>
          <w:lang w:val="fr-FR"/>
        </w:rPr>
        <w:t>.</w:t>
      </w:r>
      <w:r w:rsidR="002C11DD" w:rsidRPr="00D541B0">
        <w:rPr>
          <w:lang w:val="fr-FR"/>
        </w:rPr>
        <w:t xml:space="preserve">  </w:t>
      </w:r>
    </w:p>
    <w:p w:rsidR="000D09BC" w:rsidRPr="00D541B0" w:rsidRDefault="000D09BC" w:rsidP="000D09BC">
      <w:pPr>
        <w:pStyle w:val="Footer"/>
        <w:rPr>
          <w:lang w:val="fr-FR"/>
        </w:rPr>
      </w:pPr>
    </w:p>
    <w:p w:rsidR="000D09BC" w:rsidRPr="00D541B0" w:rsidRDefault="000D09BC" w:rsidP="000D09BC">
      <w:pPr>
        <w:pStyle w:val="Footer"/>
        <w:rPr>
          <w:lang w:val="fr-FR"/>
        </w:rPr>
      </w:pPr>
    </w:p>
    <w:p w:rsidR="000D09BC" w:rsidRPr="00D541B0" w:rsidRDefault="000D09BC" w:rsidP="00D17963">
      <w:pPr>
        <w:pStyle w:val="Footer"/>
        <w:tabs>
          <w:tab w:val="clear" w:pos="4320"/>
          <w:tab w:val="clear" w:pos="8640"/>
        </w:tabs>
        <w:rPr>
          <w:lang w:val="fr-FR"/>
        </w:rPr>
      </w:pPr>
      <w:r w:rsidRPr="00D541B0">
        <w:rPr>
          <w:b/>
          <w:lang w:val="fr-FR"/>
        </w:rPr>
        <w:t>III</w:t>
      </w:r>
      <w:r w:rsidR="001767B0" w:rsidRPr="00D541B0">
        <w:rPr>
          <w:b/>
          <w:lang w:val="fr-FR"/>
        </w:rPr>
        <w:t>.</w:t>
      </w:r>
      <w:r w:rsidR="00D541B0">
        <w:rPr>
          <w:b/>
          <w:lang w:val="fr-FR"/>
        </w:rPr>
        <w:tab/>
      </w:r>
      <w:r w:rsidR="002C11DD" w:rsidRPr="00D541B0">
        <w:rPr>
          <w:b/>
          <w:lang w:val="fr-FR"/>
        </w:rPr>
        <w:t xml:space="preserve">ADOPTION DU RAPPORT DE LA </w:t>
      </w:r>
      <w:r w:rsidR="00D541B0" w:rsidRPr="00D541B0">
        <w:rPr>
          <w:b/>
          <w:lang w:val="fr-FR"/>
        </w:rPr>
        <w:t>RÉUNION</w:t>
      </w:r>
      <w:r w:rsidR="002C11DD" w:rsidRPr="00D541B0">
        <w:rPr>
          <w:b/>
          <w:lang w:val="fr-FR"/>
        </w:rPr>
        <w:t xml:space="preserve"> DU COMIT</w:t>
      </w:r>
      <w:r w:rsidR="00D541B0">
        <w:rPr>
          <w:b/>
          <w:lang w:val="fr-FR"/>
        </w:rPr>
        <w:t>É</w:t>
      </w:r>
      <w:r w:rsidR="002C11DD" w:rsidRPr="00D541B0">
        <w:rPr>
          <w:b/>
          <w:lang w:val="fr-FR"/>
        </w:rPr>
        <w:t xml:space="preserve"> </w:t>
      </w:r>
      <w:r w:rsidR="00D541B0" w:rsidRPr="00D541B0">
        <w:rPr>
          <w:b/>
          <w:lang w:val="fr-FR"/>
        </w:rPr>
        <w:t>PRÉPARATOIRE</w:t>
      </w:r>
      <w:r w:rsidR="002C11DD" w:rsidRPr="00D541B0">
        <w:rPr>
          <w:b/>
          <w:lang w:val="fr-FR"/>
        </w:rPr>
        <w:t xml:space="preserve"> TENUE LE 22 </w:t>
      </w:r>
      <w:r w:rsidR="00D541B0" w:rsidRPr="00D541B0">
        <w:rPr>
          <w:b/>
          <w:lang w:val="fr-FR"/>
        </w:rPr>
        <w:t>FÉVRIER</w:t>
      </w:r>
      <w:r w:rsidR="002C11DD" w:rsidRPr="00D541B0">
        <w:rPr>
          <w:b/>
          <w:lang w:val="fr-FR"/>
        </w:rPr>
        <w:t> 2013</w:t>
      </w:r>
    </w:p>
    <w:p w:rsidR="001767B0" w:rsidRPr="00D541B0" w:rsidRDefault="001767B0" w:rsidP="000D09BC">
      <w:pPr>
        <w:pStyle w:val="Footer"/>
        <w:rPr>
          <w:lang w:val="fr-FR"/>
        </w:rPr>
      </w:pPr>
    </w:p>
    <w:p w:rsidR="000D09BC" w:rsidRPr="00D541B0" w:rsidRDefault="001767B0" w:rsidP="0010393B">
      <w:pPr>
        <w:pStyle w:val="Footer"/>
        <w:tabs>
          <w:tab w:val="clear" w:pos="4320"/>
          <w:tab w:val="clear" w:pos="8640"/>
        </w:tabs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5552F0" w:rsidRPr="00D541B0">
        <w:rPr>
          <w:lang w:val="fr-FR"/>
        </w:rPr>
        <w:t xml:space="preserve">Le rapport figurant dans le </w:t>
      </w:r>
      <w:r w:rsidR="007C5C3C" w:rsidRPr="00D541B0">
        <w:rPr>
          <w:lang w:val="fr-FR"/>
        </w:rPr>
        <w:t>document VIP/2/PM/3</w:t>
      </w:r>
      <w:r w:rsidR="005552F0" w:rsidRPr="00D541B0">
        <w:rPr>
          <w:lang w:val="fr-FR"/>
        </w:rPr>
        <w:t> </w:t>
      </w:r>
      <w:r w:rsidR="007C5C3C" w:rsidRPr="00D541B0">
        <w:rPr>
          <w:lang w:val="fr-FR"/>
        </w:rPr>
        <w:t>Prov.</w:t>
      </w:r>
      <w:r w:rsidR="005552F0" w:rsidRPr="00D541B0">
        <w:rPr>
          <w:lang w:val="fr-FR"/>
        </w:rPr>
        <w:t xml:space="preserve"> a été adopté à l’unanimité par le</w:t>
      </w:r>
      <w:r w:rsidR="00D541B0">
        <w:rPr>
          <w:lang w:val="fr-FR"/>
        </w:rPr>
        <w:t> c</w:t>
      </w:r>
      <w:r w:rsidR="005552F0" w:rsidRPr="00D541B0">
        <w:rPr>
          <w:lang w:val="fr-FR"/>
        </w:rPr>
        <w:t>omité préparatoire</w:t>
      </w:r>
      <w:r w:rsidR="0073123E" w:rsidRPr="00D541B0">
        <w:rPr>
          <w:lang w:val="fr-FR"/>
        </w:rPr>
        <w:t>.</w:t>
      </w:r>
      <w:r w:rsidR="005552F0" w:rsidRPr="00D541B0">
        <w:rPr>
          <w:lang w:val="fr-FR"/>
        </w:rPr>
        <w:t xml:space="preserve">  </w:t>
      </w:r>
    </w:p>
    <w:p w:rsidR="001767B0" w:rsidRPr="00D541B0" w:rsidRDefault="001767B0" w:rsidP="0010393B">
      <w:pPr>
        <w:pStyle w:val="Footer"/>
        <w:tabs>
          <w:tab w:val="clear" w:pos="4320"/>
          <w:tab w:val="clear" w:pos="8640"/>
        </w:tabs>
        <w:rPr>
          <w:lang w:val="fr-FR"/>
        </w:rPr>
      </w:pPr>
    </w:p>
    <w:p w:rsidR="001767B0" w:rsidRPr="00D541B0" w:rsidRDefault="001767B0" w:rsidP="0010393B">
      <w:pPr>
        <w:pStyle w:val="Footer"/>
        <w:tabs>
          <w:tab w:val="clear" w:pos="4320"/>
          <w:tab w:val="clear" w:pos="8640"/>
        </w:tabs>
        <w:rPr>
          <w:lang w:val="fr-FR"/>
        </w:rPr>
      </w:pPr>
    </w:p>
    <w:p w:rsidR="000D09BC" w:rsidRPr="00D541B0" w:rsidRDefault="000D09BC" w:rsidP="000D09BC">
      <w:pPr>
        <w:pStyle w:val="Heading1"/>
        <w:tabs>
          <w:tab w:val="left" w:pos="440"/>
        </w:tabs>
        <w:spacing w:before="0" w:after="0"/>
        <w:rPr>
          <w:lang w:val="fr-FR"/>
        </w:rPr>
      </w:pPr>
      <w:r w:rsidRPr="00D541B0">
        <w:rPr>
          <w:lang w:val="fr-FR"/>
        </w:rPr>
        <w:t>I</w:t>
      </w:r>
      <w:r w:rsidR="001767B0" w:rsidRPr="00D541B0">
        <w:rPr>
          <w:lang w:val="fr-FR"/>
        </w:rPr>
        <w:t>V</w:t>
      </w:r>
      <w:r w:rsidR="00D541B0">
        <w:rPr>
          <w:lang w:val="fr-FR"/>
        </w:rPr>
        <w:t>.</w:t>
      </w:r>
      <w:r w:rsidR="00D541B0">
        <w:rPr>
          <w:lang w:val="fr-FR"/>
        </w:rPr>
        <w:tab/>
      </w:r>
      <w:r w:rsidR="002C11DD" w:rsidRPr="00D541B0">
        <w:rPr>
          <w:lang w:val="fr-FR"/>
        </w:rPr>
        <w:t xml:space="preserve">EXAMEN DES QUESTIONS EN SUSPENS CONCERNANT LA </w:t>
      </w:r>
      <w:r w:rsidR="00D541B0" w:rsidRPr="00D541B0">
        <w:rPr>
          <w:lang w:val="fr-FR"/>
        </w:rPr>
        <w:t>CONFÉRENCE</w:t>
      </w:r>
      <w:r w:rsidR="002C11DD" w:rsidRPr="00D541B0">
        <w:rPr>
          <w:lang w:val="fr-FR"/>
        </w:rPr>
        <w:t xml:space="preserve"> DIPLOMATIQUE POUR LA CONCLUSION D’UN TRAITE VISANT A FACILITER L’</w:t>
      </w:r>
      <w:r w:rsidR="00D541B0" w:rsidRPr="00D541B0">
        <w:rPr>
          <w:lang w:val="fr-FR"/>
        </w:rPr>
        <w:t>ACCÈS</w:t>
      </w:r>
      <w:r w:rsidR="002C11DD" w:rsidRPr="00D541B0">
        <w:rPr>
          <w:lang w:val="fr-FR"/>
        </w:rPr>
        <w:t xml:space="preserve"> DES </w:t>
      </w:r>
      <w:r w:rsidR="00D541B0" w:rsidRPr="00D541B0">
        <w:rPr>
          <w:lang w:val="fr-FR"/>
        </w:rPr>
        <w:t>DÉFICIENTS</w:t>
      </w:r>
      <w:r w:rsidR="002C11DD" w:rsidRPr="00D541B0">
        <w:rPr>
          <w:lang w:val="fr-FR"/>
        </w:rPr>
        <w:t xml:space="preserve"> VISUELS ET DES PERSONNES AYANT DES </w:t>
      </w:r>
      <w:r w:rsidR="00D541B0" w:rsidRPr="00D541B0">
        <w:rPr>
          <w:lang w:val="fr-FR"/>
        </w:rPr>
        <w:t>DIFFICULTÉS</w:t>
      </w:r>
      <w:r w:rsidR="002C11DD" w:rsidRPr="00D541B0">
        <w:rPr>
          <w:lang w:val="fr-FR"/>
        </w:rPr>
        <w:t xml:space="preserve"> DE LECTURE DES TEXTES IMPRIMES AUX ŒUVRES </w:t>
      </w:r>
      <w:r w:rsidR="00D541B0" w:rsidRPr="00D541B0">
        <w:rPr>
          <w:lang w:val="fr-FR"/>
        </w:rPr>
        <w:t>PUBLIÉES</w:t>
      </w:r>
    </w:p>
    <w:p w:rsidR="000D09BC" w:rsidRPr="00D541B0" w:rsidRDefault="000D09BC" w:rsidP="000D09BC">
      <w:pPr>
        <w:rPr>
          <w:lang w:val="fr-FR"/>
        </w:rPr>
      </w:pPr>
    </w:p>
    <w:p w:rsidR="000D09BC" w:rsidRPr="00D541B0" w:rsidRDefault="009B27CD" w:rsidP="002055CF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52478E" w:rsidRPr="00D541B0">
        <w:rPr>
          <w:lang w:val="fr-FR"/>
        </w:rPr>
        <w:t>Le con</w:t>
      </w:r>
      <w:r w:rsidR="00030E37">
        <w:rPr>
          <w:lang w:val="fr-FR"/>
        </w:rPr>
        <w:t>seiller juridique a informé le c</w:t>
      </w:r>
      <w:r w:rsidR="0052478E" w:rsidRPr="00D541B0">
        <w:rPr>
          <w:lang w:val="fr-FR"/>
        </w:rPr>
        <w:t>omité préparatoire que trois questions restaient en</w:t>
      </w:r>
      <w:r w:rsidR="00030E37">
        <w:rPr>
          <w:lang w:val="fr-FR"/>
        </w:rPr>
        <w:t> </w:t>
      </w:r>
      <w:r w:rsidR="0052478E" w:rsidRPr="00D541B0">
        <w:rPr>
          <w:lang w:val="fr-FR"/>
        </w:rPr>
        <w:t>suspens, à savoir : le projet de règlement intérieu</w:t>
      </w:r>
      <w:r w:rsidR="00030E37">
        <w:rPr>
          <w:lang w:val="fr-FR"/>
        </w:rPr>
        <w:t>r de la conférence diplomatique</w:t>
      </w:r>
      <w:r w:rsidR="0052478E" w:rsidRPr="00D541B0">
        <w:rPr>
          <w:lang w:val="fr-FR"/>
        </w:rPr>
        <w:t xml:space="preserve">;  le projet de dispositions administratives et de clauses finales </w:t>
      </w:r>
      <w:r w:rsidR="00802981" w:rsidRPr="00D541B0">
        <w:rPr>
          <w:lang w:val="fr-FR"/>
        </w:rPr>
        <w:t>du traité à soumett</w:t>
      </w:r>
      <w:r w:rsidR="00030E37">
        <w:rPr>
          <w:lang w:val="fr-FR"/>
        </w:rPr>
        <w:t>re à la conférence diplomatique</w:t>
      </w:r>
      <w:r w:rsidR="00802981" w:rsidRPr="00D541B0">
        <w:rPr>
          <w:lang w:val="fr-FR"/>
        </w:rPr>
        <w:t>;  et la proposition de base pour les dispositions de fond du traité</w:t>
      </w:r>
      <w:r w:rsidR="00C429D2" w:rsidRPr="00D541B0">
        <w:rPr>
          <w:lang w:val="fr-FR"/>
        </w:rPr>
        <w:t>.</w:t>
      </w:r>
      <w:r w:rsidR="00C80A22" w:rsidRPr="00D541B0">
        <w:rPr>
          <w:lang w:val="fr-FR"/>
        </w:rPr>
        <w:t xml:space="preserve">  </w:t>
      </w:r>
      <w:r w:rsidR="00802981" w:rsidRPr="00D541B0">
        <w:rPr>
          <w:lang w:val="fr-FR"/>
        </w:rPr>
        <w:t xml:space="preserve">Il a déclaré que, bien que le </w:t>
      </w:r>
      <w:r w:rsidR="00C80A22" w:rsidRPr="00D541B0">
        <w:rPr>
          <w:lang w:val="fr-FR"/>
        </w:rPr>
        <w:t>Secr</w:t>
      </w:r>
      <w:r w:rsidR="00802981" w:rsidRPr="00D541B0">
        <w:rPr>
          <w:lang w:val="fr-FR"/>
        </w:rPr>
        <w:t>é</w:t>
      </w:r>
      <w:r w:rsidR="00C80A22" w:rsidRPr="00D541B0">
        <w:rPr>
          <w:lang w:val="fr-FR"/>
        </w:rPr>
        <w:t xml:space="preserve">tariat </w:t>
      </w:r>
      <w:r w:rsidR="00802981" w:rsidRPr="00D541B0">
        <w:rPr>
          <w:lang w:val="fr-FR"/>
        </w:rPr>
        <w:t xml:space="preserve">soit conscient du fait que les délégations avaient des observations à formuler sur les deux premières questions, il proposait que ce soit fait lors de la conférence diplomatique et que le comité se penche sur la question </w:t>
      </w:r>
      <w:r w:rsidR="006F7AD1" w:rsidRPr="00D541B0">
        <w:rPr>
          <w:lang w:val="fr-FR"/>
        </w:rPr>
        <w:t>la plus pressante à ce stade, à savoir l’examen de la proposition de base pour les dispositions de fond du traité</w:t>
      </w:r>
      <w:r w:rsidR="000D7E55" w:rsidRPr="00D541B0">
        <w:rPr>
          <w:lang w:val="fr-FR"/>
        </w:rPr>
        <w:t>.</w:t>
      </w:r>
      <w:r w:rsidR="00C80A22" w:rsidRPr="00D541B0">
        <w:rPr>
          <w:lang w:val="fr-FR"/>
        </w:rPr>
        <w:t xml:space="preserve"> </w:t>
      </w:r>
      <w:r w:rsidR="006F7AD1" w:rsidRPr="00D541B0">
        <w:rPr>
          <w:lang w:val="fr-FR"/>
        </w:rPr>
        <w:t xml:space="preserve"> </w:t>
      </w:r>
    </w:p>
    <w:p w:rsidR="00EB2539" w:rsidRPr="00D541B0" w:rsidRDefault="00EB2539" w:rsidP="0010393B">
      <w:pPr>
        <w:ind w:firstLine="567"/>
        <w:rPr>
          <w:lang w:val="fr-FR"/>
        </w:rPr>
      </w:pPr>
    </w:p>
    <w:p w:rsidR="00EB2539" w:rsidRPr="00D541B0" w:rsidRDefault="00C429D2" w:rsidP="0010393B">
      <w:pPr>
        <w:ind w:left="567"/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6F7AD1" w:rsidRPr="00D541B0">
        <w:rPr>
          <w:lang w:val="fr-FR"/>
        </w:rPr>
        <w:t xml:space="preserve">Le comité préparatoire a adopté le </w:t>
      </w:r>
      <w:r w:rsidR="00AA380D" w:rsidRPr="00D541B0">
        <w:rPr>
          <w:lang w:val="fr-FR"/>
        </w:rPr>
        <w:t>document SCCR/SS/GE/2/13/4</w:t>
      </w:r>
      <w:r w:rsidR="00E11F27" w:rsidRPr="00D541B0">
        <w:rPr>
          <w:lang w:val="fr-FR"/>
        </w:rPr>
        <w:t>,</w:t>
      </w:r>
      <w:r w:rsidR="00AA380D" w:rsidRPr="00D541B0">
        <w:rPr>
          <w:lang w:val="fr-FR"/>
        </w:rPr>
        <w:t xml:space="preserve"> </w:t>
      </w:r>
      <w:r w:rsidR="00E11F27" w:rsidRPr="00D541B0">
        <w:rPr>
          <w:lang w:val="fr-FR"/>
        </w:rPr>
        <w:t>auquel ont été apportées les modifications approuvées par le Comité permanent du droit d’auteur et des</w:t>
      </w:r>
      <w:r w:rsidR="00030E37">
        <w:rPr>
          <w:lang w:val="fr-FR"/>
        </w:rPr>
        <w:t> </w:t>
      </w:r>
      <w:r w:rsidR="00E11F27" w:rsidRPr="00D541B0">
        <w:rPr>
          <w:lang w:val="fr-FR"/>
        </w:rPr>
        <w:t xml:space="preserve">droits connexes, </w:t>
      </w:r>
      <w:r w:rsidR="006F7AD1" w:rsidRPr="00D541B0">
        <w:rPr>
          <w:lang w:val="fr-FR"/>
        </w:rPr>
        <w:t>en tant que proposition de base pour les dispositions de fond du</w:t>
      </w:r>
      <w:r w:rsidR="00030E37">
        <w:rPr>
          <w:lang w:val="fr-FR"/>
        </w:rPr>
        <w:t> </w:t>
      </w:r>
      <w:r w:rsidR="006F7AD1" w:rsidRPr="00D541B0">
        <w:rPr>
          <w:lang w:val="fr-FR"/>
        </w:rPr>
        <w:t>traité à examiner par la conférence diplomatique</w:t>
      </w:r>
      <w:r w:rsidR="0010393B" w:rsidRPr="00D541B0">
        <w:rPr>
          <w:lang w:val="fr-FR"/>
        </w:rPr>
        <w:t>.</w:t>
      </w:r>
      <w:r w:rsidRPr="00D541B0">
        <w:rPr>
          <w:lang w:val="fr-FR"/>
        </w:rPr>
        <w:t xml:space="preserve">  </w:t>
      </w:r>
    </w:p>
    <w:p w:rsidR="00C429D2" w:rsidRPr="00D541B0" w:rsidRDefault="00C429D2" w:rsidP="0010393B">
      <w:pPr>
        <w:ind w:firstLine="567"/>
        <w:rPr>
          <w:lang w:val="fr-FR"/>
        </w:rPr>
      </w:pPr>
    </w:p>
    <w:p w:rsidR="00C429D2" w:rsidRPr="00D541B0" w:rsidRDefault="00C429D2" w:rsidP="0010393B">
      <w:pPr>
        <w:ind w:firstLine="567"/>
        <w:rPr>
          <w:lang w:val="fr-FR"/>
        </w:rPr>
      </w:pPr>
    </w:p>
    <w:p w:rsidR="001767B0" w:rsidRPr="00D541B0" w:rsidRDefault="00890E4A">
      <w:pPr>
        <w:rPr>
          <w:b/>
          <w:lang w:val="fr-FR"/>
        </w:rPr>
      </w:pPr>
      <w:r>
        <w:rPr>
          <w:b/>
          <w:lang w:val="fr-FR"/>
        </w:rPr>
        <w:t>V</w:t>
      </w:r>
      <w:r>
        <w:rPr>
          <w:b/>
          <w:lang w:val="fr-FR"/>
        </w:rPr>
        <w:tab/>
      </w:r>
      <w:r w:rsidR="00E11F27" w:rsidRPr="00D541B0">
        <w:rPr>
          <w:b/>
          <w:lang w:val="fr-FR"/>
        </w:rPr>
        <w:t xml:space="preserve">EXAMEN DE LA LISTE D’ORGANISATIONS QUI SERONT </w:t>
      </w:r>
      <w:r w:rsidRPr="00D541B0">
        <w:rPr>
          <w:b/>
          <w:lang w:val="fr-FR"/>
        </w:rPr>
        <w:t>INVITÉES</w:t>
      </w:r>
      <w:r>
        <w:rPr>
          <w:b/>
          <w:lang w:val="fr-FR"/>
        </w:rPr>
        <w:t xml:space="preserve"> À</w:t>
      </w:r>
      <w:r w:rsidR="00E11F27" w:rsidRPr="00D541B0">
        <w:rPr>
          <w:b/>
          <w:lang w:val="fr-FR"/>
        </w:rPr>
        <w:t xml:space="preserve"> LA</w:t>
      </w:r>
      <w:r>
        <w:rPr>
          <w:b/>
          <w:lang w:val="fr-FR"/>
        </w:rPr>
        <w:t> </w:t>
      </w:r>
      <w:r w:rsidRPr="00D541B0">
        <w:rPr>
          <w:b/>
          <w:lang w:val="fr-FR"/>
        </w:rPr>
        <w:t>CONFÉRENCE</w:t>
      </w:r>
      <w:r w:rsidR="00E11F27" w:rsidRPr="00D541B0">
        <w:rPr>
          <w:b/>
          <w:lang w:val="fr-FR"/>
        </w:rPr>
        <w:t xml:space="preserve"> DIPLOMATIQUE</w:t>
      </w:r>
    </w:p>
    <w:p w:rsidR="001767B0" w:rsidRPr="00D541B0" w:rsidRDefault="001767B0">
      <w:pPr>
        <w:rPr>
          <w:b/>
          <w:lang w:val="fr-FR"/>
        </w:rPr>
      </w:pPr>
    </w:p>
    <w:p w:rsidR="001767B0" w:rsidRPr="00D541B0" w:rsidRDefault="001767B0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E11F27" w:rsidRPr="00D541B0">
        <w:rPr>
          <w:lang w:val="fr-FR"/>
        </w:rPr>
        <w:t>Le président a informé le comité qu’à ce stade, il n’y avait aucune organisation supplémentaire à ajouter à la liste des invités à la conférence diplomatique et que si, d’ici la</w:t>
      </w:r>
      <w:r w:rsidR="00890E4A">
        <w:rPr>
          <w:lang w:val="fr-FR"/>
        </w:rPr>
        <w:t> </w:t>
      </w:r>
      <w:r w:rsidR="00E11F27" w:rsidRPr="00D541B0">
        <w:rPr>
          <w:lang w:val="fr-FR"/>
        </w:rPr>
        <w:t xml:space="preserve">conférence, de nouvelles demandes </w:t>
      </w:r>
      <w:r w:rsidR="002055CF" w:rsidRPr="00D541B0">
        <w:rPr>
          <w:lang w:val="fr-FR"/>
        </w:rPr>
        <w:t>d’admission à la conférence diplomatique avec le statut d’observateur étaient présentées, elles seraient soumises à l’approbation de la conférence diplomatique</w:t>
      </w:r>
      <w:r w:rsidRPr="00D541B0">
        <w:rPr>
          <w:lang w:val="fr-FR"/>
        </w:rPr>
        <w:t>.</w:t>
      </w:r>
      <w:r w:rsidR="002055CF" w:rsidRPr="00D541B0">
        <w:rPr>
          <w:lang w:val="fr-FR"/>
        </w:rPr>
        <w:t xml:space="preserve">  </w:t>
      </w:r>
    </w:p>
    <w:p w:rsidR="001767B0" w:rsidRPr="00D541B0" w:rsidRDefault="001767B0">
      <w:pPr>
        <w:rPr>
          <w:lang w:val="fr-FR"/>
        </w:rPr>
      </w:pPr>
    </w:p>
    <w:p w:rsidR="001767B0" w:rsidRPr="00D541B0" w:rsidRDefault="001767B0">
      <w:pPr>
        <w:rPr>
          <w:lang w:val="fr-FR"/>
        </w:rPr>
      </w:pPr>
    </w:p>
    <w:p w:rsidR="001767B0" w:rsidRPr="00D541B0" w:rsidRDefault="00890E4A">
      <w:pPr>
        <w:rPr>
          <w:b/>
          <w:lang w:val="fr-FR"/>
        </w:rPr>
      </w:pPr>
      <w:r>
        <w:rPr>
          <w:b/>
          <w:lang w:val="fr-FR"/>
        </w:rPr>
        <w:t>VI.</w:t>
      </w:r>
      <w:r>
        <w:rPr>
          <w:b/>
          <w:lang w:val="fr-FR"/>
        </w:rPr>
        <w:tab/>
      </w:r>
      <w:r w:rsidR="001767B0" w:rsidRPr="00D541B0">
        <w:rPr>
          <w:b/>
          <w:lang w:val="fr-FR"/>
        </w:rPr>
        <w:t xml:space="preserve">ADOPTION </w:t>
      </w:r>
      <w:r w:rsidR="002055CF" w:rsidRPr="00D541B0">
        <w:rPr>
          <w:b/>
          <w:lang w:val="fr-FR"/>
        </w:rPr>
        <w:t>DU RAPPORT</w:t>
      </w:r>
    </w:p>
    <w:p w:rsidR="001767B0" w:rsidRPr="00D541B0" w:rsidRDefault="001767B0">
      <w:pPr>
        <w:rPr>
          <w:b/>
          <w:lang w:val="fr-FR"/>
        </w:rPr>
      </w:pPr>
    </w:p>
    <w:p w:rsidR="001767B0" w:rsidRDefault="00595E06">
      <w:pPr>
        <w:rPr>
          <w:lang w:val="fr-FR"/>
        </w:rPr>
      </w:pPr>
      <w:r w:rsidRPr="00D541B0">
        <w:rPr>
          <w:lang w:val="fr-FR"/>
        </w:rPr>
        <w:fldChar w:fldCharType="begin"/>
      </w:r>
      <w:r w:rsidRPr="00D541B0">
        <w:rPr>
          <w:lang w:val="fr-FR"/>
        </w:rPr>
        <w:instrText xml:space="preserve"> AUTONUM  </w:instrText>
      </w:r>
      <w:r w:rsidRPr="00D541B0">
        <w:rPr>
          <w:lang w:val="fr-FR"/>
        </w:rPr>
        <w:fldChar w:fldCharType="end"/>
      </w:r>
      <w:r w:rsidRPr="00D541B0">
        <w:rPr>
          <w:lang w:val="fr-FR"/>
        </w:rPr>
        <w:tab/>
      </w:r>
      <w:r w:rsidR="002055CF" w:rsidRPr="00D541B0">
        <w:rPr>
          <w:lang w:val="fr-FR"/>
        </w:rPr>
        <w:t xml:space="preserve">Les délégations ont adopté le rapport à l’unanimité.  </w:t>
      </w:r>
    </w:p>
    <w:p w:rsidR="00627D75" w:rsidRDefault="00627D75">
      <w:pPr>
        <w:rPr>
          <w:lang w:val="fr-FR"/>
        </w:rPr>
      </w:pPr>
    </w:p>
    <w:p w:rsidR="00627D75" w:rsidRDefault="00627D75">
      <w:pPr>
        <w:rPr>
          <w:lang w:val="fr-FR"/>
        </w:rPr>
      </w:pPr>
    </w:p>
    <w:p w:rsidR="00627D75" w:rsidRDefault="00627D75">
      <w:pPr>
        <w:rPr>
          <w:lang w:val="fr-FR"/>
        </w:rPr>
      </w:pPr>
    </w:p>
    <w:p w:rsidR="00627D75" w:rsidRPr="00D541B0" w:rsidRDefault="00627D75" w:rsidP="00627D75">
      <w:pPr>
        <w:ind w:left="5534"/>
        <w:rPr>
          <w:lang w:val="fr-FR"/>
        </w:rPr>
      </w:pPr>
      <w:r>
        <w:rPr>
          <w:lang w:val="fr-FR"/>
        </w:rPr>
        <w:t>[Fin du document]</w:t>
      </w:r>
    </w:p>
    <w:sectPr w:rsidR="00627D75" w:rsidRPr="00D541B0" w:rsidSect="00D541B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27" w:rsidRDefault="00E11F27">
      <w:r>
        <w:separator/>
      </w:r>
    </w:p>
  </w:endnote>
  <w:endnote w:type="continuationSeparator" w:id="0">
    <w:p w:rsidR="00E11F27" w:rsidRDefault="00E11F27" w:rsidP="003B38C1">
      <w:r>
        <w:separator/>
      </w:r>
    </w:p>
    <w:p w:rsidR="00E11F27" w:rsidRPr="003B38C1" w:rsidRDefault="00E11F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1F27" w:rsidRPr="003B38C1" w:rsidRDefault="00E11F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27" w:rsidRDefault="00E11F27">
      <w:r>
        <w:separator/>
      </w:r>
    </w:p>
  </w:footnote>
  <w:footnote w:type="continuationSeparator" w:id="0">
    <w:p w:rsidR="00E11F27" w:rsidRDefault="00E11F27" w:rsidP="008B60B2">
      <w:r>
        <w:separator/>
      </w:r>
    </w:p>
    <w:p w:rsidR="00E11F27" w:rsidRPr="00ED77FB" w:rsidRDefault="00E11F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1F27" w:rsidRPr="00ED77FB" w:rsidRDefault="00E11F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27" w:rsidRDefault="00E11F27" w:rsidP="00477D6B">
    <w:pPr>
      <w:jc w:val="right"/>
    </w:pPr>
    <w:bookmarkStart w:id="7" w:name="Code2"/>
    <w:bookmarkEnd w:id="7"/>
    <w:r>
      <w:t>VIP/3/PM/2</w:t>
    </w:r>
  </w:p>
  <w:p w:rsidR="00E11F27" w:rsidRDefault="00E11F27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33164">
      <w:rPr>
        <w:noProof/>
      </w:rPr>
      <w:t>2</w:t>
    </w:r>
    <w:r>
      <w:fldChar w:fldCharType="end"/>
    </w:r>
  </w:p>
  <w:p w:rsidR="00E11F27" w:rsidRDefault="00E11F2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B0"/>
    <w:rsid w:val="00030E37"/>
    <w:rsid w:val="00043CAA"/>
    <w:rsid w:val="00044C84"/>
    <w:rsid w:val="00052690"/>
    <w:rsid w:val="00062C64"/>
    <w:rsid w:val="0006302C"/>
    <w:rsid w:val="00075432"/>
    <w:rsid w:val="000968ED"/>
    <w:rsid w:val="000D09BC"/>
    <w:rsid w:val="000D6231"/>
    <w:rsid w:val="000D7E55"/>
    <w:rsid w:val="000E661A"/>
    <w:rsid w:val="000F5E56"/>
    <w:rsid w:val="0010393B"/>
    <w:rsid w:val="0010552A"/>
    <w:rsid w:val="00133164"/>
    <w:rsid w:val="001362EE"/>
    <w:rsid w:val="00145475"/>
    <w:rsid w:val="00171BEF"/>
    <w:rsid w:val="001767B0"/>
    <w:rsid w:val="00177EBC"/>
    <w:rsid w:val="0018188A"/>
    <w:rsid w:val="001832A6"/>
    <w:rsid w:val="001B6C60"/>
    <w:rsid w:val="002055CF"/>
    <w:rsid w:val="002314D8"/>
    <w:rsid w:val="002634C4"/>
    <w:rsid w:val="00281F22"/>
    <w:rsid w:val="002928D3"/>
    <w:rsid w:val="002C11DD"/>
    <w:rsid w:val="002F1FE6"/>
    <w:rsid w:val="002F4E68"/>
    <w:rsid w:val="00312F7F"/>
    <w:rsid w:val="00330CDE"/>
    <w:rsid w:val="00361450"/>
    <w:rsid w:val="003673CF"/>
    <w:rsid w:val="003845C1"/>
    <w:rsid w:val="00392AF5"/>
    <w:rsid w:val="003A6F89"/>
    <w:rsid w:val="003B38C1"/>
    <w:rsid w:val="003F76B9"/>
    <w:rsid w:val="00423E3E"/>
    <w:rsid w:val="0042513C"/>
    <w:rsid w:val="00427AF4"/>
    <w:rsid w:val="004647DA"/>
    <w:rsid w:val="00474062"/>
    <w:rsid w:val="00477D6B"/>
    <w:rsid w:val="004830C8"/>
    <w:rsid w:val="005019FF"/>
    <w:rsid w:val="0052478E"/>
    <w:rsid w:val="0053057A"/>
    <w:rsid w:val="005552F0"/>
    <w:rsid w:val="00560A29"/>
    <w:rsid w:val="005914B9"/>
    <w:rsid w:val="00595E06"/>
    <w:rsid w:val="005C6649"/>
    <w:rsid w:val="005E12CC"/>
    <w:rsid w:val="00605827"/>
    <w:rsid w:val="00627D75"/>
    <w:rsid w:val="00646050"/>
    <w:rsid w:val="006713CA"/>
    <w:rsid w:val="00676C5C"/>
    <w:rsid w:val="0068556A"/>
    <w:rsid w:val="006F7AD1"/>
    <w:rsid w:val="0073123E"/>
    <w:rsid w:val="00731B8B"/>
    <w:rsid w:val="00764649"/>
    <w:rsid w:val="007B6316"/>
    <w:rsid w:val="007C5C3C"/>
    <w:rsid w:val="007D1613"/>
    <w:rsid w:val="00802981"/>
    <w:rsid w:val="00843B77"/>
    <w:rsid w:val="008765C4"/>
    <w:rsid w:val="00890E4A"/>
    <w:rsid w:val="0089595A"/>
    <w:rsid w:val="008B2CC1"/>
    <w:rsid w:val="008B60B2"/>
    <w:rsid w:val="0090731E"/>
    <w:rsid w:val="00916EE2"/>
    <w:rsid w:val="00966A22"/>
    <w:rsid w:val="0096722F"/>
    <w:rsid w:val="00980843"/>
    <w:rsid w:val="009B27CD"/>
    <w:rsid w:val="009E2791"/>
    <w:rsid w:val="009E3F6F"/>
    <w:rsid w:val="009F499F"/>
    <w:rsid w:val="00A2135C"/>
    <w:rsid w:val="00A42DAF"/>
    <w:rsid w:val="00A45BD8"/>
    <w:rsid w:val="00A869B7"/>
    <w:rsid w:val="00AA380D"/>
    <w:rsid w:val="00AC205C"/>
    <w:rsid w:val="00AE3ABB"/>
    <w:rsid w:val="00AF0A6B"/>
    <w:rsid w:val="00B05A69"/>
    <w:rsid w:val="00B9734B"/>
    <w:rsid w:val="00B97571"/>
    <w:rsid w:val="00BF5A8C"/>
    <w:rsid w:val="00C107AB"/>
    <w:rsid w:val="00C11BFE"/>
    <w:rsid w:val="00C35D7C"/>
    <w:rsid w:val="00C429D2"/>
    <w:rsid w:val="00C525C3"/>
    <w:rsid w:val="00C80A22"/>
    <w:rsid w:val="00C947B0"/>
    <w:rsid w:val="00D05FDE"/>
    <w:rsid w:val="00D17963"/>
    <w:rsid w:val="00D45252"/>
    <w:rsid w:val="00D541B0"/>
    <w:rsid w:val="00D71B4D"/>
    <w:rsid w:val="00D93D55"/>
    <w:rsid w:val="00DF7E34"/>
    <w:rsid w:val="00E11F27"/>
    <w:rsid w:val="00E144E2"/>
    <w:rsid w:val="00E335FE"/>
    <w:rsid w:val="00E60F25"/>
    <w:rsid w:val="00EB2539"/>
    <w:rsid w:val="00EC4E49"/>
    <w:rsid w:val="00ED77FB"/>
    <w:rsid w:val="00EE45FA"/>
    <w:rsid w:val="00F66152"/>
    <w:rsid w:val="00F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C5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C3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C5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C3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VIP%203%20PM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089F-46BA-4852-8493-E35E4762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VIP 3 PM (E)</Template>
  <TotalTime>58</TotalTime>
  <Pages>2</Pages>
  <Words>591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VIP/3/PM</vt:lpstr>
      <vt:lpstr>VIP/3/PM</vt:lpstr>
    </vt:vector>
  </TitlesOfParts>
  <Company>WIPO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VIP/3/PM</dc:title>
  <dc:creator>HAPPY-DUMAS Juliet</dc:creator>
  <cp:keywords>ST/cp</cp:keywords>
  <cp:lastModifiedBy>HAPPY-DUMAS Juliet</cp:lastModifiedBy>
  <cp:revision>12</cp:revision>
  <cp:lastPrinted>2013-05-07T07:54:00Z</cp:lastPrinted>
  <dcterms:created xsi:type="dcterms:W3CDTF">2013-04-29T12:08:00Z</dcterms:created>
  <dcterms:modified xsi:type="dcterms:W3CDTF">2013-05-07T07:54:00Z</dcterms:modified>
</cp:coreProperties>
</file>