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F65D" w14:textId="77777777" w:rsidR="008B2CC1" w:rsidRPr="007F14B7" w:rsidRDefault="00DB0349" w:rsidP="00DB0349">
      <w:pPr>
        <w:spacing w:after="120"/>
        <w:jc w:val="right"/>
        <w:rPr>
          <w:lang w:val="fr-FR"/>
        </w:rPr>
      </w:pPr>
      <w:r w:rsidRPr="007F14B7">
        <w:rPr>
          <w:noProof/>
          <w:lang w:val="fr-FR" w:eastAsia="en-US"/>
        </w:rPr>
        <w:drawing>
          <wp:inline distT="0" distB="0" distL="0" distR="0" wp14:anchorId="3D2B5792" wp14:editId="7FD7E3C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F14B7">
        <w:rPr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A5D506F" wp14:editId="1849E83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1AB55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CB904EF" w14:textId="77777777" w:rsidR="008B2CC1" w:rsidRPr="007F14B7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F14B7">
        <w:rPr>
          <w:rFonts w:ascii="Arial Black" w:hAnsi="Arial Black"/>
          <w:caps/>
          <w:sz w:val="15"/>
          <w:szCs w:val="15"/>
          <w:lang w:val="fr-FR"/>
        </w:rPr>
        <w:t>SCCR/</w:t>
      </w:r>
      <w:r w:rsidR="00D8575A" w:rsidRPr="007F14B7">
        <w:rPr>
          <w:rFonts w:ascii="Arial Black" w:hAnsi="Arial Black"/>
          <w:caps/>
          <w:sz w:val="15"/>
          <w:szCs w:val="15"/>
          <w:lang w:val="fr-FR"/>
        </w:rPr>
        <w:t>44</w:t>
      </w:r>
      <w:r w:rsidR="00D55C00" w:rsidRPr="007F14B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5D6774" w:rsidRPr="007F14B7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20FF12AE" w14:textId="3BC3C31B" w:rsidR="008B2CC1" w:rsidRPr="007F14B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F14B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21E45" w:rsidRPr="007F14B7">
        <w:rPr>
          <w:rFonts w:ascii="Arial Black" w:hAnsi="Arial Black"/>
          <w:caps/>
          <w:sz w:val="15"/>
          <w:szCs w:val="15"/>
          <w:lang w:val="fr-FR"/>
        </w:rPr>
        <w:t> :</w:t>
      </w:r>
      <w:r w:rsidRPr="007F14B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D6774" w:rsidRPr="007F14B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47C5D1F" w14:textId="4C00B975" w:rsidR="008B2CC1" w:rsidRPr="007F14B7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F14B7">
        <w:rPr>
          <w:rFonts w:ascii="Arial Black" w:hAnsi="Arial Black"/>
          <w:caps/>
          <w:sz w:val="15"/>
          <w:szCs w:val="15"/>
          <w:lang w:val="fr-FR"/>
        </w:rPr>
        <w:t>date</w:t>
      </w:r>
      <w:r w:rsidR="00321E45" w:rsidRPr="007F14B7">
        <w:rPr>
          <w:rFonts w:ascii="Arial Black" w:hAnsi="Arial Black"/>
          <w:caps/>
          <w:sz w:val="15"/>
          <w:szCs w:val="15"/>
          <w:lang w:val="fr-FR"/>
        </w:rPr>
        <w:t> :</w:t>
      </w:r>
      <w:r w:rsidRPr="007F14B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321E45" w:rsidRPr="007F14B7">
        <w:rPr>
          <w:rFonts w:ascii="Arial Black" w:hAnsi="Arial Black"/>
          <w:caps/>
          <w:sz w:val="15"/>
          <w:szCs w:val="15"/>
          <w:lang w:val="fr-FR"/>
        </w:rPr>
        <w:t>6 septembre 20</w:t>
      </w:r>
      <w:r w:rsidR="005D6774" w:rsidRPr="007F14B7">
        <w:rPr>
          <w:rFonts w:ascii="Arial Black" w:hAnsi="Arial Black"/>
          <w:caps/>
          <w:sz w:val="15"/>
          <w:szCs w:val="15"/>
          <w:lang w:val="fr-FR"/>
        </w:rPr>
        <w:t>23</w:t>
      </w:r>
    </w:p>
    <w:bookmarkEnd w:id="2"/>
    <w:p w14:paraId="620D6C24" w14:textId="7A8A1253" w:rsidR="00C40E15" w:rsidRPr="007F14B7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7F14B7">
        <w:rPr>
          <w:b/>
          <w:sz w:val="28"/>
          <w:szCs w:val="28"/>
          <w:lang w:val="fr-FR"/>
        </w:rPr>
        <w:t>Comité permanent du droit d</w:t>
      </w:r>
      <w:r w:rsidR="00321E45" w:rsidRPr="007F14B7">
        <w:rPr>
          <w:b/>
          <w:sz w:val="28"/>
          <w:szCs w:val="28"/>
          <w:lang w:val="fr-FR"/>
        </w:rPr>
        <w:t>’</w:t>
      </w:r>
      <w:r w:rsidRPr="007F14B7">
        <w:rPr>
          <w:b/>
          <w:sz w:val="28"/>
          <w:szCs w:val="28"/>
          <w:lang w:val="fr-FR"/>
        </w:rPr>
        <w:t>auteur et des droits connexes</w:t>
      </w:r>
    </w:p>
    <w:p w14:paraId="37FA80EA" w14:textId="4A0DFA56" w:rsidR="008B2CC1" w:rsidRPr="007F14B7" w:rsidRDefault="00D55C00" w:rsidP="008B2CC1">
      <w:pPr>
        <w:rPr>
          <w:b/>
          <w:sz w:val="24"/>
          <w:szCs w:val="24"/>
          <w:lang w:val="fr-FR"/>
        </w:rPr>
      </w:pPr>
      <w:r w:rsidRPr="007F14B7">
        <w:rPr>
          <w:b/>
          <w:sz w:val="24"/>
          <w:szCs w:val="24"/>
          <w:lang w:val="fr-FR"/>
        </w:rPr>
        <w:t>Quarante</w:t>
      </w:r>
      <w:r w:rsidR="003608C1">
        <w:rPr>
          <w:b/>
          <w:sz w:val="24"/>
          <w:szCs w:val="24"/>
          <w:lang w:val="fr-FR"/>
        </w:rPr>
        <w:noBreakHyphen/>
      </w:r>
      <w:r w:rsidR="00D8575A" w:rsidRPr="007F14B7">
        <w:rPr>
          <w:b/>
          <w:sz w:val="24"/>
          <w:szCs w:val="24"/>
          <w:lang w:val="fr-FR"/>
        </w:rPr>
        <w:t>quatr</w:t>
      </w:r>
      <w:r w:rsidR="00321E45" w:rsidRPr="007F14B7">
        <w:rPr>
          <w:b/>
          <w:sz w:val="24"/>
          <w:szCs w:val="24"/>
          <w:lang w:val="fr-FR"/>
        </w:rPr>
        <w:t>ième session</w:t>
      </w:r>
    </w:p>
    <w:p w14:paraId="203050B3" w14:textId="7363F377" w:rsidR="008B2CC1" w:rsidRPr="007F14B7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7F14B7">
        <w:rPr>
          <w:b/>
          <w:sz w:val="24"/>
          <w:szCs w:val="24"/>
          <w:lang w:val="fr-FR"/>
        </w:rPr>
        <w:t xml:space="preserve">Genève, </w:t>
      </w:r>
      <w:r w:rsidR="00D8575A" w:rsidRPr="007F14B7">
        <w:rPr>
          <w:b/>
          <w:sz w:val="24"/>
          <w:szCs w:val="24"/>
          <w:lang w:val="fr-FR"/>
        </w:rPr>
        <w:t xml:space="preserve">6 </w:t>
      </w:r>
      <w:r w:rsidR="00456117" w:rsidRPr="007F14B7">
        <w:rPr>
          <w:b/>
          <w:sz w:val="24"/>
          <w:szCs w:val="24"/>
          <w:lang w:val="fr-FR"/>
        </w:rPr>
        <w:t xml:space="preserve">– </w:t>
      </w:r>
      <w:r w:rsidR="00D8575A" w:rsidRPr="007F14B7">
        <w:rPr>
          <w:b/>
          <w:sz w:val="24"/>
          <w:szCs w:val="24"/>
          <w:lang w:val="fr-FR"/>
        </w:rPr>
        <w:t>8 </w:t>
      </w:r>
      <w:r w:rsidR="00321E45" w:rsidRPr="007F14B7">
        <w:rPr>
          <w:b/>
          <w:sz w:val="24"/>
          <w:szCs w:val="24"/>
          <w:lang w:val="fr-FR"/>
        </w:rPr>
        <w:t>novembre 20</w:t>
      </w:r>
      <w:r w:rsidR="00456117" w:rsidRPr="007F14B7">
        <w:rPr>
          <w:b/>
          <w:sz w:val="24"/>
          <w:szCs w:val="24"/>
          <w:lang w:val="fr-FR"/>
        </w:rPr>
        <w:t>23</w:t>
      </w:r>
    </w:p>
    <w:p w14:paraId="7894A5A3" w14:textId="4AB65FD2" w:rsidR="008B2CC1" w:rsidRPr="007F14B7" w:rsidRDefault="005D6774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7F14B7">
        <w:rPr>
          <w:caps/>
          <w:sz w:val="24"/>
          <w:lang w:val="fr-FR"/>
        </w:rPr>
        <w:t>Accréditation d</w:t>
      </w:r>
      <w:r w:rsidR="00321E45" w:rsidRPr="007F14B7">
        <w:rPr>
          <w:caps/>
          <w:sz w:val="24"/>
          <w:lang w:val="fr-FR"/>
        </w:rPr>
        <w:t>’</w:t>
      </w:r>
      <w:r w:rsidRPr="007F14B7">
        <w:rPr>
          <w:caps/>
          <w:sz w:val="24"/>
          <w:lang w:val="fr-FR"/>
        </w:rPr>
        <w:t>organisations non gouvernementales</w:t>
      </w:r>
    </w:p>
    <w:p w14:paraId="79A34A68" w14:textId="77777777" w:rsidR="00525B63" w:rsidRPr="007F14B7" w:rsidRDefault="005D6774" w:rsidP="00DB0349">
      <w:pPr>
        <w:spacing w:after="960"/>
        <w:rPr>
          <w:i/>
          <w:lang w:val="fr-FR"/>
        </w:rPr>
      </w:pPr>
      <w:bookmarkStart w:id="4" w:name="Prepared"/>
      <w:bookmarkEnd w:id="3"/>
      <w:r w:rsidRPr="007F14B7">
        <w:rPr>
          <w:i/>
          <w:lang w:val="fr-FR"/>
        </w:rPr>
        <w:t>Document établi par le Secrétariat</w:t>
      </w:r>
    </w:p>
    <w:bookmarkEnd w:id="4"/>
    <w:p w14:paraId="086A8314" w14:textId="50476108" w:rsidR="005D6774" w:rsidRPr="007F14B7" w:rsidRDefault="005D6774" w:rsidP="000C0FBD">
      <w:pPr>
        <w:pStyle w:val="ONUMFS"/>
        <w:rPr>
          <w:i/>
          <w:szCs w:val="22"/>
          <w:lang w:val="fr-FR"/>
        </w:rPr>
      </w:pPr>
      <w:r w:rsidRPr="007F14B7">
        <w:rPr>
          <w:szCs w:val="22"/>
          <w:lang w:val="fr-FR"/>
        </w:rPr>
        <w:t>Les annexes du présent document contiennent des informations relatives à des organisations non gouvernementales ayant demandé le statut d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>observateur pour les sessions du Comité permanent du droit d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 xml:space="preserve">auteur et des droits connexes (SCCR), conformément au règlement intérieur dudit comité (voir le </w:t>
      </w:r>
      <w:r w:rsidR="002809B7" w:rsidRPr="007F14B7">
        <w:rPr>
          <w:szCs w:val="22"/>
          <w:lang w:val="fr-FR"/>
        </w:rPr>
        <w:t>paragraphe 1</w:t>
      </w:r>
      <w:r w:rsidRPr="007F14B7">
        <w:rPr>
          <w:szCs w:val="22"/>
          <w:lang w:val="fr-FR"/>
        </w:rPr>
        <w:t>0 du document SCCR/1/2).</w:t>
      </w:r>
    </w:p>
    <w:p w14:paraId="79333D26" w14:textId="77777777" w:rsidR="005D6774" w:rsidRPr="007F14B7" w:rsidRDefault="006337AF" w:rsidP="000C0FBD">
      <w:pPr>
        <w:pStyle w:val="ONUMFS"/>
        <w:ind w:left="5533"/>
        <w:rPr>
          <w:i/>
          <w:szCs w:val="22"/>
          <w:lang w:val="fr-FR"/>
        </w:rPr>
      </w:pPr>
      <w:r w:rsidRPr="007F14B7">
        <w:rPr>
          <w:i/>
          <w:szCs w:val="22"/>
          <w:lang w:val="fr-FR"/>
        </w:rPr>
        <w:t>Le SCCR est invité à approuver </w:t>
      </w:r>
      <w:r w:rsidR="005D6774" w:rsidRPr="007F14B7">
        <w:rPr>
          <w:i/>
          <w:szCs w:val="22"/>
          <w:lang w:val="fr-FR"/>
        </w:rPr>
        <w:t xml:space="preserve">la représentation aux sessions </w:t>
      </w:r>
      <w:r w:rsidRPr="007F14B7">
        <w:rPr>
          <w:i/>
          <w:szCs w:val="22"/>
          <w:lang w:val="fr-FR"/>
        </w:rPr>
        <w:t>du comité des organisations non </w:t>
      </w:r>
      <w:r w:rsidR="005D6774" w:rsidRPr="007F14B7">
        <w:rPr>
          <w:i/>
          <w:szCs w:val="22"/>
          <w:lang w:val="fr-FR"/>
        </w:rPr>
        <w:t>gouvernementales indiquées dans les annexes du présent document.</w:t>
      </w:r>
    </w:p>
    <w:p w14:paraId="3DBDE56C" w14:textId="77777777" w:rsidR="005D6774" w:rsidRPr="007F14B7" w:rsidRDefault="005D6774" w:rsidP="000C0FBD">
      <w:pPr>
        <w:pStyle w:val="Endofdocument-Annex"/>
        <w:rPr>
          <w:szCs w:val="22"/>
        </w:rPr>
      </w:pPr>
      <w:r w:rsidRPr="007F14B7">
        <w:rPr>
          <w:szCs w:val="22"/>
        </w:rPr>
        <w:t>[Les annexes suivent]</w:t>
      </w:r>
    </w:p>
    <w:p w14:paraId="39173B93" w14:textId="77777777" w:rsidR="005D6774" w:rsidRPr="007F14B7" w:rsidRDefault="005D6774" w:rsidP="005D6774">
      <w:pPr>
        <w:rPr>
          <w:szCs w:val="22"/>
          <w:lang w:val="fr-FR"/>
        </w:rPr>
      </w:pPr>
      <w:r w:rsidRPr="007F14B7">
        <w:rPr>
          <w:szCs w:val="22"/>
          <w:lang w:val="fr-FR"/>
        </w:rPr>
        <w:br w:type="page"/>
      </w:r>
    </w:p>
    <w:p w14:paraId="4B5539FD" w14:textId="73F5F614" w:rsidR="005D6774" w:rsidRPr="007F14B7" w:rsidRDefault="006337AF" w:rsidP="006337AF">
      <w:pPr>
        <w:pStyle w:val="Heading2"/>
        <w:spacing w:after="240"/>
        <w:rPr>
          <w:lang w:val="fr-FR"/>
        </w:rPr>
      </w:pPr>
      <w:r w:rsidRPr="007F14B7">
        <w:rPr>
          <w:lang w:val="fr-FR"/>
        </w:rPr>
        <w:lastRenderedPageBreak/>
        <w:t>Organisations non gouvernementales ayant demandé à être représentées en qualité d</w:t>
      </w:r>
      <w:r w:rsidR="00321E45" w:rsidRPr="007F14B7">
        <w:rPr>
          <w:lang w:val="fr-FR"/>
        </w:rPr>
        <w:t>’</w:t>
      </w:r>
      <w:r w:rsidRPr="007F14B7">
        <w:rPr>
          <w:lang w:val="fr-FR"/>
        </w:rPr>
        <w:t xml:space="preserve">observatrices aux sessions du </w:t>
      </w:r>
      <w:r w:rsidR="00A00255" w:rsidRPr="007F14B7">
        <w:rPr>
          <w:lang w:val="fr-FR"/>
        </w:rPr>
        <w:t>Comité</w:t>
      </w:r>
      <w:r w:rsidRPr="007F14B7">
        <w:rPr>
          <w:lang w:val="fr-FR"/>
        </w:rPr>
        <w:t xml:space="preserve"> permanent du droit d</w:t>
      </w:r>
      <w:r w:rsidR="00321E45" w:rsidRPr="007F14B7">
        <w:rPr>
          <w:lang w:val="fr-FR"/>
        </w:rPr>
        <w:t>’</w:t>
      </w:r>
      <w:r w:rsidRPr="007F14B7">
        <w:rPr>
          <w:lang w:val="fr-FR"/>
        </w:rPr>
        <w:t>auteur et des droits connexes (SCCR)</w:t>
      </w:r>
    </w:p>
    <w:p w14:paraId="1F9E729B" w14:textId="257A4FBC" w:rsidR="00D8575A" w:rsidRPr="007F14B7" w:rsidRDefault="00D8575A" w:rsidP="003608C1">
      <w:pPr>
        <w:spacing w:after="220"/>
        <w:rPr>
          <w:bCs/>
          <w:i/>
          <w:szCs w:val="26"/>
          <w:lang w:val="fr-FR"/>
        </w:rPr>
      </w:pPr>
      <w:r w:rsidRPr="007F14B7">
        <w:rPr>
          <w:bCs/>
          <w:i/>
          <w:szCs w:val="26"/>
          <w:lang w:val="fr-FR"/>
        </w:rPr>
        <w:t>Kazakhstan Authors</w:t>
      </w:r>
      <w:r w:rsidR="00321E45" w:rsidRPr="007F14B7">
        <w:rPr>
          <w:bCs/>
          <w:i/>
          <w:szCs w:val="26"/>
          <w:lang w:val="fr-FR"/>
        </w:rPr>
        <w:t>’</w:t>
      </w:r>
      <w:r w:rsidRPr="007F14B7">
        <w:rPr>
          <w:bCs/>
          <w:i/>
          <w:szCs w:val="26"/>
          <w:lang w:val="fr-FR"/>
        </w:rPr>
        <w:t xml:space="preserve"> Society (KazAK)</w:t>
      </w:r>
    </w:p>
    <w:p w14:paraId="2D193097" w14:textId="45C7E38F" w:rsidR="00D8575A" w:rsidRPr="007F14B7" w:rsidRDefault="001F1E50" w:rsidP="003608C1">
      <w:pPr>
        <w:spacing w:after="220"/>
        <w:rPr>
          <w:szCs w:val="22"/>
          <w:lang w:val="fr-FR"/>
        </w:rPr>
      </w:pPr>
      <w:r w:rsidRPr="007F14B7">
        <w:rPr>
          <w:szCs w:val="22"/>
          <w:lang w:val="fr-FR"/>
        </w:rPr>
        <w:t xml:space="preserve">Créée </w:t>
      </w:r>
      <w:r w:rsidR="00321E45" w:rsidRPr="007F14B7">
        <w:rPr>
          <w:szCs w:val="22"/>
          <w:lang w:val="fr-FR"/>
        </w:rPr>
        <w:t>en 1997</w:t>
      </w:r>
      <w:r w:rsidRPr="007F14B7">
        <w:rPr>
          <w:szCs w:val="22"/>
          <w:lang w:val="fr-FR"/>
        </w:rPr>
        <w:t>, la Kazakhstan Authors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 xml:space="preserve"> Society </w:t>
      </w:r>
      <w:r w:rsidR="00731996" w:rsidRPr="007F14B7">
        <w:rPr>
          <w:szCs w:val="22"/>
          <w:lang w:val="fr-FR"/>
        </w:rPr>
        <w:t xml:space="preserve">(KazAK) </w:t>
      </w:r>
      <w:r w:rsidRPr="007F14B7">
        <w:rPr>
          <w:szCs w:val="22"/>
          <w:lang w:val="fr-FR"/>
        </w:rPr>
        <w:t>est la plus ancienne organisation de gestion collective du Kazakhst</w:t>
      </w:r>
      <w:r w:rsidR="007F14B7" w:rsidRPr="007F14B7">
        <w:rPr>
          <w:szCs w:val="22"/>
          <w:lang w:val="fr-FR"/>
        </w:rPr>
        <w:t>an.  La</w:t>
      </w:r>
      <w:r w:rsidRPr="007F14B7">
        <w:rPr>
          <w:szCs w:val="22"/>
          <w:lang w:val="fr-FR"/>
        </w:rPr>
        <w:t xml:space="preserve"> société compte plus de </w:t>
      </w:r>
      <w:r w:rsidR="00A00255" w:rsidRPr="007F14B7">
        <w:rPr>
          <w:szCs w:val="22"/>
          <w:lang w:val="fr-FR"/>
        </w:rPr>
        <w:t>5690</w:t>
      </w:r>
      <w:r w:rsidR="0076233A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membres nationaux et représente plus de 4</w:t>
      </w:r>
      <w:r w:rsidR="00A0025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000</w:t>
      </w:r>
      <w:r w:rsidR="00A0025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000 d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>auteurs et de titulaires de droits d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>auteur étrange</w:t>
      </w:r>
      <w:r w:rsidR="007F14B7" w:rsidRPr="007F14B7">
        <w:rPr>
          <w:szCs w:val="22"/>
          <w:lang w:val="fr-FR"/>
        </w:rPr>
        <w:t>rs.  El</w:t>
      </w:r>
      <w:r w:rsidRPr="007F14B7">
        <w:rPr>
          <w:szCs w:val="22"/>
          <w:lang w:val="fr-FR"/>
        </w:rPr>
        <w:t>le a conclu plus de 80</w:t>
      </w:r>
      <w:r w:rsidR="0076233A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accords bilatéraux avec des sociétés sœurs du monde enti</w:t>
      </w:r>
      <w:r w:rsidR="007F14B7" w:rsidRPr="007F14B7">
        <w:rPr>
          <w:szCs w:val="22"/>
          <w:lang w:val="fr-FR"/>
        </w:rPr>
        <w:t>er.  La</w:t>
      </w:r>
      <w:r w:rsidRPr="007F14B7">
        <w:rPr>
          <w:szCs w:val="22"/>
          <w:lang w:val="fr-FR"/>
        </w:rPr>
        <w:t xml:space="preserve"> KazAK est</w:t>
      </w:r>
      <w:r w:rsidR="004022C6" w:rsidRPr="007F14B7">
        <w:rPr>
          <w:szCs w:val="22"/>
          <w:lang w:val="fr-FR"/>
        </w:rPr>
        <w:t xml:space="preserve"> membre de</w:t>
      </w:r>
      <w:r w:rsidR="00321E45" w:rsidRPr="007F14B7">
        <w:rPr>
          <w:szCs w:val="22"/>
          <w:lang w:val="fr-FR"/>
        </w:rPr>
        <w:t xml:space="preserve"> la CIS</w:t>
      </w:r>
      <w:r w:rsidR="004022C6" w:rsidRPr="007F14B7">
        <w:rPr>
          <w:szCs w:val="22"/>
          <w:lang w:val="fr-FR"/>
        </w:rPr>
        <w:t xml:space="preserve">AC </w:t>
      </w:r>
      <w:r w:rsidR="00321E45" w:rsidRPr="007F14B7">
        <w:rPr>
          <w:szCs w:val="22"/>
          <w:lang w:val="fr-FR"/>
        </w:rPr>
        <w:t>depuis 1999</w:t>
      </w:r>
      <w:r w:rsidR="004022C6" w:rsidRPr="007F14B7">
        <w:rPr>
          <w:szCs w:val="22"/>
          <w:lang w:val="fr-FR"/>
        </w:rPr>
        <w:t>.</w:t>
      </w:r>
    </w:p>
    <w:p w14:paraId="12FEC523" w14:textId="21571B89" w:rsidR="00321E45" w:rsidRPr="007F14B7" w:rsidRDefault="004022C6" w:rsidP="003608C1">
      <w:pPr>
        <w:spacing w:after="220"/>
        <w:rPr>
          <w:szCs w:val="22"/>
          <w:lang w:val="fr-FR"/>
        </w:rPr>
      </w:pPr>
      <w:r w:rsidRPr="007F14B7">
        <w:rPr>
          <w:szCs w:val="22"/>
          <w:lang w:val="fr-FR"/>
        </w:rPr>
        <w:t>Fondée sur le principe de l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>adhésion volontaire et de l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 xml:space="preserve">égalité des membres, </w:t>
      </w:r>
      <w:r w:rsidR="00731996" w:rsidRPr="007F14B7">
        <w:rPr>
          <w:szCs w:val="22"/>
          <w:lang w:val="fr-FR"/>
        </w:rPr>
        <w:t xml:space="preserve">la </w:t>
      </w:r>
      <w:r w:rsidRPr="007F14B7">
        <w:rPr>
          <w:szCs w:val="22"/>
          <w:lang w:val="fr-FR"/>
        </w:rPr>
        <w:t xml:space="preserve">KazAK est une organisation à but non lucratif qui gère les droits </w:t>
      </w:r>
      <w:r w:rsidR="00165A3C" w:rsidRPr="007F14B7">
        <w:rPr>
          <w:szCs w:val="22"/>
          <w:lang w:val="fr-FR"/>
        </w:rPr>
        <w:t xml:space="preserve">patrimoniaux </w:t>
      </w:r>
      <w:r w:rsidRPr="007F14B7">
        <w:rPr>
          <w:szCs w:val="22"/>
          <w:lang w:val="fr-FR"/>
        </w:rPr>
        <w:t xml:space="preserve">et </w:t>
      </w:r>
      <w:r w:rsidR="00165A3C" w:rsidRPr="007F14B7">
        <w:rPr>
          <w:szCs w:val="22"/>
          <w:lang w:val="fr-FR"/>
        </w:rPr>
        <w:t xml:space="preserve">le droit moral </w:t>
      </w:r>
      <w:r w:rsidRPr="007F14B7">
        <w:rPr>
          <w:szCs w:val="22"/>
          <w:lang w:val="fr-FR"/>
        </w:rPr>
        <w:t xml:space="preserve">de ses membres de manière collective, conformément à la législation nationale applicable en </w:t>
      </w:r>
      <w:r w:rsidR="00731996" w:rsidRPr="007F14B7">
        <w:rPr>
          <w:szCs w:val="22"/>
          <w:lang w:val="fr-FR"/>
        </w:rPr>
        <w:t>sa qualité d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>organisation de gestion collective accréditée jusqu</w:t>
      </w:r>
      <w:r w:rsidR="00321E45" w:rsidRPr="007F14B7">
        <w:rPr>
          <w:szCs w:val="22"/>
          <w:lang w:val="fr-FR"/>
        </w:rPr>
        <w:t>’en 2025</w:t>
      </w:r>
      <w:r w:rsidRPr="007F14B7">
        <w:rPr>
          <w:szCs w:val="22"/>
          <w:lang w:val="fr-FR"/>
        </w:rPr>
        <w:t>.</w:t>
      </w:r>
    </w:p>
    <w:p w14:paraId="53834654" w14:textId="77777777" w:rsidR="005D6774" w:rsidRPr="007F14B7" w:rsidRDefault="005D6774" w:rsidP="003608C1">
      <w:pPr>
        <w:spacing w:before="480" w:after="220" w:line="240" w:lineRule="atLeast"/>
        <w:rPr>
          <w:i/>
          <w:szCs w:val="22"/>
          <w:lang w:val="fr-FR"/>
        </w:rPr>
      </w:pPr>
      <w:r w:rsidRPr="007F14B7">
        <w:rPr>
          <w:i/>
          <w:szCs w:val="22"/>
          <w:lang w:val="fr-FR"/>
        </w:rPr>
        <w:t>Coordonnées complètes</w:t>
      </w:r>
    </w:p>
    <w:p w14:paraId="6E2DF175" w14:textId="3B288330" w:rsidR="004022C6" w:rsidRPr="007F14B7" w:rsidRDefault="004022C6" w:rsidP="003608C1">
      <w:pPr>
        <w:pStyle w:val="EndnoteText"/>
        <w:spacing w:after="220"/>
        <w:rPr>
          <w:sz w:val="22"/>
          <w:szCs w:val="22"/>
          <w:lang w:val="fr-FR"/>
        </w:rPr>
      </w:pPr>
      <w:r w:rsidRPr="007F14B7">
        <w:rPr>
          <w:sz w:val="22"/>
          <w:szCs w:val="22"/>
          <w:lang w:val="fr-FR"/>
        </w:rPr>
        <w:t>Mme</w:t>
      </w:r>
      <w:r w:rsidR="00A00255" w:rsidRPr="007F14B7">
        <w:rPr>
          <w:sz w:val="22"/>
          <w:szCs w:val="22"/>
          <w:lang w:val="fr-FR"/>
        </w:rPr>
        <w:t> </w:t>
      </w:r>
      <w:r w:rsidRPr="007F14B7">
        <w:rPr>
          <w:sz w:val="22"/>
          <w:szCs w:val="22"/>
          <w:lang w:val="fr-FR"/>
        </w:rPr>
        <w:t>Ainura Yessendikova, directrice générale de la Kazakhstan Authors</w:t>
      </w:r>
      <w:r w:rsidR="00321E45" w:rsidRPr="007F14B7">
        <w:rPr>
          <w:sz w:val="22"/>
          <w:szCs w:val="22"/>
          <w:lang w:val="fr-FR"/>
        </w:rPr>
        <w:t>’</w:t>
      </w:r>
      <w:r w:rsidRPr="007F14B7">
        <w:rPr>
          <w:sz w:val="22"/>
          <w:szCs w:val="22"/>
          <w:lang w:val="fr-FR"/>
        </w:rPr>
        <w:t xml:space="preserve"> Society (KazAK)</w:t>
      </w:r>
    </w:p>
    <w:p w14:paraId="739519C0" w14:textId="425EE62A" w:rsidR="004022C6" w:rsidRPr="007F14B7" w:rsidRDefault="004022C6" w:rsidP="003608C1">
      <w:pPr>
        <w:pStyle w:val="EndnoteText"/>
        <w:spacing w:after="220"/>
        <w:rPr>
          <w:sz w:val="22"/>
          <w:szCs w:val="22"/>
          <w:lang w:val="fr-FR"/>
        </w:rPr>
      </w:pPr>
      <w:r w:rsidRPr="007F14B7">
        <w:rPr>
          <w:sz w:val="22"/>
          <w:szCs w:val="22"/>
          <w:lang w:val="fr-FR"/>
        </w:rPr>
        <w:t>M.</w:t>
      </w:r>
      <w:r w:rsidR="00A00255" w:rsidRPr="007F14B7">
        <w:rPr>
          <w:sz w:val="22"/>
          <w:szCs w:val="22"/>
          <w:lang w:val="fr-FR"/>
        </w:rPr>
        <w:t> </w:t>
      </w:r>
      <w:r w:rsidRPr="007F14B7">
        <w:rPr>
          <w:sz w:val="22"/>
          <w:szCs w:val="22"/>
          <w:lang w:val="fr-FR"/>
        </w:rPr>
        <w:t>Mats Lindberg</w:t>
      </w:r>
      <w:r w:rsidR="00731996" w:rsidRPr="007F14B7">
        <w:rPr>
          <w:sz w:val="22"/>
          <w:szCs w:val="22"/>
          <w:lang w:val="fr-FR"/>
        </w:rPr>
        <w:t>, président</w:t>
      </w:r>
      <w:r w:rsidR="003608C1">
        <w:rPr>
          <w:sz w:val="22"/>
          <w:szCs w:val="22"/>
          <w:lang w:val="fr-FR"/>
        </w:rPr>
        <w:noBreakHyphen/>
      </w:r>
      <w:r w:rsidR="00731996" w:rsidRPr="007F14B7">
        <w:rPr>
          <w:sz w:val="22"/>
          <w:szCs w:val="22"/>
          <w:lang w:val="fr-FR"/>
        </w:rPr>
        <w:t>directeur général de</w:t>
      </w:r>
      <w:r w:rsidRPr="007F14B7">
        <w:rPr>
          <w:sz w:val="22"/>
          <w:szCs w:val="22"/>
          <w:lang w:val="fr-FR"/>
        </w:rPr>
        <w:t xml:space="preserve"> Swedish Copyright Office and Consultants (conseiller principal et principale société de conseil pour le KazAK)</w:t>
      </w:r>
    </w:p>
    <w:p w14:paraId="24D16F08" w14:textId="699F0A6A" w:rsidR="00D8575A" w:rsidRPr="007F14B7" w:rsidRDefault="00D8575A" w:rsidP="00D8575A">
      <w:pPr>
        <w:rPr>
          <w:szCs w:val="22"/>
          <w:lang w:val="fr-FR"/>
        </w:rPr>
      </w:pPr>
      <w:r w:rsidRPr="007F14B7">
        <w:rPr>
          <w:szCs w:val="22"/>
          <w:lang w:val="fr-FR"/>
        </w:rPr>
        <w:t>Kazakhstan Authors</w:t>
      </w:r>
      <w:r w:rsidR="00321E45" w:rsidRPr="007F14B7">
        <w:rPr>
          <w:szCs w:val="22"/>
          <w:lang w:val="fr-FR"/>
        </w:rPr>
        <w:t>’</w:t>
      </w:r>
      <w:r w:rsidRPr="007F14B7">
        <w:rPr>
          <w:szCs w:val="22"/>
          <w:lang w:val="fr-FR"/>
        </w:rPr>
        <w:t xml:space="preserve"> Society (KazAK)</w:t>
      </w:r>
    </w:p>
    <w:p w14:paraId="1618CAD2" w14:textId="77777777" w:rsidR="00321E45" w:rsidRPr="007F14B7" w:rsidRDefault="00D8575A">
      <w:pPr>
        <w:rPr>
          <w:szCs w:val="22"/>
          <w:lang w:val="fr-FR"/>
        </w:rPr>
      </w:pPr>
      <w:r w:rsidRPr="007F14B7">
        <w:rPr>
          <w:szCs w:val="22"/>
          <w:lang w:val="fr-FR"/>
        </w:rPr>
        <w:t>Almaty, Abai Ave., 143/93,</w:t>
      </w:r>
    </w:p>
    <w:p w14:paraId="5967027C" w14:textId="76EAA679" w:rsidR="00D8575A" w:rsidRPr="007F14B7" w:rsidRDefault="00D8575A" w:rsidP="00D8575A">
      <w:pPr>
        <w:spacing w:after="480"/>
        <w:rPr>
          <w:szCs w:val="22"/>
          <w:lang w:val="fr-FR"/>
        </w:rPr>
      </w:pPr>
      <w:r w:rsidRPr="007F14B7">
        <w:rPr>
          <w:szCs w:val="22"/>
          <w:lang w:val="fr-FR"/>
        </w:rPr>
        <w:t>5th floor, office No.</w:t>
      </w:r>
      <w:r w:rsidR="0076233A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500</w:t>
      </w:r>
    </w:p>
    <w:p w14:paraId="5FD73E17" w14:textId="39973474" w:rsidR="005D6774" w:rsidRPr="007F14B7" w:rsidRDefault="005D6774" w:rsidP="005D6774">
      <w:pPr>
        <w:rPr>
          <w:szCs w:val="22"/>
          <w:lang w:val="fr-FR"/>
        </w:rPr>
      </w:pPr>
      <w:r w:rsidRPr="007F14B7">
        <w:rPr>
          <w:szCs w:val="22"/>
          <w:lang w:val="fr-FR"/>
        </w:rPr>
        <w:t>Tél.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+ </w:t>
      </w:r>
      <w:r w:rsidR="00D8575A" w:rsidRPr="007F14B7">
        <w:rPr>
          <w:szCs w:val="22"/>
          <w:lang w:val="fr-FR"/>
        </w:rPr>
        <w:t>8 (727) 355</w:t>
      </w:r>
      <w:r w:rsidR="003608C1">
        <w:rPr>
          <w:szCs w:val="22"/>
          <w:lang w:val="fr-FR"/>
        </w:rPr>
        <w:noBreakHyphen/>
      </w:r>
      <w:r w:rsidR="00D8575A" w:rsidRPr="007F14B7">
        <w:rPr>
          <w:szCs w:val="22"/>
          <w:lang w:val="fr-FR"/>
        </w:rPr>
        <w:t>67</w:t>
      </w:r>
      <w:r w:rsidR="003608C1">
        <w:rPr>
          <w:szCs w:val="22"/>
          <w:lang w:val="fr-FR"/>
        </w:rPr>
        <w:noBreakHyphen/>
      </w:r>
      <w:r w:rsidR="00D8575A" w:rsidRPr="007F14B7">
        <w:rPr>
          <w:szCs w:val="22"/>
          <w:lang w:val="fr-FR"/>
        </w:rPr>
        <w:t>89</w:t>
      </w:r>
    </w:p>
    <w:p w14:paraId="5F75D989" w14:textId="0F2AFC94" w:rsidR="005D6774" w:rsidRPr="007F14B7" w:rsidRDefault="005D6774" w:rsidP="005D6774">
      <w:pPr>
        <w:rPr>
          <w:szCs w:val="22"/>
          <w:lang w:val="fr-FR"/>
        </w:rPr>
      </w:pPr>
      <w:r w:rsidRPr="007F14B7">
        <w:rPr>
          <w:szCs w:val="22"/>
          <w:lang w:val="fr-FR"/>
        </w:rPr>
        <w:t>Mél.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hyperlink r:id="rId8" w:history="1">
        <w:r w:rsidR="00D8575A" w:rsidRPr="007F14B7">
          <w:rPr>
            <w:rStyle w:val="Hyperlink"/>
            <w:lang w:val="fr-FR"/>
          </w:rPr>
          <w:t>a.yessendikova@gmail.com</w:t>
        </w:r>
      </w:hyperlink>
      <w:r w:rsidR="00D8575A" w:rsidRPr="007F14B7">
        <w:rPr>
          <w:lang w:val="fr-FR"/>
        </w:rPr>
        <w:t xml:space="preserve">, </w:t>
      </w:r>
      <w:hyperlink r:id="rId9" w:history="1">
        <w:r w:rsidR="00D8575A" w:rsidRPr="007F14B7">
          <w:rPr>
            <w:rStyle w:val="Hyperlink"/>
            <w:lang w:val="fr-FR"/>
          </w:rPr>
          <w:t>m.lindberg@swedishcopyrightconsulting.se</w:t>
        </w:r>
      </w:hyperlink>
    </w:p>
    <w:p w14:paraId="47274D29" w14:textId="4B082B4F" w:rsidR="005D6774" w:rsidRPr="007F14B7" w:rsidRDefault="005D6774" w:rsidP="000C0FBD">
      <w:pPr>
        <w:spacing w:after="240"/>
        <w:rPr>
          <w:rFonts w:eastAsia="Times New Roman"/>
          <w:color w:val="1155CD"/>
          <w:szCs w:val="22"/>
          <w:lang w:val="fr-FR"/>
        </w:rPr>
      </w:pPr>
      <w:r w:rsidRPr="007F14B7">
        <w:rPr>
          <w:szCs w:val="22"/>
          <w:lang w:val="fr-FR"/>
        </w:rPr>
        <w:t>Site</w:t>
      </w:r>
      <w:r w:rsidR="007802D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Web</w:t>
      </w:r>
      <w:r w:rsidR="002809B7" w:rsidRPr="007F14B7">
        <w:rPr>
          <w:szCs w:val="22"/>
          <w:lang w:val="fr-FR"/>
        </w:rPr>
        <w:t> </w:t>
      </w:r>
      <w:hyperlink r:id="rId10" w:history="1">
        <w:r w:rsidR="00D8575A" w:rsidRPr="007F14B7">
          <w:rPr>
            <w:rStyle w:val="Hyperlink"/>
            <w:lang w:val="fr-FR"/>
          </w:rPr>
          <w:t>http://kazak.kz</w:t>
        </w:r>
      </w:hyperlink>
    </w:p>
    <w:p w14:paraId="49C8096B" w14:textId="0731C851" w:rsidR="005D6774" w:rsidRPr="007F14B7" w:rsidRDefault="005D6774" w:rsidP="000C0FBD">
      <w:pPr>
        <w:pStyle w:val="Endofdocument-Annex"/>
        <w:rPr>
          <w:szCs w:val="22"/>
        </w:rPr>
        <w:sectPr w:rsidR="005D6774" w:rsidRPr="007F14B7" w:rsidSect="00847C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F14B7">
        <w:rPr>
          <w:szCs w:val="22"/>
        </w:rPr>
        <w:t>[L</w:t>
      </w:r>
      <w:r w:rsidR="00321E45" w:rsidRPr="007F14B7">
        <w:rPr>
          <w:szCs w:val="22"/>
        </w:rPr>
        <w:t>’</w:t>
      </w:r>
      <w:r w:rsidR="002809B7" w:rsidRPr="007F14B7">
        <w:rPr>
          <w:szCs w:val="22"/>
        </w:rPr>
        <w:t>annexe I</w:t>
      </w:r>
      <w:r w:rsidRPr="007F14B7">
        <w:rPr>
          <w:szCs w:val="22"/>
        </w:rPr>
        <w:t>I suit]</w:t>
      </w:r>
    </w:p>
    <w:p w14:paraId="1A1E1A73" w14:textId="77777777" w:rsidR="00D8575A" w:rsidRPr="007F14B7" w:rsidRDefault="00D8575A" w:rsidP="00D8575A">
      <w:pPr>
        <w:pStyle w:val="Heading3"/>
        <w:spacing w:before="220" w:after="220"/>
        <w:rPr>
          <w:i/>
          <w:u w:val="none"/>
          <w:lang w:val="fr-FR"/>
        </w:rPr>
      </w:pPr>
      <w:r w:rsidRPr="007F14B7">
        <w:rPr>
          <w:i/>
          <w:u w:val="none"/>
          <w:lang w:val="fr-FR"/>
        </w:rPr>
        <w:lastRenderedPageBreak/>
        <w:t>Association of Entertainment Law (DENAE)</w:t>
      </w:r>
    </w:p>
    <w:p w14:paraId="68890355" w14:textId="65317FB0" w:rsidR="00321E45" w:rsidRPr="007F14B7" w:rsidRDefault="004022C6" w:rsidP="003608C1">
      <w:pPr>
        <w:spacing w:after="220"/>
        <w:rPr>
          <w:bCs/>
          <w:szCs w:val="22"/>
          <w:lang w:val="fr-FR"/>
        </w:rPr>
      </w:pPr>
      <w:r w:rsidRPr="007F14B7">
        <w:rPr>
          <w:bCs/>
          <w:szCs w:val="22"/>
          <w:lang w:val="fr-FR"/>
        </w:rPr>
        <w:t>L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Association of Entertainment Law (</w:t>
      </w:r>
      <w:r w:rsidR="00D8575A" w:rsidRPr="007F14B7">
        <w:rPr>
          <w:bCs/>
          <w:szCs w:val="22"/>
          <w:lang w:val="fr-FR"/>
        </w:rPr>
        <w:t>DENAE</w:t>
      </w:r>
      <w:r w:rsidRPr="007F14B7">
        <w:rPr>
          <w:bCs/>
          <w:szCs w:val="22"/>
          <w:lang w:val="fr-FR"/>
        </w:rPr>
        <w:t xml:space="preserve">) est une association professionnelle à but non lucratif qui encourage </w:t>
      </w:r>
      <w:r w:rsidR="00321E45" w:rsidRPr="007F14B7">
        <w:rPr>
          <w:bCs/>
          <w:szCs w:val="22"/>
          <w:lang w:val="fr-FR"/>
        </w:rPr>
        <w:t>depuis 2009</w:t>
      </w:r>
      <w:r w:rsidRPr="007F14B7">
        <w:rPr>
          <w:bCs/>
          <w:szCs w:val="22"/>
          <w:lang w:val="fr-FR"/>
        </w:rPr>
        <w:t xml:space="preserve"> le développement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activités li</w:t>
      </w:r>
      <w:r w:rsidR="00731996" w:rsidRPr="007F14B7">
        <w:rPr>
          <w:bCs/>
          <w:szCs w:val="22"/>
          <w:lang w:val="fr-FR"/>
        </w:rPr>
        <w:t>ées au droit du divertisseme</w:t>
      </w:r>
      <w:r w:rsidR="007F14B7" w:rsidRPr="007F14B7">
        <w:rPr>
          <w:bCs/>
          <w:szCs w:val="22"/>
          <w:lang w:val="fr-FR"/>
        </w:rPr>
        <w:t>nt.  El</w:t>
      </w:r>
      <w:r w:rsidRPr="007F14B7">
        <w:rPr>
          <w:bCs/>
          <w:szCs w:val="22"/>
          <w:lang w:val="fr-FR"/>
        </w:rPr>
        <w:t xml:space="preserve">le sert également de point de rencontre aux </w:t>
      </w:r>
      <w:r w:rsidR="000A1031" w:rsidRPr="007F14B7">
        <w:rPr>
          <w:bCs/>
          <w:szCs w:val="22"/>
          <w:lang w:val="fr-FR"/>
        </w:rPr>
        <w:t>spécialistes</w:t>
      </w:r>
      <w:r w:rsidRPr="007F14B7">
        <w:rPr>
          <w:bCs/>
          <w:szCs w:val="22"/>
          <w:lang w:val="fr-FR"/>
        </w:rPr>
        <w:t xml:space="preserve"> dans les domaines du droit de la propriété intellectuelle, des nouvelles technologies, de l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audiovisuel et des jeux vidéo, ainsi que dans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autres domaines juridiques liés au divertissement.</w:t>
      </w:r>
    </w:p>
    <w:p w14:paraId="6308BE43" w14:textId="02FA80D2" w:rsidR="004022C6" w:rsidRPr="007F14B7" w:rsidRDefault="004022C6" w:rsidP="003608C1">
      <w:pPr>
        <w:spacing w:after="220"/>
        <w:rPr>
          <w:bCs/>
          <w:szCs w:val="22"/>
          <w:lang w:val="fr-FR"/>
        </w:rPr>
      </w:pPr>
      <w:r w:rsidRPr="007F14B7">
        <w:rPr>
          <w:bCs/>
          <w:szCs w:val="22"/>
          <w:lang w:val="fr-FR"/>
        </w:rPr>
        <w:t>Les plus de 500</w:t>
      </w:r>
      <w:r w:rsidR="0076233A">
        <w:rPr>
          <w:bCs/>
          <w:szCs w:val="22"/>
          <w:lang w:val="fr-FR"/>
        </w:rPr>
        <w:t> </w:t>
      </w:r>
      <w:r w:rsidRPr="007F14B7">
        <w:rPr>
          <w:bCs/>
          <w:szCs w:val="22"/>
          <w:lang w:val="fr-FR"/>
        </w:rPr>
        <w:t>membres de</w:t>
      </w:r>
      <w:r w:rsidR="00321E45" w:rsidRPr="007F14B7">
        <w:rPr>
          <w:bCs/>
          <w:szCs w:val="22"/>
          <w:lang w:val="fr-FR"/>
        </w:rPr>
        <w:t xml:space="preserve"> la DEN</w:t>
      </w:r>
      <w:r w:rsidRPr="007F14B7">
        <w:rPr>
          <w:bCs/>
          <w:szCs w:val="22"/>
          <w:lang w:val="fr-FR"/>
        </w:rPr>
        <w:t>AE exercent dans le secteur privé, notamment dans des maisons de disques, des organismes de radiodiffusion ou des organismes de gestion collective.</w:t>
      </w:r>
    </w:p>
    <w:p w14:paraId="55701E0E" w14:textId="77777777" w:rsidR="005D6774" w:rsidRPr="007F14B7" w:rsidRDefault="005D6774" w:rsidP="003608C1">
      <w:pPr>
        <w:spacing w:before="480" w:after="220" w:line="240" w:lineRule="atLeast"/>
        <w:rPr>
          <w:i/>
          <w:szCs w:val="22"/>
          <w:lang w:val="fr-FR"/>
        </w:rPr>
      </w:pPr>
      <w:r w:rsidRPr="007F14B7">
        <w:rPr>
          <w:i/>
          <w:szCs w:val="22"/>
          <w:lang w:val="fr-FR"/>
        </w:rPr>
        <w:t>Coordonnées complètes</w:t>
      </w:r>
    </w:p>
    <w:p w14:paraId="493DEDAE" w14:textId="38F7143D" w:rsidR="00D8575A" w:rsidRPr="007F14B7" w:rsidRDefault="004022C6" w:rsidP="003608C1">
      <w:pPr>
        <w:spacing w:after="220"/>
        <w:rPr>
          <w:lang w:val="fr-FR"/>
        </w:rPr>
      </w:pPr>
      <w:r w:rsidRPr="007F14B7">
        <w:rPr>
          <w:lang w:val="fr-FR"/>
        </w:rPr>
        <w:t>M</w:t>
      </w:r>
      <w:r w:rsidR="00D8575A" w:rsidRPr="007F14B7">
        <w:rPr>
          <w:lang w:val="fr-FR"/>
        </w:rPr>
        <w:t>.</w:t>
      </w:r>
      <w:r w:rsidR="0076233A">
        <w:rPr>
          <w:lang w:val="fr-FR"/>
        </w:rPr>
        <w:t> </w:t>
      </w:r>
      <w:r w:rsidR="00D8575A" w:rsidRPr="007F14B7">
        <w:rPr>
          <w:lang w:val="fr-FR"/>
        </w:rPr>
        <w:t xml:space="preserve">Miguel Ángel Mata González, </w:t>
      </w:r>
      <w:r w:rsidRPr="007F14B7">
        <w:rPr>
          <w:lang w:val="fr-FR"/>
        </w:rPr>
        <w:t>pré</w:t>
      </w:r>
      <w:r w:rsidR="00D8575A" w:rsidRPr="007F14B7">
        <w:rPr>
          <w:lang w:val="fr-FR"/>
        </w:rPr>
        <w:t>sident</w:t>
      </w:r>
    </w:p>
    <w:p w14:paraId="4C8E6BAB" w14:textId="77777777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Asociación Española de Derecho del Entretenimiento</w:t>
      </w:r>
    </w:p>
    <w:p w14:paraId="0EC56866" w14:textId="77777777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Calle Arrieta, 14, 3º derecha</w:t>
      </w:r>
    </w:p>
    <w:p w14:paraId="4642CC66" w14:textId="77777777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28013 Madrid</w:t>
      </w:r>
    </w:p>
    <w:p w14:paraId="0BA83981" w14:textId="77777777" w:rsidR="00D8575A" w:rsidRPr="007F14B7" w:rsidRDefault="00D8575A" w:rsidP="00D8575A">
      <w:pPr>
        <w:spacing w:after="480"/>
        <w:rPr>
          <w:szCs w:val="22"/>
          <w:lang w:val="fr-FR"/>
        </w:rPr>
      </w:pPr>
      <w:r w:rsidRPr="007F14B7">
        <w:rPr>
          <w:lang w:val="fr-FR"/>
        </w:rPr>
        <w:t>Espa</w:t>
      </w:r>
      <w:r w:rsidR="00837F7A" w:rsidRPr="007F14B7">
        <w:rPr>
          <w:lang w:val="fr-FR"/>
        </w:rPr>
        <w:t>gne</w:t>
      </w:r>
    </w:p>
    <w:p w14:paraId="4FB2B22D" w14:textId="4BDFFE1B" w:rsidR="005D6774" w:rsidRPr="007F14B7" w:rsidRDefault="005D6774" w:rsidP="005D6774">
      <w:pPr>
        <w:rPr>
          <w:color w:val="1155CC"/>
          <w:szCs w:val="22"/>
          <w:u w:val="single"/>
          <w:lang w:val="fr-FR"/>
        </w:rPr>
      </w:pPr>
      <w:r w:rsidRPr="007F14B7">
        <w:rPr>
          <w:szCs w:val="22"/>
          <w:lang w:val="fr-FR"/>
        </w:rPr>
        <w:t>Mél.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hyperlink r:id="rId17" w:history="1">
        <w:r w:rsidR="00D8575A" w:rsidRPr="007F14B7">
          <w:rPr>
            <w:rStyle w:val="Hyperlink"/>
            <w:lang w:val="fr-FR"/>
          </w:rPr>
          <w:t>info@denae.es</w:t>
        </w:r>
      </w:hyperlink>
    </w:p>
    <w:p w14:paraId="3D1F7CDA" w14:textId="68829041" w:rsidR="00321E45" w:rsidRPr="007F14B7" w:rsidRDefault="005D6774" w:rsidP="004022C6">
      <w:pPr>
        <w:rPr>
          <w:szCs w:val="22"/>
          <w:lang w:val="fr-FR"/>
        </w:rPr>
      </w:pPr>
      <w:r w:rsidRPr="007F14B7">
        <w:rPr>
          <w:szCs w:val="22"/>
          <w:lang w:val="fr-FR"/>
        </w:rPr>
        <w:t>Site</w:t>
      </w:r>
      <w:r w:rsidR="00A0025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Web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hyperlink r:id="rId18" w:history="1">
        <w:r w:rsidR="00D8575A" w:rsidRPr="007F14B7">
          <w:rPr>
            <w:rStyle w:val="Hyperlink"/>
            <w:szCs w:val="22"/>
            <w:lang w:val="fr-FR"/>
          </w:rPr>
          <w:t>http://denae.es/</w:t>
        </w:r>
      </w:hyperlink>
    </w:p>
    <w:p w14:paraId="0D7E317E" w14:textId="3A557B2D" w:rsidR="005D6774" w:rsidRPr="007F14B7" w:rsidRDefault="005D6774" w:rsidP="003608C1">
      <w:pPr>
        <w:pStyle w:val="Endofdocument-Annex"/>
        <w:sectPr w:rsidR="005D6774" w:rsidRPr="007F14B7" w:rsidSect="00C25DE9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F14B7">
        <w:t>[L</w:t>
      </w:r>
      <w:r w:rsidR="00321E45" w:rsidRPr="007F14B7">
        <w:t>’</w:t>
      </w:r>
      <w:r w:rsidR="002809B7" w:rsidRPr="007F14B7">
        <w:t>annexe I</w:t>
      </w:r>
      <w:r w:rsidRPr="007F14B7">
        <w:t>II suit]</w:t>
      </w:r>
    </w:p>
    <w:p w14:paraId="7E37C551" w14:textId="77777777" w:rsidR="00321E45" w:rsidRPr="007F14B7" w:rsidRDefault="00D8575A" w:rsidP="00D8575A">
      <w:pPr>
        <w:pStyle w:val="Heading3"/>
        <w:spacing w:before="220" w:after="220"/>
        <w:rPr>
          <w:i/>
          <w:u w:val="none"/>
          <w:lang w:val="fr-FR"/>
        </w:rPr>
      </w:pPr>
      <w:r w:rsidRPr="007F14B7">
        <w:rPr>
          <w:i/>
          <w:u w:val="none"/>
          <w:lang w:val="fr-FR"/>
        </w:rPr>
        <w:lastRenderedPageBreak/>
        <w:t>Canaan Bridges Consulting Inc.</w:t>
      </w:r>
    </w:p>
    <w:p w14:paraId="6CF5F5CA" w14:textId="159602AC" w:rsidR="00321E45" w:rsidRPr="007F14B7" w:rsidRDefault="00837F7A" w:rsidP="009C61A5">
      <w:pPr>
        <w:spacing w:after="220"/>
        <w:rPr>
          <w:bCs/>
          <w:szCs w:val="22"/>
          <w:lang w:val="fr-FR"/>
        </w:rPr>
      </w:pPr>
      <w:r w:rsidRPr="007F14B7">
        <w:rPr>
          <w:bCs/>
          <w:szCs w:val="22"/>
          <w:lang w:val="fr-FR"/>
        </w:rPr>
        <w:t xml:space="preserve">Canaan Bridges Consulting Inc. fournit des solutions en matière de politique de développement aux parties prenantes </w:t>
      </w:r>
      <w:r w:rsidR="00731996" w:rsidRPr="007F14B7">
        <w:rPr>
          <w:bCs/>
          <w:szCs w:val="22"/>
          <w:lang w:val="fr-FR"/>
        </w:rPr>
        <w:t xml:space="preserve">dans le </w:t>
      </w:r>
      <w:r w:rsidRPr="007F14B7">
        <w:rPr>
          <w:bCs/>
          <w:szCs w:val="22"/>
          <w:lang w:val="fr-FR"/>
        </w:rPr>
        <w:t>monde enti</w:t>
      </w:r>
      <w:r w:rsidR="007F14B7" w:rsidRPr="007F14B7">
        <w:rPr>
          <w:bCs/>
          <w:szCs w:val="22"/>
          <w:lang w:val="fr-FR"/>
        </w:rPr>
        <w:t>er.  So</w:t>
      </w:r>
      <w:r w:rsidRPr="007F14B7">
        <w:rPr>
          <w:bCs/>
          <w:szCs w:val="22"/>
          <w:lang w:val="fr-FR"/>
        </w:rPr>
        <w:t>n activité est axée sur les micro, petites et moyennes entreprises, les organismes gouvernementaux, les start</w:t>
      </w:r>
      <w:r w:rsidR="003608C1">
        <w:rPr>
          <w:bCs/>
          <w:szCs w:val="22"/>
          <w:lang w:val="fr-FR"/>
        </w:rPr>
        <w:noBreakHyphen/>
      </w:r>
      <w:r w:rsidRPr="007F14B7">
        <w:rPr>
          <w:bCs/>
          <w:szCs w:val="22"/>
          <w:lang w:val="fr-FR"/>
        </w:rPr>
        <w:t>up et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autres entités dans les pays développés</w:t>
      </w:r>
      <w:r w:rsidR="000A1031" w:rsidRPr="007F14B7">
        <w:rPr>
          <w:bCs/>
          <w:szCs w:val="22"/>
          <w:lang w:val="fr-FR"/>
        </w:rPr>
        <w:t xml:space="preserve"> ou </w:t>
      </w:r>
      <w:r w:rsidRPr="007F14B7">
        <w:rPr>
          <w:bCs/>
          <w:szCs w:val="22"/>
          <w:lang w:val="fr-FR"/>
        </w:rPr>
        <w:t xml:space="preserve">émergents et les </w:t>
      </w:r>
      <w:r w:rsidR="000A1031" w:rsidRPr="007F14B7">
        <w:rPr>
          <w:bCs/>
          <w:szCs w:val="22"/>
          <w:lang w:val="fr-FR"/>
        </w:rPr>
        <w:t xml:space="preserve">pays de la catégorie des </w:t>
      </w:r>
      <w:r w:rsidRPr="007F14B7">
        <w:rPr>
          <w:bCs/>
          <w:szCs w:val="22"/>
          <w:lang w:val="fr-FR"/>
        </w:rPr>
        <w:t>moins avancés.</w:t>
      </w:r>
    </w:p>
    <w:p w14:paraId="5CDF6D78" w14:textId="078C62C2" w:rsidR="00837F7A" w:rsidRPr="007F14B7" w:rsidRDefault="00837F7A" w:rsidP="009C61A5">
      <w:pPr>
        <w:spacing w:after="220"/>
        <w:rPr>
          <w:bCs/>
          <w:szCs w:val="22"/>
          <w:lang w:val="fr-FR"/>
        </w:rPr>
      </w:pPr>
      <w:r w:rsidRPr="007F14B7">
        <w:rPr>
          <w:bCs/>
          <w:szCs w:val="22"/>
          <w:lang w:val="fr-FR"/>
        </w:rPr>
        <w:t>Elle comprend actuellement 537</w:t>
      </w:r>
      <w:r w:rsidR="0076233A">
        <w:rPr>
          <w:bCs/>
          <w:szCs w:val="22"/>
          <w:lang w:val="fr-FR"/>
        </w:rPr>
        <w:t> </w:t>
      </w:r>
      <w:r w:rsidRPr="007F14B7">
        <w:rPr>
          <w:bCs/>
          <w:szCs w:val="22"/>
          <w:lang w:val="fr-FR"/>
        </w:rPr>
        <w:t xml:space="preserve">membres et vise à représenter les intérêts des collectifs </w:t>
      </w:r>
      <w:r w:rsidR="00817D4A" w:rsidRPr="007F14B7">
        <w:rPr>
          <w:bCs/>
          <w:szCs w:val="22"/>
          <w:lang w:val="fr-FR"/>
        </w:rPr>
        <w:t xml:space="preserve">actifs dans le domaine de la création </w:t>
      </w:r>
      <w:r w:rsidRPr="007F14B7">
        <w:rPr>
          <w:bCs/>
          <w:szCs w:val="22"/>
          <w:lang w:val="fr-FR"/>
        </w:rPr>
        <w:t xml:space="preserve">et des décideurs politiques dans le cadre des </w:t>
      </w:r>
      <w:r w:rsidR="00731996" w:rsidRPr="007F14B7">
        <w:rPr>
          <w:bCs/>
          <w:szCs w:val="22"/>
          <w:lang w:val="fr-FR"/>
        </w:rPr>
        <w:t>débats</w:t>
      </w:r>
      <w:r w:rsidRPr="007F14B7">
        <w:rPr>
          <w:bCs/>
          <w:szCs w:val="22"/>
          <w:lang w:val="fr-FR"/>
        </w:rPr>
        <w:t xml:space="preserve"> et projets liés au développement durable, en particulier lorsqu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ils ont trait aux arts et aux technologies émergent</w:t>
      </w:r>
      <w:r w:rsidR="007F14B7" w:rsidRPr="007F14B7">
        <w:rPr>
          <w:bCs/>
          <w:szCs w:val="22"/>
          <w:lang w:val="fr-FR"/>
        </w:rPr>
        <w:t>es.  Ca</w:t>
      </w:r>
      <w:r w:rsidRPr="007F14B7">
        <w:rPr>
          <w:bCs/>
          <w:szCs w:val="22"/>
          <w:lang w:val="fr-FR"/>
        </w:rPr>
        <w:t xml:space="preserve">naan Bridges Consulting Inc. </w:t>
      </w:r>
      <w:r w:rsidR="00817D4A" w:rsidRPr="007F14B7">
        <w:rPr>
          <w:bCs/>
          <w:szCs w:val="22"/>
          <w:lang w:val="fr-FR"/>
        </w:rPr>
        <w:t>établit</w:t>
      </w:r>
      <w:r w:rsidRPr="007F14B7">
        <w:rPr>
          <w:bCs/>
          <w:szCs w:val="22"/>
          <w:lang w:val="fr-FR"/>
        </w:rPr>
        <w:t xml:space="preserve"> des études </w:t>
      </w:r>
      <w:r w:rsidR="00817D4A" w:rsidRPr="007F14B7">
        <w:rPr>
          <w:bCs/>
          <w:szCs w:val="22"/>
          <w:lang w:val="fr-FR"/>
        </w:rPr>
        <w:t>portant</w:t>
      </w:r>
      <w:r w:rsidRPr="007F14B7">
        <w:rPr>
          <w:bCs/>
          <w:szCs w:val="22"/>
          <w:lang w:val="fr-FR"/>
        </w:rPr>
        <w:t xml:space="preserve">, par exemple, </w:t>
      </w:r>
      <w:r w:rsidR="00731996" w:rsidRPr="007F14B7">
        <w:rPr>
          <w:bCs/>
          <w:szCs w:val="22"/>
          <w:lang w:val="fr-FR"/>
        </w:rPr>
        <w:t xml:space="preserve">sur </w:t>
      </w:r>
      <w:r w:rsidRPr="007F14B7">
        <w:rPr>
          <w:bCs/>
          <w:szCs w:val="22"/>
          <w:lang w:val="fr-FR"/>
        </w:rPr>
        <w:t>la contribution économique des industries du droit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auteur</w:t>
      </w:r>
      <w:r w:rsidR="00321E45" w:rsidRPr="007F14B7">
        <w:rPr>
          <w:bCs/>
          <w:szCs w:val="22"/>
          <w:lang w:val="fr-FR"/>
        </w:rPr>
        <w:t xml:space="preserve"> au PIB</w:t>
      </w:r>
      <w:r w:rsidRPr="007F14B7">
        <w:rPr>
          <w:bCs/>
          <w:szCs w:val="22"/>
          <w:lang w:val="fr-FR"/>
        </w:rPr>
        <w:t xml:space="preserve"> des pays en développement.</w:t>
      </w:r>
    </w:p>
    <w:p w14:paraId="3C9D756F" w14:textId="77777777" w:rsidR="005D6774" w:rsidRPr="007F14B7" w:rsidRDefault="005D6774" w:rsidP="009C61A5">
      <w:pPr>
        <w:spacing w:before="480" w:after="220" w:line="240" w:lineRule="atLeast"/>
        <w:rPr>
          <w:i/>
          <w:szCs w:val="22"/>
          <w:lang w:val="fr-FR"/>
        </w:rPr>
      </w:pPr>
      <w:r w:rsidRPr="007F14B7">
        <w:rPr>
          <w:i/>
          <w:szCs w:val="22"/>
          <w:lang w:val="fr-FR"/>
        </w:rPr>
        <w:t>Coordonnées complètes</w:t>
      </w:r>
    </w:p>
    <w:p w14:paraId="7FAEF9A4" w14:textId="37EDD27B" w:rsidR="00D8575A" w:rsidRPr="007F14B7" w:rsidRDefault="00837F7A" w:rsidP="009C61A5">
      <w:pPr>
        <w:spacing w:after="220"/>
        <w:rPr>
          <w:lang w:val="fr-FR"/>
        </w:rPr>
      </w:pPr>
      <w:r w:rsidRPr="007F14B7">
        <w:rPr>
          <w:lang w:val="fr-FR"/>
        </w:rPr>
        <w:t>Mme</w:t>
      </w:r>
      <w:r w:rsidR="00A00255" w:rsidRPr="007F14B7">
        <w:rPr>
          <w:lang w:val="fr-FR"/>
        </w:rPr>
        <w:t> </w:t>
      </w:r>
      <w:r w:rsidR="00D8575A" w:rsidRPr="007F14B7">
        <w:rPr>
          <w:lang w:val="fr-FR"/>
        </w:rPr>
        <w:t xml:space="preserve">Marsha Simone Cadogan, </w:t>
      </w:r>
      <w:r w:rsidRPr="007F14B7">
        <w:rPr>
          <w:lang w:val="fr-FR"/>
        </w:rPr>
        <w:t>fondatrice</w:t>
      </w:r>
    </w:p>
    <w:p w14:paraId="3FFC5C70" w14:textId="526DCBD1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RPO Bayview Hill, P.O Box</w:t>
      </w:r>
      <w:r w:rsidR="0076233A">
        <w:rPr>
          <w:lang w:val="fr-FR"/>
        </w:rPr>
        <w:t> </w:t>
      </w:r>
      <w:r w:rsidRPr="007F14B7">
        <w:rPr>
          <w:lang w:val="fr-FR"/>
        </w:rPr>
        <w:t>31364, Richmond Hill Ontario</w:t>
      </w:r>
    </w:p>
    <w:p w14:paraId="4F730024" w14:textId="77777777" w:rsidR="00D8575A" w:rsidRPr="007F14B7" w:rsidRDefault="00D8575A" w:rsidP="00D8575A">
      <w:pPr>
        <w:spacing w:after="480"/>
        <w:rPr>
          <w:szCs w:val="22"/>
          <w:lang w:val="fr-FR"/>
        </w:rPr>
      </w:pPr>
      <w:r w:rsidRPr="007F14B7">
        <w:rPr>
          <w:lang w:val="fr-FR"/>
        </w:rPr>
        <w:t>L4C 0V7</w:t>
      </w:r>
    </w:p>
    <w:p w14:paraId="09D93B8D" w14:textId="13C2FCFD" w:rsidR="005D6774" w:rsidRPr="009C61A5" w:rsidRDefault="005D6774" w:rsidP="005D6774">
      <w:pPr>
        <w:rPr>
          <w:szCs w:val="22"/>
          <w:u w:val="single"/>
          <w:lang w:val="fr-FR"/>
        </w:rPr>
      </w:pPr>
      <w:r w:rsidRPr="007F14B7">
        <w:rPr>
          <w:szCs w:val="22"/>
          <w:lang w:val="fr-FR"/>
        </w:rPr>
        <w:t>Mél.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r w:rsidR="00D8575A" w:rsidRPr="007F14B7">
        <w:rPr>
          <w:lang w:val="fr-FR"/>
        </w:rPr>
        <w:t>help@canaanbridgesconsulting.com</w:t>
      </w:r>
    </w:p>
    <w:p w14:paraId="5088834F" w14:textId="7A9D5BE5" w:rsidR="00321E45" w:rsidRPr="007F14B7" w:rsidRDefault="005D6774" w:rsidP="000C0FBD">
      <w:pPr>
        <w:spacing w:after="240"/>
        <w:rPr>
          <w:lang w:val="fr-FR"/>
        </w:rPr>
      </w:pPr>
      <w:r w:rsidRPr="007F14B7">
        <w:rPr>
          <w:szCs w:val="22"/>
          <w:lang w:val="fr-FR"/>
        </w:rPr>
        <w:t>Site</w:t>
      </w:r>
      <w:r w:rsidR="007802D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Web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r w:rsidR="00D8575A" w:rsidRPr="007F14B7">
        <w:rPr>
          <w:lang w:val="fr-FR"/>
        </w:rPr>
        <w:t>www.canaanbridgesconsulting.com</w:t>
      </w:r>
    </w:p>
    <w:p w14:paraId="0BD9F512" w14:textId="21AF0676" w:rsidR="005D6774" w:rsidRPr="007F14B7" w:rsidRDefault="005D6774" w:rsidP="00837F7A">
      <w:pPr>
        <w:pStyle w:val="Endofdocument-Annex"/>
        <w:rPr>
          <w:szCs w:val="22"/>
        </w:rPr>
        <w:sectPr w:rsidR="005D6774" w:rsidRPr="007F14B7" w:rsidSect="00C25DE9"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F14B7">
        <w:rPr>
          <w:szCs w:val="22"/>
        </w:rPr>
        <w:t>[L</w:t>
      </w:r>
      <w:r w:rsidR="00321E45" w:rsidRPr="007F14B7">
        <w:rPr>
          <w:szCs w:val="22"/>
        </w:rPr>
        <w:t>’</w:t>
      </w:r>
      <w:r w:rsidR="002809B7" w:rsidRPr="007F14B7">
        <w:rPr>
          <w:szCs w:val="22"/>
        </w:rPr>
        <w:t>annexe I</w:t>
      </w:r>
      <w:r w:rsidRPr="007F14B7">
        <w:rPr>
          <w:szCs w:val="22"/>
        </w:rPr>
        <w:t>V suit]</w:t>
      </w:r>
    </w:p>
    <w:p w14:paraId="60725008" w14:textId="77777777" w:rsidR="00321E45" w:rsidRPr="009C61A5" w:rsidRDefault="00D8575A" w:rsidP="009C61A5">
      <w:pPr>
        <w:pStyle w:val="Caption"/>
        <w:spacing w:before="220" w:after="220"/>
        <w:rPr>
          <w:b w:val="0"/>
          <w:bCs w:val="0"/>
          <w:i/>
          <w:iCs/>
          <w:sz w:val="22"/>
          <w:szCs w:val="22"/>
          <w:lang w:val="fr-FR"/>
        </w:rPr>
      </w:pPr>
      <w:r w:rsidRPr="009C61A5">
        <w:rPr>
          <w:b w:val="0"/>
          <w:bCs w:val="0"/>
          <w:i/>
          <w:iCs/>
          <w:sz w:val="22"/>
          <w:szCs w:val="22"/>
          <w:lang w:val="fr-FR"/>
        </w:rPr>
        <w:lastRenderedPageBreak/>
        <w:t>El Centro Colombiano del Derecho de Autor (CECOLDA)</w:t>
      </w:r>
    </w:p>
    <w:p w14:paraId="769A563E" w14:textId="7B927D04" w:rsidR="00837F7A" w:rsidRPr="007F14B7" w:rsidRDefault="00D8575A" w:rsidP="009C61A5">
      <w:pPr>
        <w:spacing w:after="220"/>
        <w:rPr>
          <w:bCs/>
          <w:szCs w:val="22"/>
          <w:lang w:val="fr-FR"/>
        </w:rPr>
      </w:pPr>
      <w:r w:rsidRPr="007F14B7">
        <w:rPr>
          <w:bCs/>
          <w:szCs w:val="26"/>
          <w:lang w:val="fr-FR"/>
        </w:rPr>
        <w:t xml:space="preserve">El Centro Colombiano del Derecho de Autor (CECOLDA) </w:t>
      </w:r>
      <w:r w:rsidR="00837F7A" w:rsidRPr="007F14B7">
        <w:rPr>
          <w:bCs/>
          <w:szCs w:val="22"/>
          <w:lang w:val="fr-FR"/>
        </w:rPr>
        <w:t>est une association à b</w:t>
      </w:r>
      <w:r w:rsidR="00731996" w:rsidRPr="007F14B7">
        <w:rPr>
          <w:bCs/>
          <w:szCs w:val="22"/>
          <w:lang w:val="fr-FR"/>
        </w:rPr>
        <w:t xml:space="preserve">ut non lucratif créée </w:t>
      </w:r>
      <w:r w:rsidR="00321E45" w:rsidRPr="007F14B7">
        <w:rPr>
          <w:bCs/>
          <w:szCs w:val="22"/>
          <w:lang w:val="fr-FR"/>
        </w:rPr>
        <w:t>en 1990</w:t>
      </w:r>
      <w:r w:rsidR="00731996" w:rsidRPr="007F14B7">
        <w:rPr>
          <w:bCs/>
          <w:szCs w:val="22"/>
          <w:lang w:val="fr-FR"/>
        </w:rPr>
        <w:t xml:space="preserve">. </w:t>
      </w:r>
      <w:r w:rsidR="00A00255" w:rsidRPr="007F14B7">
        <w:rPr>
          <w:bCs/>
          <w:szCs w:val="22"/>
          <w:lang w:val="fr-FR"/>
        </w:rPr>
        <w:t xml:space="preserve"> </w:t>
      </w:r>
      <w:r w:rsidR="00837F7A" w:rsidRPr="007F14B7">
        <w:rPr>
          <w:bCs/>
          <w:szCs w:val="22"/>
          <w:lang w:val="fr-FR"/>
        </w:rPr>
        <w:t>Elle promeut l</w:t>
      </w:r>
      <w:r w:rsidR="00321E45" w:rsidRPr="007F14B7">
        <w:rPr>
          <w:bCs/>
          <w:szCs w:val="22"/>
          <w:lang w:val="fr-FR"/>
        </w:rPr>
        <w:t>’</w:t>
      </w:r>
      <w:r w:rsidR="00837F7A" w:rsidRPr="007F14B7">
        <w:rPr>
          <w:bCs/>
          <w:szCs w:val="22"/>
          <w:lang w:val="fr-FR"/>
        </w:rPr>
        <w:t>étude et la recherche sur le droit d</w:t>
      </w:r>
      <w:r w:rsidR="00321E45" w:rsidRPr="007F14B7">
        <w:rPr>
          <w:bCs/>
          <w:szCs w:val="22"/>
          <w:lang w:val="fr-FR"/>
        </w:rPr>
        <w:t>’</w:t>
      </w:r>
      <w:r w:rsidR="00837F7A" w:rsidRPr="007F14B7">
        <w:rPr>
          <w:bCs/>
          <w:szCs w:val="22"/>
          <w:lang w:val="fr-FR"/>
        </w:rPr>
        <w:t>auteur et les droits connexes en vue de faire progresser les connaissances en la matière, et vise à protéger le droit d</w:t>
      </w:r>
      <w:r w:rsidR="00321E45" w:rsidRPr="007F14B7">
        <w:rPr>
          <w:bCs/>
          <w:szCs w:val="22"/>
          <w:lang w:val="fr-FR"/>
        </w:rPr>
        <w:t>’</w:t>
      </w:r>
      <w:r w:rsidR="00837F7A" w:rsidRPr="007F14B7">
        <w:rPr>
          <w:bCs/>
          <w:szCs w:val="22"/>
          <w:lang w:val="fr-FR"/>
        </w:rPr>
        <w:t xml:space="preserve">auteur et les droits connexes en collaborant avec des spécialistes, </w:t>
      </w:r>
      <w:r w:rsidR="00321E45" w:rsidRPr="007F14B7">
        <w:rPr>
          <w:bCs/>
          <w:szCs w:val="22"/>
          <w:lang w:val="fr-FR"/>
        </w:rPr>
        <w:t>y compris</w:t>
      </w:r>
      <w:r w:rsidR="00837F7A" w:rsidRPr="007F14B7">
        <w:rPr>
          <w:bCs/>
          <w:szCs w:val="22"/>
          <w:lang w:val="fr-FR"/>
        </w:rPr>
        <w:t xml:space="preserve"> des entités publiques et privées.</w:t>
      </w:r>
    </w:p>
    <w:p w14:paraId="79203963" w14:textId="1EEA5EBF" w:rsidR="00731996" w:rsidRPr="007F14B7" w:rsidRDefault="00731996" w:rsidP="009C61A5">
      <w:pPr>
        <w:spacing w:after="220"/>
        <w:rPr>
          <w:bCs/>
          <w:szCs w:val="22"/>
          <w:lang w:val="fr-FR"/>
        </w:rPr>
      </w:pPr>
      <w:r w:rsidRPr="007F14B7">
        <w:rPr>
          <w:bCs/>
          <w:szCs w:val="22"/>
          <w:lang w:val="fr-FR"/>
        </w:rPr>
        <w:t>Les membres</w:t>
      </w:r>
      <w:r w:rsidR="00321E45" w:rsidRPr="007F14B7">
        <w:rPr>
          <w:bCs/>
          <w:szCs w:val="22"/>
          <w:lang w:val="fr-FR"/>
        </w:rPr>
        <w:t xml:space="preserve"> du CEC</w:t>
      </w:r>
      <w:r w:rsidRPr="007F14B7">
        <w:rPr>
          <w:bCs/>
          <w:szCs w:val="22"/>
          <w:lang w:val="fr-FR"/>
        </w:rPr>
        <w:t xml:space="preserve">OLDA sont tous des </w:t>
      </w:r>
      <w:r w:rsidR="00817D4A" w:rsidRPr="007F14B7">
        <w:rPr>
          <w:bCs/>
          <w:szCs w:val="22"/>
          <w:lang w:val="fr-FR"/>
        </w:rPr>
        <w:t>spécialistes du</w:t>
      </w:r>
      <w:r w:rsidRPr="007F14B7">
        <w:rPr>
          <w:bCs/>
          <w:szCs w:val="22"/>
          <w:lang w:val="fr-FR"/>
        </w:rPr>
        <w:t xml:space="preserve"> droit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auteur qui, par leur expérience, enrichissent et mettent à jour, dans le cadre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>échanges périodiques, les connaissances générales et spécialisées en matière de droit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 xml:space="preserve">auteur, afin de contribuer à mieux </w:t>
      </w:r>
      <w:r w:rsidR="00817D4A" w:rsidRPr="007F14B7">
        <w:rPr>
          <w:bCs/>
          <w:szCs w:val="22"/>
          <w:lang w:val="fr-FR"/>
        </w:rPr>
        <w:t xml:space="preserve">protéger </w:t>
      </w:r>
      <w:r w:rsidRPr="007F14B7">
        <w:rPr>
          <w:bCs/>
          <w:szCs w:val="22"/>
          <w:lang w:val="fr-FR"/>
        </w:rPr>
        <w:t>le droit d</w:t>
      </w:r>
      <w:r w:rsidR="00321E45" w:rsidRPr="007F14B7">
        <w:rPr>
          <w:bCs/>
          <w:szCs w:val="22"/>
          <w:lang w:val="fr-FR"/>
        </w:rPr>
        <w:t>’</w:t>
      </w:r>
      <w:r w:rsidRPr="007F14B7">
        <w:rPr>
          <w:bCs/>
          <w:szCs w:val="22"/>
          <w:lang w:val="fr-FR"/>
        </w:rPr>
        <w:t xml:space="preserve">auteur et les droits </w:t>
      </w:r>
      <w:r w:rsidR="00AA1786" w:rsidRPr="007F14B7">
        <w:rPr>
          <w:bCs/>
          <w:szCs w:val="22"/>
          <w:lang w:val="fr-FR"/>
        </w:rPr>
        <w:t>connexes</w:t>
      </w:r>
      <w:r w:rsidRPr="007F14B7">
        <w:rPr>
          <w:bCs/>
          <w:szCs w:val="22"/>
          <w:lang w:val="fr-FR"/>
        </w:rPr>
        <w:t>.</w:t>
      </w:r>
    </w:p>
    <w:p w14:paraId="218074D0" w14:textId="77777777" w:rsidR="00321E45" w:rsidRPr="007F14B7" w:rsidRDefault="005D6774" w:rsidP="009C61A5">
      <w:pPr>
        <w:spacing w:before="480" w:after="220" w:line="240" w:lineRule="atLeast"/>
        <w:rPr>
          <w:i/>
          <w:szCs w:val="22"/>
          <w:lang w:val="fr-FR"/>
        </w:rPr>
      </w:pPr>
      <w:r w:rsidRPr="007F14B7">
        <w:rPr>
          <w:i/>
          <w:szCs w:val="22"/>
          <w:lang w:val="fr-FR"/>
        </w:rPr>
        <w:t>Coordonnées complètes</w:t>
      </w:r>
    </w:p>
    <w:p w14:paraId="096330FC" w14:textId="39B09885" w:rsidR="00D8575A" w:rsidRPr="007F14B7" w:rsidRDefault="00D8575A" w:rsidP="009C61A5">
      <w:pPr>
        <w:spacing w:after="220"/>
        <w:rPr>
          <w:lang w:val="fr-FR"/>
        </w:rPr>
      </w:pPr>
      <w:r w:rsidRPr="007F14B7">
        <w:rPr>
          <w:lang w:val="fr-FR"/>
        </w:rPr>
        <w:t>M</w:t>
      </w:r>
      <w:r w:rsidR="00731996" w:rsidRPr="007F14B7">
        <w:rPr>
          <w:lang w:val="fr-FR"/>
        </w:rPr>
        <w:t>me</w:t>
      </w:r>
      <w:r w:rsidR="00A00255" w:rsidRPr="007F14B7">
        <w:rPr>
          <w:lang w:val="fr-FR"/>
        </w:rPr>
        <w:t> </w:t>
      </w:r>
      <w:r w:rsidRPr="007F14B7">
        <w:rPr>
          <w:lang w:val="fr-FR"/>
        </w:rPr>
        <w:t xml:space="preserve">Carolina Romero Romero, </w:t>
      </w:r>
      <w:r w:rsidR="00AA1786" w:rsidRPr="007F14B7">
        <w:rPr>
          <w:lang w:val="fr-FR"/>
        </w:rPr>
        <w:t>présidente</w:t>
      </w:r>
    </w:p>
    <w:p w14:paraId="66714DCB" w14:textId="4654AFE5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Calle 30</w:t>
      </w:r>
      <w:r w:rsidR="0076233A">
        <w:rPr>
          <w:lang w:val="fr-FR"/>
        </w:rPr>
        <w:t> </w:t>
      </w:r>
      <w:r w:rsidRPr="007F14B7">
        <w:rPr>
          <w:lang w:val="fr-FR"/>
        </w:rPr>
        <w:t>B Bis No.</w:t>
      </w:r>
      <w:r w:rsidR="0076233A">
        <w:rPr>
          <w:lang w:val="fr-FR"/>
        </w:rPr>
        <w:t> </w:t>
      </w:r>
      <w:r w:rsidRPr="007F14B7">
        <w:rPr>
          <w:lang w:val="fr-FR"/>
        </w:rPr>
        <w:t>2</w:t>
      </w:r>
      <w:r w:rsidR="00321E45" w:rsidRPr="007F14B7">
        <w:rPr>
          <w:lang w:val="fr-FR"/>
        </w:rPr>
        <w:t xml:space="preserve"> – </w:t>
      </w:r>
      <w:r w:rsidRPr="007F14B7">
        <w:rPr>
          <w:lang w:val="fr-FR"/>
        </w:rPr>
        <w:t>34. Interior</w:t>
      </w:r>
      <w:r w:rsidR="0076233A">
        <w:rPr>
          <w:lang w:val="fr-FR"/>
        </w:rPr>
        <w:t> </w:t>
      </w:r>
      <w:r w:rsidRPr="007F14B7">
        <w:rPr>
          <w:lang w:val="fr-FR"/>
        </w:rPr>
        <w:t>5301</w:t>
      </w:r>
    </w:p>
    <w:p w14:paraId="23C23FC9" w14:textId="77777777" w:rsidR="00D8575A" w:rsidRPr="007F14B7" w:rsidRDefault="00D8575A" w:rsidP="00D8575A">
      <w:pPr>
        <w:rPr>
          <w:lang w:val="fr-FR"/>
        </w:rPr>
      </w:pPr>
      <w:r w:rsidRPr="007F14B7">
        <w:rPr>
          <w:lang w:val="fr-FR"/>
        </w:rPr>
        <w:t>Bogotá D.C.</w:t>
      </w:r>
    </w:p>
    <w:p w14:paraId="6E15D018" w14:textId="77777777" w:rsidR="005D6774" w:rsidRPr="007F14B7" w:rsidRDefault="00731996" w:rsidP="00D8575A">
      <w:pPr>
        <w:spacing w:after="480"/>
        <w:rPr>
          <w:szCs w:val="22"/>
          <w:lang w:val="fr-FR"/>
        </w:rPr>
      </w:pPr>
      <w:r w:rsidRPr="007F14B7">
        <w:rPr>
          <w:lang w:val="fr-FR"/>
        </w:rPr>
        <w:t>Colombie</w:t>
      </w:r>
    </w:p>
    <w:p w14:paraId="55DD0CE6" w14:textId="561F6AAE" w:rsidR="002809B7" w:rsidRPr="007F14B7" w:rsidRDefault="005D6774" w:rsidP="005D6774">
      <w:pPr>
        <w:rPr>
          <w:szCs w:val="22"/>
          <w:lang w:val="fr-FR"/>
        </w:rPr>
      </w:pPr>
      <w:r w:rsidRPr="007F14B7">
        <w:rPr>
          <w:szCs w:val="22"/>
          <w:lang w:val="fr-FR"/>
        </w:rPr>
        <w:t>Mél.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r w:rsidR="00D8575A" w:rsidRPr="007F14B7">
        <w:rPr>
          <w:lang w:val="fr-FR"/>
        </w:rPr>
        <w:t>presidencia@cecolda.org.co</w:t>
      </w:r>
    </w:p>
    <w:p w14:paraId="10E816F0" w14:textId="1FC358B3" w:rsidR="002809B7" w:rsidRPr="007F14B7" w:rsidRDefault="005D6774" w:rsidP="009C61A5">
      <w:pPr>
        <w:rPr>
          <w:szCs w:val="22"/>
          <w:lang w:val="fr-FR"/>
        </w:rPr>
      </w:pPr>
      <w:r w:rsidRPr="007F14B7">
        <w:rPr>
          <w:szCs w:val="22"/>
          <w:lang w:val="fr-FR"/>
        </w:rPr>
        <w:t>Site</w:t>
      </w:r>
      <w:r w:rsidR="007802D5" w:rsidRPr="007F14B7">
        <w:rPr>
          <w:szCs w:val="22"/>
          <w:lang w:val="fr-FR"/>
        </w:rPr>
        <w:t> </w:t>
      </w:r>
      <w:r w:rsidRPr="007F14B7">
        <w:rPr>
          <w:szCs w:val="22"/>
          <w:lang w:val="fr-FR"/>
        </w:rPr>
        <w:t>Web</w:t>
      </w:r>
      <w:r w:rsidR="00321E45" w:rsidRPr="007F14B7">
        <w:rPr>
          <w:szCs w:val="22"/>
          <w:lang w:val="fr-FR"/>
        </w:rPr>
        <w:t> :</w:t>
      </w:r>
      <w:r w:rsidRPr="007F14B7">
        <w:rPr>
          <w:szCs w:val="22"/>
          <w:lang w:val="fr-FR"/>
        </w:rPr>
        <w:t xml:space="preserve"> </w:t>
      </w:r>
      <w:r w:rsidR="00D8575A" w:rsidRPr="007F14B7">
        <w:rPr>
          <w:lang w:val="fr-FR"/>
        </w:rPr>
        <w:t>www.cecolda.org.co</w:t>
      </w:r>
    </w:p>
    <w:p w14:paraId="32C4A644" w14:textId="77777777" w:rsidR="000F5E56" w:rsidRPr="007F14B7" w:rsidRDefault="005D6774" w:rsidP="00D8575A">
      <w:pPr>
        <w:pStyle w:val="Endofdocument-Annex"/>
        <w:rPr>
          <w:szCs w:val="22"/>
        </w:rPr>
      </w:pPr>
      <w:r w:rsidRPr="007F14B7">
        <w:rPr>
          <w:szCs w:val="22"/>
        </w:rPr>
        <w:t>[Fin du document]</w:t>
      </w:r>
    </w:p>
    <w:sectPr w:rsidR="000F5E56" w:rsidRPr="007F14B7" w:rsidSect="005D6774">
      <w:head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A501" w14:textId="77777777" w:rsidR="005D6774" w:rsidRDefault="005D6774">
      <w:r>
        <w:separator/>
      </w:r>
    </w:p>
  </w:endnote>
  <w:endnote w:type="continuationSeparator" w:id="0">
    <w:p w14:paraId="29056278" w14:textId="77777777" w:rsidR="005D6774" w:rsidRPr="009D30E6" w:rsidRDefault="005D677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E9F52CF" w14:textId="77777777" w:rsidR="005D6774" w:rsidRPr="009D30E6" w:rsidRDefault="005D677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806FBCC" w14:textId="77777777" w:rsidR="005D6774" w:rsidRPr="009D30E6" w:rsidRDefault="005D677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F43F" w14:textId="77777777" w:rsidR="00BD08F7" w:rsidRDefault="00BD0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638D" w14:textId="77777777" w:rsidR="00BD08F7" w:rsidRDefault="00BD0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598B" w14:textId="77777777" w:rsidR="00BD08F7" w:rsidRDefault="00BD0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443D" w14:textId="77777777" w:rsidR="005D6774" w:rsidRDefault="005D6774">
      <w:r>
        <w:separator/>
      </w:r>
    </w:p>
  </w:footnote>
  <w:footnote w:type="continuationSeparator" w:id="0">
    <w:p w14:paraId="01FDE14B" w14:textId="77777777" w:rsidR="005D6774" w:rsidRDefault="005D6774" w:rsidP="007461F1">
      <w:r>
        <w:separator/>
      </w:r>
    </w:p>
    <w:p w14:paraId="03B8B093" w14:textId="77777777" w:rsidR="005D6774" w:rsidRPr="009D30E6" w:rsidRDefault="005D677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29156F8" w14:textId="77777777" w:rsidR="005D6774" w:rsidRPr="009D30E6" w:rsidRDefault="005D677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925D" w14:textId="77777777" w:rsidR="005D6774" w:rsidRDefault="005D6774">
    <w:pPr>
      <w:pStyle w:val="Header"/>
    </w:pPr>
  </w:p>
  <w:p w14:paraId="20A5CC82" w14:textId="77777777" w:rsidR="005D6774" w:rsidRDefault="005D6774"/>
  <w:p w14:paraId="13A35F16" w14:textId="77777777" w:rsidR="005D6774" w:rsidRDefault="005D6774">
    <w:r>
      <w:t>S</w:t>
    </w:r>
  </w:p>
  <w:p w14:paraId="7D8389E2" w14:textId="77777777" w:rsidR="005D6774" w:rsidRDefault="005D6774">
    <w: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8858" w14:textId="77777777" w:rsidR="005D6774" w:rsidRDefault="005D6774" w:rsidP="00477D6B">
    <w:pPr>
      <w:jc w:val="right"/>
    </w:pPr>
    <w:r>
      <w:t>SCCR/</w:t>
    </w:r>
    <w:r w:rsidR="00D8575A">
      <w:t>44</w:t>
    </w:r>
    <w:r>
      <w:t>/2</w:t>
    </w:r>
  </w:p>
  <w:p w14:paraId="771A6BE3" w14:textId="77777777" w:rsidR="005D6774" w:rsidRDefault="005D6774" w:rsidP="000C0FBD">
    <w:pPr>
      <w:spacing w:after="480"/>
      <w:jc w:val="right"/>
    </w:pPr>
    <w:r>
      <w:t>A</w:t>
    </w:r>
    <w:r w:rsidR="000C0FBD">
      <w:t>NNEXE </w:t>
    </w:r>
    <w: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C960" w14:textId="77777777" w:rsidR="00BD08F7" w:rsidRDefault="00BD08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C3EC" w14:textId="77777777" w:rsidR="005D6774" w:rsidRDefault="005D6774" w:rsidP="00477D6B">
    <w:pPr>
      <w:jc w:val="right"/>
    </w:pPr>
    <w:r>
      <w:t>SCCR/42/2 REV.</w:t>
    </w:r>
  </w:p>
  <w:p w14:paraId="0B531193" w14:textId="77777777" w:rsidR="005D6774" w:rsidRDefault="005D6774" w:rsidP="00C25DE9">
    <w:pPr>
      <w:jc w:val="right"/>
    </w:pPr>
    <w:r>
      <w:t>Annexe XII</w:t>
    </w:r>
  </w:p>
  <w:p w14:paraId="0CD5E9E8" w14:textId="77777777" w:rsidR="005D6774" w:rsidRDefault="005D6774" w:rsidP="00477D6B">
    <w:pPr>
      <w:jc w:val="right"/>
    </w:pPr>
  </w:p>
  <w:p w14:paraId="057B10EC" w14:textId="77777777" w:rsidR="005D6774" w:rsidRDefault="005D6774"/>
  <w:p w14:paraId="5D44E495" w14:textId="77777777" w:rsidR="005D6774" w:rsidRDefault="005D677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DB5A" w14:textId="2C4A5F42" w:rsidR="005D6774" w:rsidRDefault="005D6774" w:rsidP="0089612C">
    <w:pPr>
      <w:jc w:val="right"/>
    </w:pPr>
    <w:r>
      <w:t>SCCR/4</w:t>
    </w:r>
    <w:r w:rsidR="009C61A5">
      <w:t>4</w:t>
    </w:r>
    <w:r>
      <w:t>/2</w:t>
    </w:r>
  </w:p>
  <w:p w14:paraId="3463EAC8" w14:textId="77777777" w:rsidR="005D6774" w:rsidRDefault="000C0FBD" w:rsidP="000C0FBD">
    <w:pPr>
      <w:spacing w:after="480"/>
      <w:jc w:val="right"/>
    </w:pPr>
    <w:r>
      <w:t>ANNEXE </w:t>
    </w:r>
    <w:r w:rsidR="005D6774">
      <w:t>I</w:t>
    </w:r>
    <w:r>
      <w:t>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DEC9" w14:textId="60A5B360" w:rsidR="005D6774" w:rsidRDefault="005D6774" w:rsidP="0089612C">
    <w:pPr>
      <w:jc w:val="right"/>
    </w:pPr>
    <w:r>
      <w:t>SCCR/4</w:t>
    </w:r>
    <w:r w:rsidR="009C61A5">
      <w:t>4</w:t>
    </w:r>
    <w:r>
      <w:t>/2</w:t>
    </w:r>
  </w:p>
  <w:p w14:paraId="6A3CAD8B" w14:textId="77777777" w:rsidR="005D6774" w:rsidRDefault="005D6774" w:rsidP="000C0FBD">
    <w:pPr>
      <w:spacing w:after="480"/>
      <w:jc w:val="right"/>
    </w:pPr>
    <w:r>
      <w:t>A</w:t>
    </w:r>
    <w:r w:rsidR="000C0FBD">
      <w:t>NNEXE </w:t>
    </w:r>
    <w:r>
      <w:t>III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C62E" w14:textId="77777777" w:rsidR="00F16975" w:rsidRDefault="005D6774" w:rsidP="00477D6B">
    <w:pPr>
      <w:jc w:val="right"/>
    </w:pPr>
    <w:bookmarkStart w:id="5" w:name="Code2"/>
    <w:bookmarkEnd w:id="5"/>
    <w:r>
      <w:t>SCCR/43/2</w:t>
    </w:r>
  </w:p>
  <w:p w14:paraId="0B399DA5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8575A">
      <w:rPr>
        <w:noProof/>
      </w:rPr>
      <w:t>9</w:t>
    </w:r>
    <w:r>
      <w:fldChar w:fldCharType="end"/>
    </w:r>
  </w:p>
  <w:p w14:paraId="3C6168A2" w14:textId="77777777" w:rsidR="00F16975" w:rsidRDefault="00F16975" w:rsidP="00477D6B">
    <w:pPr>
      <w:jc w:val="right"/>
    </w:pPr>
  </w:p>
  <w:p w14:paraId="7FF7D056" w14:textId="77777777" w:rsidR="004F4E31" w:rsidRDefault="004F4E31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7E74" w14:textId="43BF8EF2" w:rsidR="000C0FBD" w:rsidRDefault="000C0FBD" w:rsidP="0089612C">
    <w:pPr>
      <w:jc w:val="right"/>
    </w:pPr>
    <w:r>
      <w:t>SCCR/4</w:t>
    </w:r>
    <w:r w:rsidR="009C61A5">
      <w:t>4</w:t>
    </w:r>
    <w:r>
      <w:t>/2</w:t>
    </w:r>
  </w:p>
  <w:p w14:paraId="69D31D07" w14:textId="5B22BFB5" w:rsidR="000C0FBD" w:rsidRDefault="000C0FBD" w:rsidP="000C0FBD">
    <w:pPr>
      <w:spacing w:after="480"/>
      <w:jc w:val="right"/>
    </w:pPr>
    <w:r>
      <w:t>ANNEXE </w:t>
    </w:r>
    <w:r w:rsidR="00C516D0">
      <w:t>I</w:t>
    </w:r>
    <w: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155A848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790060">
    <w:abstractNumId w:val="2"/>
  </w:num>
  <w:num w:numId="2" w16cid:durableId="1007631455">
    <w:abstractNumId w:val="4"/>
  </w:num>
  <w:num w:numId="3" w16cid:durableId="287318191">
    <w:abstractNumId w:val="0"/>
  </w:num>
  <w:num w:numId="4" w16cid:durableId="1592467034">
    <w:abstractNumId w:val="6"/>
  </w:num>
  <w:num w:numId="5" w16cid:durableId="725295714">
    <w:abstractNumId w:val="1"/>
  </w:num>
  <w:num w:numId="6" w16cid:durableId="510804289">
    <w:abstractNumId w:val="3"/>
  </w:num>
  <w:num w:numId="7" w16cid:durableId="2130733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74"/>
    <w:rsid w:val="00011B7D"/>
    <w:rsid w:val="00075432"/>
    <w:rsid w:val="000A1031"/>
    <w:rsid w:val="000C0FBD"/>
    <w:rsid w:val="000F5E56"/>
    <w:rsid w:val="001362EE"/>
    <w:rsid w:val="00146E0C"/>
    <w:rsid w:val="00165A3C"/>
    <w:rsid w:val="001832A6"/>
    <w:rsid w:val="00195C6E"/>
    <w:rsid w:val="001B266A"/>
    <w:rsid w:val="001D3D56"/>
    <w:rsid w:val="001F1E50"/>
    <w:rsid w:val="00240654"/>
    <w:rsid w:val="002634C4"/>
    <w:rsid w:val="002809B7"/>
    <w:rsid w:val="002D4918"/>
    <w:rsid w:val="002E4D1A"/>
    <w:rsid w:val="002F16BC"/>
    <w:rsid w:val="002F4E68"/>
    <w:rsid w:val="00315FCA"/>
    <w:rsid w:val="00321E45"/>
    <w:rsid w:val="003608C1"/>
    <w:rsid w:val="003845C1"/>
    <w:rsid w:val="003A1BCD"/>
    <w:rsid w:val="004008A2"/>
    <w:rsid w:val="004022C6"/>
    <w:rsid w:val="004025DF"/>
    <w:rsid w:val="00423E3E"/>
    <w:rsid w:val="00427AF4"/>
    <w:rsid w:val="00456117"/>
    <w:rsid w:val="004647DA"/>
    <w:rsid w:val="00477D6B"/>
    <w:rsid w:val="004D6471"/>
    <w:rsid w:val="004F4E31"/>
    <w:rsid w:val="00516780"/>
    <w:rsid w:val="00525B63"/>
    <w:rsid w:val="00547476"/>
    <w:rsid w:val="00561DB8"/>
    <w:rsid w:val="00567A4C"/>
    <w:rsid w:val="005D6774"/>
    <w:rsid w:val="005E6516"/>
    <w:rsid w:val="00605827"/>
    <w:rsid w:val="006337AF"/>
    <w:rsid w:val="00676936"/>
    <w:rsid w:val="00696286"/>
    <w:rsid w:val="006B0DB5"/>
    <w:rsid w:val="006E4243"/>
    <w:rsid w:val="00731996"/>
    <w:rsid w:val="007461F1"/>
    <w:rsid w:val="0076233A"/>
    <w:rsid w:val="007802D5"/>
    <w:rsid w:val="007D6961"/>
    <w:rsid w:val="007F07CB"/>
    <w:rsid w:val="007F14B7"/>
    <w:rsid w:val="00810CEF"/>
    <w:rsid w:val="0081208D"/>
    <w:rsid w:val="00817D4A"/>
    <w:rsid w:val="00837F7A"/>
    <w:rsid w:val="00842A13"/>
    <w:rsid w:val="008B2CC1"/>
    <w:rsid w:val="008E7930"/>
    <w:rsid w:val="0090731E"/>
    <w:rsid w:val="009463E5"/>
    <w:rsid w:val="00966A22"/>
    <w:rsid w:val="00974CD6"/>
    <w:rsid w:val="00975481"/>
    <w:rsid w:val="009C61A5"/>
    <w:rsid w:val="009D30E6"/>
    <w:rsid w:val="009E3F6F"/>
    <w:rsid w:val="009F499F"/>
    <w:rsid w:val="00A00255"/>
    <w:rsid w:val="00A02BD3"/>
    <w:rsid w:val="00A42B23"/>
    <w:rsid w:val="00AA1786"/>
    <w:rsid w:val="00AC0AE4"/>
    <w:rsid w:val="00AD61DB"/>
    <w:rsid w:val="00B87BCF"/>
    <w:rsid w:val="00BA62D4"/>
    <w:rsid w:val="00BD08F7"/>
    <w:rsid w:val="00C40E15"/>
    <w:rsid w:val="00C516D0"/>
    <w:rsid w:val="00C664C8"/>
    <w:rsid w:val="00C76A79"/>
    <w:rsid w:val="00CA15F5"/>
    <w:rsid w:val="00CF0460"/>
    <w:rsid w:val="00CF5A74"/>
    <w:rsid w:val="00D45252"/>
    <w:rsid w:val="00D55C00"/>
    <w:rsid w:val="00D71B4D"/>
    <w:rsid w:val="00D7454B"/>
    <w:rsid w:val="00D75C1E"/>
    <w:rsid w:val="00D8575A"/>
    <w:rsid w:val="00D93D55"/>
    <w:rsid w:val="00DB0349"/>
    <w:rsid w:val="00DD6A16"/>
    <w:rsid w:val="00E0091A"/>
    <w:rsid w:val="00E203AA"/>
    <w:rsid w:val="00E527A5"/>
    <w:rsid w:val="00E76456"/>
    <w:rsid w:val="00E9765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E6EEF2"/>
  <w15:docId w15:val="{50CE157D-BDF5-4AAA-B78B-5ACAF712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link w:val="EndnoteTextChar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C0FB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5D6774"/>
    <w:pPr>
      <w:ind w:left="720"/>
      <w:contextualSpacing/>
    </w:pPr>
    <w:rPr>
      <w:lang w:val="fr-FR"/>
    </w:rPr>
  </w:style>
  <w:style w:type="character" w:customStyle="1" w:styleId="Heading2Char">
    <w:name w:val="Heading 2 Char"/>
    <w:basedOn w:val="DefaultParagraphFont"/>
    <w:link w:val="Heading2"/>
    <w:rsid w:val="005D677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677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D6774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nhideWhenUsed/>
    <w:rsid w:val="005D6774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5D6774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5D6774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D85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575A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165A3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yessendikova@gmail.com" TargetMode="External"/><Relationship Id="rId13" Type="http://schemas.openxmlformats.org/officeDocument/2006/relationships/footer" Target="footer1.xml"/><Relationship Id="rId18" Type="http://schemas.openxmlformats.org/officeDocument/2006/relationships/hyperlink" Target="http://denae.es/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info@denae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hyperlink" Target="http://kazak.kz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m.lindberg@swedishcopyrightconsulting.se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1</TotalTime>
  <Pages>5</Pages>
  <Words>750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SCCR/44/2</vt:lpstr>
    </vt:vector>
  </TitlesOfParts>
  <Company>WIPO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SCCR/44/2</dc:title>
  <dc:creator>OLIVIÉ Karen</dc:creator>
  <cp:keywords>FOR OFFICIAL USE ONLY</cp:keywords>
  <cp:lastModifiedBy>Francesca Haizel</cp:lastModifiedBy>
  <cp:revision>2</cp:revision>
  <cp:lastPrinted>2011-05-19T12:37:00Z</cp:lastPrinted>
  <dcterms:created xsi:type="dcterms:W3CDTF">2023-09-14T14:06:00Z</dcterms:created>
  <dcterms:modified xsi:type="dcterms:W3CDTF">2023-09-14T14:06:00Z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2023-09-14T13:09:41Z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806bdf44-0a11-400b-9de1-7df249525564</vt:lpwstr>
  </property>
  <property fmtid="{D5CDD505-2E9C-101B-9397-08002B2CF9AE}" pid="14" name="MSIP_Label_20773ee6-353b-4fb9-a59d-0b94c8c67bea_ContentBits">
    <vt:lpwstr>0</vt:lpwstr>
  </property>
</Properties>
</file>