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345E2" w:rsidRDefault="0040540C" w:rsidP="00B1090C">
      <w:pPr>
        <w:spacing w:after="120"/>
        <w:jc w:val="right"/>
        <w:rPr>
          <w:szCs w:val="22"/>
        </w:rPr>
      </w:pPr>
      <w:bookmarkStart w:id="0" w:name="_GoBack"/>
      <w:bookmarkEnd w:id="0"/>
      <w:r w:rsidRPr="006345E2">
        <w:rPr>
          <w:noProof/>
          <w:szCs w:val="22"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9E5416" w:rsidRDefault="00C61AD5" w:rsidP="006D111E">
      <w:pPr>
        <w:pBdr>
          <w:top w:val="single" w:sz="4" w:space="14" w:color="auto"/>
        </w:pBd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E5416">
        <w:rPr>
          <w:rFonts w:ascii="Arial Black" w:hAnsi="Arial Black"/>
          <w:caps/>
          <w:sz w:val="15"/>
          <w:szCs w:val="15"/>
          <w:lang w:val="fr-FR"/>
        </w:rPr>
        <w:t>SCCR/40/</w:t>
      </w:r>
      <w:bookmarkStart w:id="1" w:name="Code"/>
      <w:r w:rsidR="00466717" w:rsidRPr="009E5416">
        <w:rPr>
          <w:rFonts w:ascii="Arial Black" w:hAnsi="Arial Black"/>
          <w:caps/>
          <w:sz w:val="15"/>
          <w:szCs w:val="15"/>
          <w:lang w:val="fr-FR"/>
        </w:rPr>
        <w:t>7</w:t>
      </w:r>
    </w:p>
    <w:bookmarkEnd w:id="1"/>
    <w:p w:rsidR="008B2CC1" w:rsidRPr="009E5416" w:rsidRDefault="00B1090C" w:rsidP="006D111E">
      <w:pPr>
        <w:pBdr>
          <w:top w:val="single" w:sz="4" w:space="14" w:color="auto"/>
        </w:pBd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E5416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166B3" w:rsidRPr="009E5416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9E541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466717" w:rsidRPr="009E5416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6D111E" w:rsidRDefault="00B1090C" w:rsidP="00B1090C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111E">
        <w:rPr>
          <w:rFonts w:ascii="Arial Black" w:hAnsi="Arial Black"/>
          <w:caps/>
          <w:sz w:val="15"/>
          <w:szCs w:val="15"/>
          <w:lang w:val="fr-FR"/>
        </w:rPr>
        <w:t>DATE</w:t>
      </w:r>
      <w:r w:rsidR="00D166B3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6D111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466717" w:rsidRPr="006D111E">
        <w:rPr>
          <w:rFonts w:ascii="Arial Black" w:hAnsi="Arial Black"/>
          <w:caps/>
          <w:sz w:val="15"/>
          <w:szCs w:val="15"/>
          <w:lang w:val="fr-FR"/>
        </w:rPr>
        <w:t>1</w:t>
      </w:r>
      <w:r w:rsidR="00D166B3" w:rsidRPr="006D111E">
        <w:rPr>
          <w:rFonts w:ascii="Arial Black" w:hAnsi="Arial Black"/>
          <w:caps/>
          <w:sz w:val="15"/>
          <w:szCs w:val="15"/>
          <w:lang w:val="fr-FR"/>
        </w:rPr>
        <w:t>0</w:t>
      </w:r>
      <w:r w:rsidR="00D166B3">
        <w:rPr>
          <w:rFonts w:ascii="Arial Black" w:hAnsi="Arial Black"/>
          <w:caps/>
          <w:sz w:val="15"/>
          <w:szCs w:val="15"/>
          <w:lang w:val="fr-FR"/>
        </w:rPr>
        <w:t> </w:t>
      </w:r>
      <w:r w:rsidR="00D166B3" w:rsidRPr="006D111E">
        <w:rPr>
          <w:rFonts w:ascii="Arial Black" w:hAnsi="Arial Black"/>
          <w:caps/>
          <w:sz w:val="15"/>
          <w:szCs w:val="15"/>
          <w:lang w:val="fr-FR"/>
        </w:rPr>
        <w:t>novembre</w:t>
      </w:r>
      <w:r w:rsidR="00D166B3">
        <w:rPr>
          <w:rFonts w:ascii="Arial Black" w:hAnsi="Arial Black"/>
          <w:caps/>
          <w:sz w:val="15"/>
          <w:szCs w:val="15"/>
          <w:lang w:val="fr-FR"/>
        </w:rPr>
        <w:t> </w:t>
      </w:r>
      <w:r w:rsidR="00D166B3" w:rsidRPr="006D111E">
        <w:rPr>
          <w:rFonts w:ascii="Arial Black" w:hAnsi="Arial Black"/>
          <w:caps/>
          <w:sz w:val="15"/>
          <w:szCs w:val="15"/>
          <w:lang w:val="fr-FR"/>
        </w:rPr>
        <w:t>20</w:t>
      </w:r>
      <w:r w:rsidR="00466717" w:rsidRPr="006D111E">
        <w:rPr>
          <w:rFonts w:ascii="Arial Black" w:hAnsi="Arial Black"/>
          <w:caps/>
          <w:sz w:val="15"/>
          <w:szCs w:val="15"/>
          <w:lang w:val="fr-FR"/>
        </w:rPr>
        <w:t>20</w:t>
      </w:r>
    </w:p>
    <w:bookmarkEnd w:id="3"/>
    <w:p w:rsidR="003845C1" w:rsidRPr="00035ED3" w:rsidRDefault="00C61AD5" w:rsidP="00035ED3">
      <w:pPr>
        <w:pStyle w:val="Title"/>
      </w:pPr>
      <w:r w:rsidRPr="00035ED3">
        <w:t>Comité permanent du droit d</w:t>
      </w:r>
      <w:r w:rsidR="00D166B3" w:rsidRPr="00035ED3">
        <w:t>’</w:t>
      </w:r>
      <w:r w:rsidRPr="00035ED3">
        <w:t>auteur et des droits connexes</w:t>
      </w:r>
    </w:p>
    <w:p w:rsidR="00C61AD5" w:rsidRPr="006345E2" w:rsidRDefault="00C61AD5" w:rsidP="00C61AD5">
      <w:pPr>
        <w:outlineLvl w:val="1"/>
        <w:rPr>
          <w:b/>
          <w:szCs w:val="22"/>
        </w:rPr>
      </w:pPr>
      <w:r w:rsidRPr="006345E2">
        <w:rPr>
          <w:b/>
          <w:szCs w:val="22"/>
        </w:rPr>
        <w:t>Quarant</w:t>
      </w:r>
      <w:r w:rsidR="00D166B3">
        <w:rPr>
          <w:b/>
          <w:szCs w:val="22"/>
        </w:rPr>
        <w:t>ième session</w:t>
      </w:r>
    </w:p>
    <w:p w:rsidR="008B2CC1" w:rsidRPr="006345E2" w:rsidRDefault="00C61AD5" w:rsidP="00035ED3">
      <w:pPr>
        <w:spacing w:after="720"/>
        <w:outlineLvl w:val="1"/>
        <w:rPr>
          <w:b/>
          <w:szCs w:val="22"/>
        </w:rPr>
      </w:pPr>
      <w:r w:rsidRPr="006345E2">
        <w:rPr>
          <w:b/>
          <w:szCs w:val="22"/>
        </w:rPr>
        <w:t xml:space="preserve">Genève, </w:t>
      </w:r>
      <w:r w:rsidR="008D5BDC" w:rsidRPr="006345E2">
        <w:rPr>
          <w:b/>
          <w:szCs w:val="22"/>
        </w:rPr>
        <w:t>16 – 2</w:t>
      </w:r>
      <w:r w:rsidR="00D166B3" w:rsidRPr="006345E2">
        <w:rPr>
          <w:b/>
          <w:szCs w:val="22"/>
        </w:rPr>
        <w:t>0</w:t>
      </w:r>
      <w:r w:rsidR="00D166B3">
        <w:rPr>
          <w:b/>
          <w:szCs w:val="22"/>
        </w:rPr>
        <w:t> n</w:t>
      </w:r>
      <w:r w:rsidR="00D166B3" w:rsidRPr="006345E2">
        <w:rPr>
          <w:b/>
          <w:szCs w:val="22"/>
        </w:rPr>
        <w:t>ovembre</w:t>
      </w:r>
      <w:r w:rsidR="00D166B3">
        <w:rPr>
          <w:b/>
          <w:szCs w:val="22"/>
        </w:rPr>
        <w:t> </w:t>
      </w:r>
      <w:r w:rsidR="00D166B3" w:rsidRPr="006345E2">
        <w:rPr>
          <w:b/>
          <w:szCs w:val="22"/>
        </w:rPr>
        <w:t>20</w:t>
      </w:r>
      <w:r w:rsidRPr="006345E2">
        <w:rPr>
          <w:b/>
          <w:szCs w:val="22"/>
        </w:rPr>
        <w:t>20</w:t>
      </w:r>
    </w:p>
    <w:p w:rsidR="008B2CC1" w:rsidRPr="00035ED3" w:rsidRDefault="00035ED3" w:rsidP="00035ED3">
      <w:pPr>
        <w:spacing w:after="360"/>
        <w:rPr>
          <w:caps/>
          <w:sz w:val="24"/>
          <w:lang w:val="fr-FR"/>
        </w:rPr>
      </w:pPr>
      <w:bookmarkStart w:id="4" w:name="TitleOfDoc"/>
      <w:r w:rsidRPr="00035ED3">
        <w:rPr>
          <w:caps/>
          <w:sz w:val="24"/>
          <w:lang w:val="fr-FR"/>
        </w:rPr>
        <w:t>Équipe d’experts sur le droit de suite</w:t>
      </w:r>
    </w:p>
    <w:p w:rsidR="008E585B" w:rsidRPr="006345E2" w:rsidRDefault="00035ED3" w:rsidP="007C3BD8">
      <w:pPr>
        <w:spacing w:after="1040"/>
        <w:jc w:val="both"/>
        <w:rPr>
          <w:i/>
          <w:szCs w:val="22"/>
          <w:lang w:val="fr-FR"/>
        </w:rPr>
      </w:pPr>
      <w:bookmarkStart w:id="5" w:name="Prepared"/>
      <w:bookmarkEnd w:id="4"/>
      <w:r>
        <w:rPr>
          <w:i/>
          <w:szCs w:val="22"/>
          <w:lang w:val="fr-FR"/>
        </w:rPr>
        <w:t xml:space="preserve">Document </w:t>
      </w:r>
      <w:r w:rsidR="00466717" w:rsidRPr="006345E2">
        <w:rPr>
          <w:i/>
          <w:szCs w:val="22"/>
          <w:lang w:val="fr-FR"/>
        </w:rPr>
        <w:t>établi par M. Ricketson (Australie)</w:t>
      </w:r>
    </w:p>
    <w:bookmarkEnd w:id="5"/>
    <w:p w:rsidR="00466717" w:rsidRPr="006345E2" w:rsidRDefault="00466717">
      <w:pPr>
        <w:rPr>
          <w:szCs w:val="22"/>
          <w:lang w:val="fr-FR"/>
        </w:rPr>
      </w:pPr>
      <w:r w:rsidRPr="006345E2">
        <w:rPr>
          <w:szCs w:val="22"/>
          <w:lang w:val="fr-FR"/>
        </w:rPr>
        <w:br w:type="page"/>
      </w:r>
    </w:p>
    <w:p w:rsidR="00466717" w:rsidRPr="006345E2" w:rsidRDefault="00466717" w:rsidP="00035ED3">
      <w:pPr>
        <w:pStyle w:val="Heading1"/>
        <w:rPr>
          <w:rFonts w:eastAsia="Times New Roman"/>
          <w:szCs w:val="22"/>
          <w:lang w:val="fr-FR"/>
        </w:rPr>
      </w:pPr>
      <w:r w:rsidRPr="006345E2">
        <w:rPr>
          <w:rFonts w:eastAsia="Times New Roman"/>
          <w:szCs w:val="22"/>
          <w:lang w:val="fr-FR"/>
        </w:rPr>
        <w:lastRenderedPageBreak/>
        <w:t>Équipe d</w:t>
      </w:r>
      <w:r w:rsidR="00D166B3">
        <w:rPr>
          <w:rFonts w:eastAsia="Times New Roman"/>
          <w:szCs w:val="22"/>
          <w:lang w:val="fr-FR"/>
        </w:rPr>
        <w:t>’</w:t>
      </w:r>
      <w:r w:rsidRPr="006345E2">
        <w:rPr>
          <w:rFonts w:eastAsia="Times New Roman"/>
          <w:szCs w:val="22"/>
          <w:lang w:val="fr-FR"/>
        </w:rPr>
        <w:t>experts sur le droit de suite</w:t>
      </w:r>
    </w:p>
    <w:p w:rsidR="00466717" w:rsidRPr="006345E2" w:rsidRDefault="00466717" w:rsidP="00035ED3">
      <w:pPr>
        <w:pStyle w:val="Heading1"/>
        <w:rPr>
          <w:szCs w:val="22"/>
          <w:lang w:val="fr-FR"/>
        </w:rPr>
      </w:pPr>
      <w:r w:rsidRPr="006345E2">
        <w:rPr>
          <w:szCs w:val="22"/>
          <w:lang w:val="fr-FR"/>
        </w:rPr>
        <w:t>Sous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groupe de travail</w:t>
      </w:r>
      <w:r w:rsidRPr="006345E2">
        <w:rPr>
          <w:rFonts w:eastAsia="Times New Roman"/>
          <w:szCs w:val="22"/>
          <w:lang w:val="fr-FR"/>
        </w:rPr>
        <w:t xml:space="preserve"> n° 2 sur la gestion du droit de suite et ses modalités </w:t>
      </w:r>
      <w:r w:rsidR="006345E2">
        <w:rPr>
          <w:rFonts w:eastAsia="Times New Roman"/>
          <w:szCs w:val="22"/>
          <w:lang w:val="fr-FR"/>
        </w:rPr>
        <w:t>d</w:t>
      </w:r>
      <w:r w:rsidR="00D166B3">
        <w:rPr>
          <w:rFonts w:eastAsia="Times New Roman"/>
          <w:szCs w:val="22"/>
          <w:lang w:val="fr-FR"/>
        </w:rPr>
        <w:t>’</w:t>
      </w:r>
      <w:r w:rsidR="006345E2">
        <w:rPr>
          <w:rFonts w:eastAsia="Times New Roman"/>
          <w:szCs w:val="22"/>
          <w:lang w:val="fr-FR"/>
        </w:rPr>
        <w:t>application</w:t>
      </w:r>
      <w:r w:rsidRPr="006345E2">
        <w:rPr>
          <w:rFonts w:eastAsia="Times New Roman"/>
          <w:szCs w:val="22"/>
          <w:lang w:val="fr-FR"/>
        </w:rPr>
        <w:t xml:space="preserve"> </w:t>
      </w:r>
      <w:r w:rsidRPr="006345E2">
        <w:rPr>
          <w:szCs w:val="22"/>
          <w:lang w:val="fr-FR"/>
        </w:rPr>
        <w:t>dans certains ressorts juridiques – Résumé des travaux réalisés à ce jour</w:t>
      </w:r>
    </w:p>
    <w:p w:rsidR="00466717" w:rsidRPr="006345E2" w:rsidRDefault="00466717" w:rsidP="00035ED3">
      <w:pPr>
        <w:pStyle w:val="Heading1"/>
        <w:rPr>
          <w:szCs w:val="22"/>
          <w:lang w:val="fr-FR"/>
        </w:rPr>
      </w:pPr>
      <w:r w:rsidRPr="006345E2">
        <w:rPr>
          <w:szCs w:val="22"/>
          <w:lang w:val="fr-FR"/>
        </w:rPr>
        <w:t>Co</w:t>
      </w:r>
      <w:r w:rsidR="009D522B">
        <w:rPr>
          <w:szCs w:val="22"/>
          <w:lang w:val="fr-FR"/>
        </w:rPr>
        <w:t>mposit</w:t>
      </w:r>
      <w:r w:rsidRPr="006345E2">
        <w:rPr>
          <w:szCs w:val="22"/>
          <w:lang w:val="fr-FR"/>
        </w:rPr>
        <w:t>ion du sous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groupe de travail</w:t>
      </w:r>
    </w:p>
    <w:p w:rsidR="00466717" w:rsidRPr="006345E2" w:rsidRDefault="00466717" w:rsidP="00035ED3">
      <w:pPr>
        <w:pStyle w:val="Heading1"/>
        <w:spacing w:before="120" w:after="120"/>
        <w:rPr>
          <w:szCs w:val="22"/>
          <w:lang w:val="fr-FR"/>
        </w:rPr>
      </w:pPr>
      <w:r w:rsidRPr="006345E2">
        <w:rPr>
          <w:szCs w:val="22"/>
          <w:lang w:val="fr-FR"/>
        </w:rPr>
        <w:t xml:space="preserve">M. Sam Ricketson (Australie) – </w:t>
      </w:r>
      <w:r w:rsidR="00035ED3">
        <w:rPr>
          <w:szCs w:val="22"/>
          <w:lang w:val="fr-FR"/>
        </w:rPr>
        <w:t>coordonnateur</w:t>
      </w:r>
      <w:r w:rsidRPr="006345E2">
        <w:rPr>
          <w:szCs w:val="22"/>
          <w:lang w:val="fr-FR"/>
        </w:rPr>
        <w:t>;  M. Lábody Péter Csaba, vice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président du SCCR, Office hongrois du droit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auteur;  Mme Reema Selhi, DACS, responsable des questions juridiques et politiques (Royaume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Uni).</w:t>
      </w:r>
    </w:p>
    <w:p w:rsidR="00466717" w:rsidRPr="006345E2" w:rsidRDefault="00466717" w:rsidP="00035ED3">
      <w:pPr>
        <w:pStyle w:val="Heading1"/>
        <w:spacing w:before="120" w:after="120"/>
        <w:rPr>
          <w:szCs w:val="22"/>
          <w:lang w:val="fr-FR"/>
        </w:rPr>
      </w:pPr>
      <w:r w:rsidRPr="006345E2">
        <w:rPr>
          <w:szCs w:val="22"/>
          <w:lang w:val="fr-FR"/>
        </w:rPr>
        <w:t>Des contributions inestimables ont également été apportées par Judy </w:t>
      </w:r>
      <w:r w:rsidR="00E17D40">
        <w:rPr>
          <w:szCs w:val="22"/>
          <w:lang w:val="fr-FR"/>
        </w:rPr>
        <w:t xml:space="preserve">Grady, </w:t>
      </w:r>
      <w:r w:rsidRPr="006345E2">
        <w:rPr>
          <w:szCs w:val="22"/>
          <w:lang w:val="fr-FR"/>
        </w:rPr>
        <w:t>Copyright Agency (Australie);  Mats Lindberg, ancien directeur général de la Visual Copyright Society (Suède) et directeur du Swedish Copyright Office and Consultants (SCOC);  et Marie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Anne Ferry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Fall, directrice générale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ADAGP (France).</w:t>
      </w:r>
    </w:p>
    <w:p w:rsidR="00466717" w:rsidRPr="006345E2" w:rsidRDefault="00035ED3" w:rsidP="00035ED3">
      <w:pPr>
        <w:pStyle w:val="Heading1"/>
        <w:rPr>
          <w:szCs w:val="22"/>
          <w:lang w:val="fr-FR"/>
        </w:rPr>
      </w:pPr>
      <w:r>
        <w:rPr>
          <w:szCs w:val="22"/>
          <w:lang w:val="fr-FR"/>
        </w:rPr>
        <w:t>M</w:t>
      </w:r>
      <w:r w:rsidR="00466717" w:rsidRPr="006345E2">
        <w:rPr>
          <w:szCs w:val="22"/>
          <w:lang w:val="fr-FR"/>
        </w:rPr>
        <w:t>ission confiée au sous</w:t>
      </w:r>
      <w:r>
        <w:rPr>
          <w:szCs w:val="22"/>
          <w:lang w:val="fr-FR"/>
        </w:rPr>
        <w:noBreakHyphen/>
      </w:r>
      <w:r w:rsidR="00466717" w:rsidRPr="006345E2">
        <w:rPr>
          <w:szCs w:val="22"/>
          <w:lang w:val="fr-FR"/>
        </w:rPr>
        <w:t>groupe de travail</w:t>
      </w:r>
    </w:p>
    <w:p w:rsidR="00466717" w:rsidRPr="006345E2" w:rsidRDefault="00466717" w:rsidP="004C496A">
      <w:pPr>
        <w:spacing w:before="240" w:after="120"/>
        <w:rPr>
          <w:szCs w:val="22"/>
          <w:lang w:val="fr-FR"/>
        </w:rPr>
      </w:pPr>
      <w:r w:rsidRPr="006345E2">
        <w:rPr>
          <w:szCs w:val="22"/>
          <w:lang w:val="fr-FR"/>
        </w:rPr>
        <w:t>Le sous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 xml:space="preserve">groupe de travail a été chargé de fournir un aperçu des principales caractéristiques de la gestion du droit de suite dans </w:t>
      </w:r>
      <w:r w:rsidR="003B7EA9">
        <w:rPr>
          <w:szCs w:val="22"/>
          <w:lang w:val="fr-FR"/>
        </w:rPr>
        <w:t xml:space="preserve">un </w:t>
      </w:r>
      <w:r w:rsidRPr="006345E2">
        <w:rPr>
          <w:szCs w:val="22"/>
          <w:lang w:val="fr-FR"/>
        </w:rPr>
        <w:t>certain</w:t>
      </w:r>
      <w:r w:rsidR="003B7EA9">
        <w:rPr>
          <w:szCs w:val="22"/>
          <w:lang w:val="fr-FR"/>
        </w:rPr>
        <w:t xml:space="preserve"> nombre</w:t>
      </w:r>
      <w:r w:rsidRPr="006345E2">
        <w:rPr>
          <w:szCs w:val="22"/>
          <w:lang w:val="fr-FR"/>
        </w:rPr>
        <w:t xml:space="preserve"> </w:t>
      </w:r>
      <w:r w:rsidR="00E17D40">
        <w:rPr>
          <w:szCs w:val="22"/>
          <w:lang w:val="fr-FR"/>
        </w:rPr>
        <w:t xml:space="preserve">de </w:t>
      </w:r>
      <w:r w:rsidRPr="006345E2">
        <w:rPr>
          <w:szCs w:val="22"/>
          <w:lang w:val="fr-FR"/>
        </w:rPr>
        <w:t xml:space="preserve">ressorts </w:t>
      </w:r>
      <w:r w:rsidR="00E17D40">
        <w:rPr>
          <w:szCs w:val="22"/>
          <w:lang w:val="fr-FR"/>
        </w:rPr>
        <w:t xml:space="preserve">juridiques </w:t>
      </w:r>
      <w:r w:rsidRPr="006345E2">
        <w:rPr>
          <w:szCs w:val="22"/>
          <w:lang w:val="fr-FR"/>
        </w:rPr>
        <w:t xml:space="preserve">où </w:t>
      </w:r>
      <w:r w:rsidR="00E17D40">
        <w:rPr>
          <w:szCs w:val="22"/>
          <w:lang w:val="fr-FR"/>
        </w:rPr>
        <w:t>celui</w:t>
      </w:r>
      <w:r w:rsidR="00035ED3">
        <w:rPr>
          <w:szCs w:val="22"/>
          <w:lang w:val="fr-FR"/>
        </w:rPr>
        <w:noBreakHyphen/>
      </w:r>
      <w:r w:rsidR="00E17D40">
        <w:rPr>
          <w:szCs w:val="22"/>
          <w:lang w:val="fr-FR"/>
        </w:rPr>
        <w:t>ci</w:t>
      </w:r>
      <w:r w:rsidRPr="006345E2">
        <w:rPr>
          <w:szCs w:val="22"/>
          <w:lang w:val="fr-FR"/>
        </w:rPr>
        <w:t xml:space="preserve"> a été </w:t>
      </w:r>
      <w:r w:rsidR="00E17D40">
        <w:rPr>
          <w:szCs w:val="22"/>
          <w:lang w:val="fr-FR"/>
        </w:rPr>
        <w:t>introduit</w:t>
      </w:r>
      <w:r w:rsidRPr="006345E2">
        <w:rPr>
          <w:szCs w:val="22"/>
          <w:lang w:val="fr-FR"/>
        </w:rPr>
        <w:t xml:space="preserve"> (depuis plus ou moins longtemps).  </w:t>
      </w:r>
      <w:r w:rsidR="00E17D40">
        <w:rPr>
          <w:szCs w:val="22"/>
          <w:lang w:val="fr-FR"/>
        </w:rPr>
        <w:t>À ce jour</w:t>
      </w:r>
      <w:r w:rsidRPr="006345E2">
        <w:rPr>
          <w:szCs w:val="22"/>
          <w:lang w:val="fr-FR"/>
        </w:rPr>
        <w:t>, les ressorts juridiques suivants</w:t>
      </w:r>
      <w:r w:rsidR="003B7EA9">
        <w:rPr>
          <w:szCs w:val="22"/>
          <w:lang w:val="fr-FR"/>
        </w:rPr>
        <w:t xml:space="preserve"> ont été étudiés</w:t>
      </w:r>
      <w:r w:rsidR="00D166B3">
        <w:rPr>
          <w:szCs w:val="22"/>
          <w:lang w:val="fr-FR"/>
        </w:rPr>
        <w:t> :</w:t>
      </w:r>
      <w:r w:rsidRPr="006345E2">
        <w:rPr>
          <w:szCs w:val="22"/>
          <w:lang w:val="fr-FR"/>
        </w:rPr>
        <w:t xml:space="preserve"> Australie, Brésil, Fédération de Russie, France, Hongrie, Pologne, République tchèque, Royaume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Uni, Slovaquie, Suède et Uruguay.  À ce stade, toutefois, nos travaux n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ont pas porté sur la mise en œuvre et la gestion du droit de suite dans les pays en développement, même s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il convient de noter qu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un certain nombre de pays africains ont </w:t>
      </w:r>
      <w:r w:rsidR="00090F33">
        <w:rPr>
          <w:szCs w:val="22"/>
          <w:lang w:val="fr-FR"/>
        </w:rPr>
        <w:t>légiféré en la matière</w:t>
      </w:r>
      <w:r w:rsidRPr="006345E2">
        <w:rPr>
          <w:szCs w:val="22"/>
          <w:lang w:val="fr-FR"/>
        </w:rPr>
        <w:t xml:space="preserve"> (Sénégal, Mali).</w:t>
      </w:r>
    </w:p>
    <w:p w:rsidR="00466717" w:rsidRPr="006345E2" w:rsidRDefault="003F1E2A" w:rsidP="00035ED3">
      <w:pPr>
        <w:spacing w:before="120" w:after="120"/>
        <w:rPr>
          <w:szCs w:val="22"/>
          <w:lang w:val="fr-FR"/>
        </w:rPr>
      </w:pPr>
      <w:r>
        <w:rPr>
          <w:szCs w:val="22"/>
          <w:lang w:val="fr-FR"/>
        </w:rPr>
        <w:t>Par ailleurs</w:t>
      </w:r>
      <w:r w:rsidR="00466717" w:rsidRPr="006345E2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le S</w:t>
      </w:r>
      <w:r w:rsidRPr="006345E2">
        <w:rPr>
          <w:szCs w:val="22"/>
          <w:lang w:val="fr-FR"/>
        </w:rPr>
        <w:t>ecrétaire général de la Confédération Internationale des Négociants en Œuvres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Art (CINOA)</w:t>
      </w:r>
      <w:r>
        <w:rPr>
          <w:szCs w:val="22"/>
          <w:lang w:val="fr-FR"/>
        </w:rPr>
        <w:t xml:space="preserve"> </w:t>
      </w:r>
      <w:r w:rsidR="00466717" w:rsidRPr="006345E2">
        <w:rPr>
          <w:szCs w:val="22"/>
          <w:lang w:val="fr-FR"/>
        </w:rPr>
        <w:t xml:space="preserve">nous </w:t>
      </w:r>
      <w:r>
        <w:rPr>
          <w:szCs w:val="22"/>
          <w:lang w:val="fr-FR"/>
        </w:rPr>
        <w:t>a</w:t>
      </w:r>
      <w:r w:rsidR="00466717" w:rsidRPr="006345E2">
        <w:rPr>
          <w:szCs w:val="22"/>
          <w:lang w:val="fr-FR"/>
        </w:rPr>
        <w:t xml:space="preserve"> </w:t>
      </w:r>
      <w:r>
        <w:rPr>
          <w:szCs w:val="22"/>
          <w:lang w:val="fr-FR"/>
        </w:rPr>
        <w:t>transmis</w:t>
      </w:r>
      <w:r w:rsidR="00466717" w:rsidRPr="006345E2">
        <w:rPr>
          <w:szCs w:val="22"/>
          <w:lang w:val="fr-FR"/>
        </w:rPr>
        <w:t xml:space="preserve"> </w:t>
      </w:r>
      <w:r w:rsidR="003B7EA9">
        <w:rPr>
          <w:szCs w:val="22"/>
          <w:lang w:val="fr-FR"/>
        </w:rPr>
        <w:t>s</w:t>
      </w:r>
      <w:r w:rsidR="00466717" w:rsidRPr="006345E2">
        <w:rPr>
          <w:szCs w:val="22"/>
          <w:lang w:val="fr-FR"/>
        </w:rPr>
        <w:t xml:space="preserve">es </w:t>
      </w:r>
      <w:r w:rsidR="003B7EA9">
        <w:rPr>
          <w:szCs w:val="22"/>
          <w:lang w:val="fr-FR"/>
        </w:rPr>
        <w:t>réflexions</w:t>
      </w:r>
      <w:r w:rsidR="00466717" w:rsidRPr="006345E2">
        <w:rPr>
          <w:szCs w:val="22"/>
          <w:lang w:val="fr-FR"/>
        </w:rPr>
        <w:t xml:space="preserve"> sur certains aspects du fonctionnement du droit de suite.</w:t>
      </w:r>
    </w:p>
    <w:p w:rsidR="00466717" w:rsidRPr="006345E2" w:rsidRDefault="00035ED3" w:rsidP="004C496A">
      <w:pPr>
        <w:pStyle w:val="Heading1"/>
        <w:spacing w:before="480" w:after="220"/>
        <w:rPr>
          <w:szCs w:val="22"/>
          <w:lang w:val="fr-FR"/>
        </w:rPr>
      </w:pPr>
      <w:r>
        <w:rPr>
          <w:szCs w:val="22"/>
          <w:lang w:val="fr-FR"/>
        </w:rPr>
        <w:t>Q</w:t>
      </w:r>
      <w:r w:rsidR="00466717" w:rsidRPr="006345E2">
        <w:rPr>
          <w:szCs w:val="22"/>
          <w:lang w:val="fr-FR"/>
        </w:rPr>
        <w:t>uestions posées</w:t>
      </w:r>
    </w:p>
    <w:p w:rsidR="00466717" w:rsidRPr="006345E2" w:rsidRDefault="00466717" w:rsidP="00035ED3">
      <w:pPr>
        <w:spacing w:before="120" w:after="120"/>
        <w:rPr>
          <w:szCs w:val="22"/>
          <w:lang w:val="fr-FR"/>
        </w:rPr>
      </w:pPr>
      <w:r w:rsidRPr="006345E2">
        <w:rPr>
          <w:szCs w:val="22"/>
          <w:lang w:val="fr-FR"/>
        </w:rPr>
        <w:t>Le sous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groupe de travail a élaboré un projet de rapport à partir des réponses fournies par les représentants des sociétés de perception concernées dans chaque pays</w:t>
      </w:r>
      <w:r w:rsidR="00D80481" w:rsidRPr="006345E2">
        <w:rPr>
          <w:rStyle w:val="FootnoteReference"/>
          <w:szCs w:val="22"/>
        </w:rPr>
        <w:footnoteReference w:id="2"/>
      </w:r>
      <w:r w:rsidR="00D80481">
        <w:rPr>
          <w:szCs w:val="22"/>
        </w:rPr>
        <w:t xml:space="preserve"> (</w:t>
      </w:r>
      <w:r w:rsidR="00D80481">
        <w:rPr>
          <w:szCs w:val="22"/>
          <w:lang w:val="fr-FR"/>
        </w:rPr>
        <w:t>excepté la</w:t>
      </w:r>
      <w:r w:rsidRPr="006345E2">
        <w:rPr>
          <w:szCs w:val="22"/>
          <w:lang w:val="fr-FR"/>
        </w:rPr>
        <w:t xml:space="preserve"> Pologne</w:t>
      </w:r>
      <w:r w:rsidR="00D80481">
        <w:rPr>
          <w:szCs w:val="22"/>
          <w:lang w:val="fr-FR"/>
        </w:rPr>
        <w:t>)</w:t>
      </w:r>
      <w:r w:rsidRPr="006345E2">
        <w:rPr>
          <w:szCs w:val="22"/>
          <w:lang w:val="fr-FR"/>
        </w:rPr>
        <w:t xml:space="preserve"> aux questions suivantes communiquées par le </w:t>
      </w:r>
      <w:r w:rsidR="00135CCE">
        <w:rPr>
          <w:szCs w:val="22"/>
          <w:lang w:val="fr-FR"/>
        </w:rPr>
        <w:t>coordonnateur</w:t>
      </w:r>
      <w:r w:rsidRPr="006345E2">
        <w:rPr>
          <w:szCs w:val="22"/>
          <w:lang w:val="fr-FR"/>
        </w:rPr>
        <w:t xml:space="preserve"> du sous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groupe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équipe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experts</w:t>
      </w:r>
      <w:r w:rsidR="00D166B3">
        <w:rPr>
          <w:szCs w:val="22"/>
          <w:lang w:val="fr-FR"/>
        </w:rPr>
        <w:t> :</w:t>
      </w:r>
    </w:p>
    <w:p w:rsidR="00466717" w:rsidRPr="006345E2" w:rsidRDefault="00135CCE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Quand</w:t>
      </w:r>
      <w:r w:rsidR="00466717" w:rsidRPr="006345E2">
        <w:rPr>
          <w:rFonts w:ascii="Arial" w:hAnsi="Arial" w:cs="Arial"/>
          <w:sz w:val="22"/>
          <w:szCs w:val="22"/>
          <w:lang w:val="fr-FR"/>
        </w:rPr>
        <w:t xml:space="preserve"> le droit de suite a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466717" w:rsidRPr="006345E2">
        <w:rPr>
          <w:rFonts w:ascii="Arial" w:hAnsi="Arial" w:cs="Arial"/>
          <w:sz w:val="22"/>
          <w:szCs w:val="22"/>
          <w:lang w:val="fr-FR"/>
        </w:rPr>
        <w:t>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D80481">
        <w:rPr>
          <w:rFonts w:ascii="Arial" w:hAnsi="Arial" w:cs="Arial"/>
          <w:sz w:val="22"/>
          <w:szCs w:val="22"/>
          <w:lang w:val="fr-FR"/>
        </w:rPr>
        <w:t xml:space="preserve">il été </w:t>
      </w:r>
      <w:r w:rsidR="00020AFD">
        <w:rPr>
          <w:rFonts w:ascii="Arial" w:hAnsi="Arial" w:cs="Arial"/>
          <w:sz w:val="22"/>
          <w:szCs w:val="22"/>
          <w:lang w:val="fr-FR"/>
        </w:rPr>
        <w:t>établi</w:t>
      </w:r>
      <w:r w:rsidR="00D80481">
        <w:rPr>
          <w:rFonts w:ascii="Arial" w:hAnsi="Arial" w:cs="Arial"/>
          <w:sz w:val="22"/>
          <w:szCs w:val="22"/>
          <w:lang w:val="fr-FR"/>
        </w:rPr>
        <w:t xml:space="preserve"> dans votre pays</w:t>
      </w:r>
      <w:r w:rsidR="00466717" w:rsidRPr="006345E2">
        <w:rPr>
          <w:rFonts w:ascii="Arial" w:hAnsi="Arial" w:cs="Arial"/>
          <w:sz w:val="22"/>
          <w:szCs w:val="22"/>
          <w:lang w:val="fr-FR"/>
        </w:rPr>
        <w:t xml:space="preserve"> et de quelle manière</w:t>
      </w:r>
      <w:r w:rsidR="00D80481">
        <w:rPr>
          <w:rFonts w:ascii="Arial" w:hAnsi="Arial" w:cs="Arial"/>
          <w:sz w:val="22"/>
          <w:szCs w:val="22"/>
          <w:lang w:val="fr-FR"/>
        </w:rPr>
        <w:t xml:space="preserve"> (</w:t>
      </w:r>
      <w:r w:rsidR="00466717" w:rsidRPr="006345E2">
        <w:rPr>
          <w:rFonts w:ascii="Arial" w:hAnsi="Arial" w:cs="Arial"/>
          <w:sz w:val="22"/>
          <w:szCs w:val="22"/>
          <w:lang w:val="fr-FR"/>
        </w:rPr>
        <w:t>par exemple</w:t>
      </w:r>
      <w:r w:rsidR="00D80481">
        <w:rPr>
          <w:rFonts w:ascii="Arial" w:hAnsi="Arial" w:cs="Arial"/>
          <w:sz w:val="22"/>
          <w:szCs w:val="22"/>
          <w:lang w:val="fr-FR"/>
        </w:rPr>
        <w:t>,</w:t>
      </w:r>
      <w:r w:rsidR="00466717" w:rsidRPr="006345E2">
        <w:rPr>
          <w:rFonts w:ascii="Arial" w:hAnsi="Arial" w:cs="Arial"/>
          <w:sz w:val="22"/>
          <w:szCs w:val="22"/>
          <w:lang w:val="fr-FR"/>
        </w:rPr>
        <w:t xml:space="preserve"> en l</w:t>
      </w:r>
      <w:r w:rsidR="00D166B3">
        <w:rPr>
          <w:rFonts w:ascii="Arial" w:hAnsi="Arial" w:cs="Arial"/>
          <w:sz w:val="22"/>
          <w:szCs w:val="22"/>
          <w:lang w:val="fr-FR"/>
        </w:rPr>
        <w:t>’</w:t>
      </w:r>
      <w:r w:rsidR="00466717" w:rsidRPr="006345E2">
        <w:rPr>
          <w:rFonts w:ascii="Arial" w:hAnsi="Arial" w:cs="Arial"/>
          <w:sz w:val="22"/>
          <w:szCs w:val="22"/>
          <w:lang w:val="fr-FR"/>
        </w:rPr>
        <w:t xml:space="preserve">intégrant </w:t>
      </w:r>
      <w:r w:rsidR="00D80481">
        <w:rPr>
          <w:rFonts w:ascii="Arial" w:hAnsi="Arial" w:cs="Arial"/>
          <w:sz w:val="22"/>
          <w:szCs w:val="22"/>
          <w:lang w:val="fr-FR"/>
        </w:rPr>
        <w:t>à</w:t>
      </w:r>
      <w:r w:rsidR="00466717" w:rsidRPr="006345E2">
        <w:rPr>
          <w:rFonts w:ascii="Arial" w:hAnsi="Arial" w:cs="Arial"/>
          <w:sz w:val="22"/>
          <w:szCs w:val="22"/>
          <w:lang w:val="fr-FR"/>
        </w:rPr>
        <w:t xml:space="preserve"> votre législation nationale sur le droit d</w:t>
      </w:r>
      <w:r w:rsidR="00D166B3">
        <w:rPr>
          <w:rFonts w:ascii="Arial" w:hAnsi="Arial" w:cs="Arial"/>
          <w:sz w:val="22"/>
          <w:szCs w:val="22"/>
          <w:lang w:val="fr-FR"/>
        </w:rPr>
        <w:t>’</w:t>
      </w:r>
      <w:r w:rsidR="00466717" w:rsidRPr="006345E2">
        <w:rPr>
          <w:rFonts w:ascii="Arial" w:hAnsi="Arial" w:cs="Arial"/>
          <w:sz w:val="22"/>
          <w:szCs w:val="22"/>
          <w:lang w:val="fr-FR"/>
        </w:rPr>
        <w:t>auteur, dans le cadre d</w:t>
      </w:r>
      <w:r w:rsidR="00D166B3">
        <w:rPr>
          <w:rFonts w:ascii="Arial" w:hAnsi="Arial" w:cs="Arial"/>
          <w:sz w:val="22"/>
          <w:szCs w:val="22"/>
          <w:lang w:val="fr-FR"/>
        </w:rPr>
        <w:t>’</w:t>
      </w:r>
      <w:r w:rsidR="00D80481">
        <w:rPr>
          <w:rFonts w:ascii="Arial" w:hAnsi="Arial" w:cs="Arial"/>
          <w:sz w:val="22"/>
          <w:szCs w:val="22"/>
          <w:lang w:val="fr-FR"/>
        </w:rPr>
        <w:t>une réglementation distincte</w:t>
      </w:r>
      <w:r w:rsidR="00466717" w:rsidRPr="006345E2">
        <w:rPr>
          <w:rFonts w:ascii="Arial" w:hAnsi="Arial" w:cs="Arial"/>
          <w:sz w:val="22"/>
          <w:szCs w:val="22"/>
          <w:lang w:val="fr-FR"/>
        </w:rPr>
        <w:t xml:space="preserve"> ou </w:t>
      </w:r>
      <w:r w:rsidR="00D80481">
        <w:rPr>
          <w:rFonts w:ascii="Arial" w:hAnsi="Arial" w:cs="Arial"/>
          <w:sz w:val="22"/>
          <w:szCs w:val="22"/>
          <w:lang w:val="fr-FR"/>
        </w:rPr>
        <w:t>d</w:t>
      </w:r>
      <w:r w:rsidR="00D166B3">
        <w:rPr>
          <w:rFonts w:ascii="Arial" w:hAnsi="Arial" w:cs="Arial"/>
          <w:sz w:val="22"/>
          <w:szCs w:val="22"/>
          <w:lang w:val="fr-FR"/>
        </w:rPr>
        <w:t>’</w:t>
      </w:r>
      <w:r w:rsidR="00D80481">
        <w:rPr>
          <w:rFonts w:ascii="Arial" w:hAnsi="Arial" w:cs="Arial"/>
          <w:sz w:val="22"/>
          <w:szCs w:val="22"/>
          <w:lang w:val="fr-FR"/>
        </w:rPr>
        <w:t>une autre manière)</w:t>
      </w:r>
      <w:r w:rsidR="00466717" w:rsidRPr="006345E2">
        <w:rPr>
          <w:rFonts w:ascii="Arial" w:hAnsi="Arial" w:cs="Arial"/>
          <w:sz w:val="22"/>
          <w:szCs w:val="22"/>
          <w:lang w:val="fr-FR"/>
        </w:rPr>
        <w:t>?</w:t>
      </w:r>
    </w:p>
    <w:p w:rsidR="00466717" w:rsidRPr="006345E2" w:rsidRDefault="00466717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6345E2">
        <w:rPr>
          <w:rFonts w:ascii="Arial" w:hAnsi="Arial" w:cs="Arial"/>
          <w:sz w:val="22"/>
          <w:szCs w:val="22"/>
          <w:lang w:val="fr-FR"/>
        </w:rPr>
        <w:t xml:space="preserve">Quelles sont les œuvres </w:t>
      </w:r>
      <w:r w:rsidR="00135CCE">
        <w:rPr>
          <w:rFonts w:ascii="Arial" w:hAnsi="Arial" w:cs="Arial"/>
          <w:sz w:val="22"/>
          <w:szCs w:val="22"/>
          <w:lang w:val="fr-FR"/>
        </w:rPr>
        <w:t>soumises au droit de suite</w:t>
      </w:r>
      <w:r w:rsidRPr="006345E2">
        <w:rPr>
          <w:rFonts w:ascii="Arial" w:hAnsi="Arial" w:cs="Arial"/>
          <w:sz w:val="22"/>
          <w:szCs w:val="22"/>
          <w:lang w:val="fr-FR"/>
        </w:rPr>
        <w:t>?  Par exemple, existe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>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>il des limitations quant aux types d</w:t>
      </w:r>
      <w:r w:rsidR="00D166B3">
        <w:rPr>
          <w:rFonts w:ascii="Arial" w:hAnsi="Arial" w:cs="Arial"/>
          <w:sz w:val="22"/>
          <w:szCs w:val="22"/>
          <w:lang w:val="fr-FR"/>
        </w:rPr>
        <w:t>’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œuvres artistiques </w:t>
      </w:r>
      <w:r w:rsidR="00135CCE">
        <w:rPr>
          <w:rFonts w:ascii="Arial" w:hAnsi="Arial" w:cs="Arial"/>
          <w:sz w:val="22"/>
          <w:szCs w:val="22"/>
          <w:lang w:val="fr-FR"/>
        </w:rPr>
        <w:t>soumises au droit de suite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ou </w:t>
      </w:r>
      <w:r w:rsidR="00135CCE">
        <w:rPr>
          <w:rFonts w:ascii="Arial" w:hAnsi="Arial" w:cs="Arial"/>
          <w:sz w:val="22"/>
          <w:szCs w:val="22"/>
          <w:lang w:val="fr-FR"/>
        </w:rPr>
        <w:t>celui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135CCE">
        <w:rPr>
          <w:rFonts w:ascii="Arial" w:hAnsi="Arial" w:cs="Arial"/>
          <w:sz w:val="22"/>
          <w:szCs w:val="22"/>
          <w:lang w:val="fr-FR"/>
        </w:rPr>
        <w:t>ci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s</w:t>
      </w:r>
      <w:r w:rsidR="00D166B3">
        <w:rPr>
          <w:rFonts w:ascii="Arial" w:hAnsi="Arial" w:cs="Arial"/>
          <w:sz w:val="22"/>
          <w:szCs w:val="22"/>
          <w:lang w:val="fr-FR"/>
        </w:rPr>
        <w:t>’</w:t>
      </w:r>
      <w:r w:rsidRPr="006345E2">
        <w:rPr>
          <w:rFonts w:ascii="Arial" w:hAnsi="Arial" w:cs="Arial"/>
          <w:sz w:val="22"/>
          <w:szCs w:val="22"/>
          <w:lang w:val="fr-FR"/>
        </w:rPr>
        <w:t>étend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135CCE">
        <w:rPr>
          <w:rFonts w:ascii="Arial" w:hAnsi="Arial" w:cs="Arial"/>
          <w:sz w:val="22"/>
          <w:szCs w:val="22"/>
          <w:lang w:val="fr-FR"/>
        </w:rPr>
        <w:t>il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au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>delà, par exemple aux manuscrits originaux?</w:t>
      </w:r>
    </w:p>
    <w:p w:rsidR="00466717" w:rsidRPr="006345E2" w:rsidRDefault="00466717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6345E2">
        <w:rPr>
          <w:rFonts w:ascii="Arial" w:hAnsi="Arial" w:cs="Arial"/>
          <w:sz w:val="22"/>
          <w:szCs w:val="22"/>
          <w:lang w:val="fr-FR"/>
        </w:rPr>
        <w:t xml:space="preserve">Quelles sont les reventes </w:t>
      </w:r>
      <w:r w:rsidR="00135CCE">
        <w:rPr>
          <w:rFonts w:ascii="Arial" w:hAnsi="Arial" w:cs="Arial"/>
          <w:sz w:val="22"/>
          <w:szCs w:val="22"/>
          <w:lang w:val="fr-FR"/>
        </w:rPr>
        <w:t>soumises au droit de suite</w:t>
      </w:r>
      <w:r w:rsidRPr="006345E2">
        <w:rPr>
          <w:rFonts w:ascii="Arial" w:hAnsi="Arial" w:cs="Arial"/>
          <w:sz w:val="22"/>
          <w:szCs w:val="22"/>
          <w:lang w:val="fr-FR"/>
        </w:rPr>
        <w:t>?  Quelles sont les exclusions prévues?</w:t>
      </w:r>
    </w:p>
    <w:p w:rsidR="00466717" w:rsidRPr="006345E2" w:rsidRDefault="00466717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6345E2">
        <w:rPr>
          <w:rFonts w:ascii="Arial" w:hAnsi="Arial" w:cs="Arial"/>
          <w:sz w:val="22"/>
          <w:szCs w:val="22"/>
          <w:lang w:val="fr-FR"/>
        </w:rPr>
        <w:t xml:space="preserve">Quel est le </w:t>
      </w:r>
      <w:r w:rsidR="00725357">
        <w:rPr>
          <w:rFonts w:ascii="Arial" w:hAnsi="Arial" w:cs="Arial"/>
          <w:sz w:val="22"/>
          <w:szCs w:val="22"/>
          <w:lang w:val="fr-FR"/>
        </w:rPr>
        <w:t>taux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</w:t>
      </w:r>
      <w:r w:rsidR="00A35503">
        <w:rPr>
          <w:rFonts w:ascii="Arial" w:hAnsi="Arial" w:cs="Arial"/>
          <w:sz w:val="22"/>
          <w:szCs w:val="22"/>
          <w:lang w:val="fr-FR"/>
        </w:rPr>
        <w:t>du droit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et comment </w:t>
      </w:r>
      <w:r w:rsidR="00D80481">
        <w:rPr>
          <w:rFonts w:ascii="Arial" w:hAnsi="Arial" w:cs="Arial"/>
          <w:sz w:val="22"/>
          <w:szCs w:val="22"/>
          <w:lang w:val="fr-FR"/>
        </w:rPr>
        <w:t>est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D80481">
        <w:rPr>
          <w:rFonts w:ascii="Arial" w:hAnsi="Arial" w:cs="Arial"/>
          <w:sz w:val="22"/>
          <w:szCs w:val="22"/>
          <w:lang w:val="fr-FR"/>
        </w:rPr>
        <w:t>il fixé</w:t>
      </w:r>
      <w:r w:rsidRPr="006345E2">
        <w:rPr>
          <w:rFonts w:ascii="Arial" w:hAnsi="Arial" w:cs="Arial"/>
          <w:sz w:val="22"/>
          <w:szCs w:val="22"/>
          <w:lang w:val="fr-FR"/>
        </w:rPr>
        <w:t>?  Des limites minimales ou</w:t>
      </w:r>
      <w:r w:rsidR="00135CCE">
        <w:rPr>
          <w:rFonts w:ascii="Arial" w:hAnsi="Arial" w:cs="Arial"/>
          <w:sz w:val="22"/>
          <w:szCs w:val="22"/>
          <w:lang w:val="fr-FR"/>
        </w:rPr>
        <w:t xml:space="preserve"> maximales sont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135CCE">
        <w:rPr>
          <w:rFonts w:ascii="Arial" w:hAnsi="Arial" w:cs="Arial"/>
          <w:sz w:val="22"/>
          <w:szCs w:val="22"/>
          <w:lang w:val="fr-FR"/>
        </w:rPr>
        <w:t>elles prévues?</w:t>
      </w:r>
    </w:p>
    <w:p w:rsidR="00466717" w:rsidRPr="006345E2" w:rsidRDefault="00466717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6345E2">
        <w:rPr>
          <w:rFonts w:ascii="Arial" w:hAnsi="Arial" w:cs="Arial"/>
          <w:sz w:val="22"/>
          <w:szCs w:val="22"/>
          <w:lang w:val="fr-FR"/>
        </w:rPr>
        <w:lastRenderedPageBreak/>
        <w:t xml:space="preserve">Qui est </w:t>
      </w:r>
      <w:r w:rsidR="00D80481">
        <w:rPr>
          <w:rFonts w:ascii="Arial" w:hAnsi="Arial" w:cs="Arial"/>
          <w:sz w:val="22"/>
          <w:szCs w:val="22"/>
          <w:lang w:val="fr-FR"/>
        </w:rPr>
        <w:t>responsable du paiement</w:t>
      </w:r>
      <w:r w:rsidRPr="006345E2">
        <w:rPr>
          <w:rFonts w:ascii="Arial" w:hAnsi="Arial" w:cs="Arial"/>
          <w:sz w:val="22"/>
          <w:szCs w:val="22"/>
          <w:lang w:val="fr-FR"/>
        </w:rPr>
        <w:t>?</w:t>
      </w:r>
    </w:p>
    <w:p w:rsidR="00466717" w:rsidRPr="006345E2" w:rsidRDefault="00466717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6345E2">
        <w:rPr>
          <w:rFonts w:ascii="Arial" w:hAnsi="Arial" w:cs="Arial"/>
          <w:sz w:val="22"/>
          <w:szCs w:val="22"/>
          <w:lang w:val="fr-FR"/>
        </w:rPr>
        <w:t>Comment le système est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>il géré?  Par exemple, est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 xml:space="preserve">il géré </w:t>
      </w:r>
      <w:r w:rsidR="00D80481" w:rsidRPr="006345E2">
        <w:rPr>
          <w:rFonts w:ascii="Arial" w:hAnsi="Arial" w:cs="Arial"/>
          <w:sz w:val="22"/>
          <w:szCs w:val="22"/>
          <w:lang w:val="fr-FR"/>
        </w:rPr>
        <w:t xml:space="preserve">par les artistes </w:t>
      </w:r>
      <w:r w:rsidR="00D80481">
        <w:rPr>
          <w:rFonts w:ascii="Arial" w:hAnsi="Arial" w:cs="Arial"/>
          <w:sz w:val="22"/>
          <w:szCs w:val="22"/>
          <w:lang w:val="fr-FR"/>
        </w:rPr>
        <w:t>de manière indi</w:t>
      </w:r>
      <w:r w:rsidR="00135CCE">
        <w:rPr>
          <w:rFonts w:ascii="Arial" w:hAnsi="Arial" w:cs="Arial"/>
          <w:sz w:val="22"/>
          <w:szCs w:val="22"/>
          <w:lang w:val="fr-FR"/>
        </w:rPr>
        <w:t>vi</w:t>
      </w:r>
      <w:r w:rsidRPr="006345E2">
        <w:rPr>
          <w:rFonts w:ascii="Arial" w:hAnsi="Arial" w:cs="Arial"/>
          <w:sz w:val="22"/>
          <w:szCs w:val="22"/>
          <w:lang w:val="fr-FR"/>
        </w:rPr>
        <w:t>duelle ou fait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>il l</w:t>
      </w:r>
      <w:r w:rsidR="00D166B3">
        <w:rPr>
          <w:rFonts w:ascii="Arial" w:hAnsi="Arial" w:cs="Arial"/>
          <w:sz w:val="22"/>
          <w:szCs w:val="22"/>
          <w:lang w:val="fr-FR"/>
        </w:rPr>
        <w:t>’</w:t>
      </w:r>
      <w:r w:rsidRPr="006345E2">
        <w:rPr>
          <w:rFonts w:ascii="Arial" w:hAnsi="Arial" w:cs="Arial"/>
          <w:sz w:val="22"/>
          <w:szCs w:val="22"/>
          <w:lang w:val="fr-FR"/>
        </w:rPr>
        <w:t>objet d</w:t>
      </w:r>
      <w:r w:rsidR="00D166B3">
        <w:rPr>
          <w:rFonts w:ascii="Arial" w:hAnsi="Arial" w:cs="Arial"/>
          <w:sz w:val="22"/>
          <w:szCs w:val="22"/>
          <w:lang w:val="fr-FR"/>
        </w:rPr>
        <w:t>’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une gestion collective, et </w:t>
      </w:r>
      <w:r w:rsidR="00D80481">
        <w:rPr>
          <w:rFonts w:ascii="Arial" w:hAnsi="Arial" w:cs="Arial"/>
          <w:sz w:val="22"/>
          <w:szCs w:val="22"/>
          <w:lang w:val="fr-FR"/>
        </w:rPr>
        <w:t>de quelle manière</w:t>
      </w:r>
      <w:r w:rsidRPr="006345E2">
        <w:rPr>
          <w:rFonts w:ascii="Arial" w:hAnsi="Arial" w:cs="Arial"/>
          <w:sz w:val="22"/>
          <w:szCs w:val="22"/>
          <w:lang w:val="fr-FR"/>
        </w:rPr>
        <w:t>?</w:t>
      </w:r>
    </w:p>
    <w:p w:rsidR="00466717" w:rsidRPr="006345E2" w:rsidRDefault="001A7603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Comment les </w:t>
      </w:r>
      <w:r w:rsidR="004B675C">
        <w:rPr>
          <w:rFonts w:ascii="Arial" w:hAnsi="Arial" w:cs="Arial"/>
          <w:sz w:val="22"/>
          <w:szCs w:val="22"/>
          <w:lang w:val="fr-FR"/>
        </w:rPr>
        <w:t>sommes perçues</w:t>
      </w:r>
      <w:r>
        <w:rPr>
          <w:rFonts w:ascii="Arial" w:hAnsi="Arial" w:cs="Arial"/>
          <w:sz w:val="22"/>
          <w:szCs w:val="22"/>
          <w:lang w:val="fr-FR"/>
        </w:rPr>
        <w:t xml:space="preserve"> sont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4B675C">
        <w:rPr>
          <w:rFonts w:ascii="Arial" w:hAnsi="Arial" w:cs="Arial"/>
          <w:sz w:val="22"/>
          <w:szCs w:val="22"/>
          <w:lang w:val="fr-FR"/>
        </w:rPr>
        <w:t>e</w:t>
      </w:r>
      <w:r>
        <w:rPr>
          <w:rFonts w:ascii="Arial" w:hAnsi="Arial" w:cs="Arial"/>
          <w:sz w:val="22"/>
          <w:szCs w:val="22"/>
          <w:lang w:val="fr-FR"/>
        </w:rPr>
        <w:t>l</w:t>
      </w:r>
      <w:r w:rsidR="004B675C">
        <w:rPr>
          <w:rFonts w:ascii="Arial" w:hAnsi="Arial" w:cs="Arial"/>
          <w:sz w:val="22"/>
          <w:szCs w:val="22"/>
          <w:lang w:val="fr-FR"/>
        </w:rPr>
        <w:t>le</w:t>
      </w:r>
      <w:r>
        <w:rPr>
          <w:rFonts w:ascii="Arial" w:hAnsi="Arial" w:cs="Arial"/>
          <w:sz w:val="22"/>
          <w:szCs w:val="22"/>
          <w:lang w:val="fr-FR"/>
        </w:rPr>
        <w:t xml:space="preserve">s </w:t>
      </w:r>
      <w:r w:rsidR="00135CCE">
        <w:rPr>
          <w:rFonts w:ascii="Arial" w:hAnsi="Arial" w:cs="Arial"/>
          <w:sz w:val="22"/>
          <w:szCs w:val="22"/>
          <w:lang w:val="fr-FR"/>
        </w:rPr>
        <w:t>redistribué</w:t>
      </w:r>
      <w:r w:rsidR="004B675C">
        <w:rPr>
          <w:rFonts w:ascii="Arial" w:hAnsi="Arial" w:cs="Arial"/>
          <w:sz w:val="22"/>
          <w:szCs w:val="22"/>
          <w:lang w:val="fr-FR"/>
        </w:rPr>
        <w:t>e</w:t>
      </w:r>
      <w:r w:rsidR="00135CCE">
        <w:rPr>
          <w:rFonts w:ascii="Arial" w:hAnsi="Arial" w:cs="Arial"/>
          <w:sz w:val="22"/>
          <w:szCs w:val="22"/>
          <w:lang w:val="fr-FR"/>
        </w:rPr>
        <w:t>s aux</w:t>
      </w:r>
      <w:r w:rsidR="00466717" w:rsidRPr="006345E2">
        <w:rPr>
          <w:rFonts w:ascii="Arial" w:hAnsi="Arial" w:cs="Arial"/>
          <w:sz w:val="22"/>
          <w:szCs w:val="22"/>
          <w:lang w:val="fr-FR"/>
        </w:rPr>
        <w:t xml:space="preserve"> artistes?  Certains groupes en bénéficient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466717" w:rsidRPr="006345E2">
        <w:rPr>
          <w:rFonts w:ascii="Arial" w:hAnsi="Arial" w:cs="Arial"/>
          <w:sz w:val="22"/>
          <w:szCs w:val="22"/>
          <w:lang w:val="fr-FR"/>
        </w:rPr>
        <w:t>ils plus que d</w:t>
      </w:r>
      <w:r w:rsidR="00D166B3">
        <w:rPr>
          <w:rFonts w:ascii="Arial" w:hAnsi="Arial" w:cs="Arial"/>
          <w:sz w:val="22"/>
          <w:szCs w:val="22"/>
          <w:lang w:val="fr-FR"/>
        </w:rPr>
        <w:t>’</w:t>
      </w:r>
      <w:r w:rsidR="00466717" w:rsidRPr="006345E2">
        <w:rPr>
          <w:rFonts w:ascii="Arial" w:hAnsi="Arial" w:cs="Arial"/>
          <w:sz w:val="22"/>
          <w:szCs w:val="22"/>
          <w:lang w:val="fr-FR"/>
        </w:rPr>
        <w:t>autres?</w:t>
      </w:r>
    </w:p>
    <w:p w:rsidR="00466717" w:rsidRPr="006345E2" w:rsidRDefault="00466717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6345E2">
        <w:rPr>
          <w:rFonts w:ascii="Arial" w:hAnsi="Arial" w:cs="Arial"/>
          <w:sz w:val="22"/>
          <w:szCs w:val="22"/>
          <w:lang w:val="fr-FR"/>
        </w:rPr>
        <w:t>Quel</w:t>
      </w:r>
      <w:r w:rsidR="009E5416">
        <w:rPr>
          <w:rFonts w:ascii="Arial" w:hAnsi="Arial" w:cs="Arial"/>
          <w:sz w:val="22"/>
          <w:szCs w:val="22"/>
          <w:lang w:val="fr-FR"/>
        </w:rPr>
        <w:t>les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</w:t>
      </w:r>
      <w:r w:rsidR="00E44688">
        <w:rPr>
          <w:rFonts w:ascii="Arial" w:hAnsi="Arial" w:cs="Arial"/>
          <w:sz w:val="22"/>
          <w:szCs w:val="22"/>
          <w:lang w:val="fr-FR"/>
        </w:rPr>
        <w:t>difficultés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administrati</w:t>
      </w:r>
      <w:r w:rsidR="00E44688">
        <w:rPr>
          <w:rFonts w:ascii="Arial" w:hAnsi="Arial" w:cs="Arial"/>
          <w:sz w:val="22"/>
          <w:szCs w:val="22"/>
          <w:lang w:val="fr-FR"/>
        </w:rPr>
        <w:t>ve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s la gestion du droit de suite </w:t>
      </w:r>
      <w:r w:rsidR="0066608F">
        <w:rPr>
          <w:rFonts w:ascii="Arial" w:hAnsi="Arial" w:cs="Arial"/>
          <w:sz w:val="22"/>
          <w:szCs w:val="22"/>
          <w:lang w:val="fr-FR"/>
        </w:rPr>
        <w:t>pose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66608F">
        <w:rPr>
          <w:rFonts w:ascii="Arial" w:hAnsi="Arial" w:cs="Arial"/>
          <w:sz w:val="22"/>
          <w:szCs w:val="22"/>
          <w:lang w:val="fr-FR"/>
        </w:rPr>
        <w:t>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66608F">
        <w:rPr>
          <w:rFonts w:ascii="Arial" w:hAnsi="Arial" w:cs="Arial"/>
          <w:sz w:val="22"/>
          <w:szCs w:val="22"/>
          <w:lang w:val="fr-FR"/>
        </w:rPr>
        <w:t xml:space="preserve">elle 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dans votre ressort juridique?  </w:t>
      </w:r>
      <w:r w:rsidR="00AD5450">
        <w:rPr>
          <w:rFonts w:ascii="Arial" w:hAnsi="Arial" w:cs="Arial"/>
          <w:sz w:val="22"/>
          <w:szCs w:val="22"/>
          <w:lang w:val="fr-FR"/>
        </w:rPr>
        <w:t>En particulier</w:t>
      </w:r>
      <w:r w:rsidRPr="006345E2">
        <w:rPr>
          <w:rFonts w:ascii="Arial" w:hAnsi="Arial" w:cs="Arial"/>
          <w:sz w:val="22"/>
          <w:szCs w:val="22"/>
          <w:lang w:val="fr-FR"/>
        </w:rPr>
        <w:t>, quels problèmes de coûts?  Dans quelle mesure les technologies numériques ont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>elles pu être déployées dans votre système national?</w:t>
      </w:r>
    </w:p>
    <w:p w:rsidR="00466717" w:rsidRPr="006345E2" w:rsidRDefault="00466717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fr-FR"/>
        </w:rPr>
      </w:pPr>
      <w:r w:rsidRPr="006345E2">
        <w:rPr>
          <w:rFonts w:ascii="Arial" w:hAnsi="Arial" w:cs="Arial"/>
          <w:sz w:val="22"/>
          <w:szCs w:val="22"/>
          <w:lang w:val="fr-FR"/>
        </w:rPr>
        <w:t>Existe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>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 xml:space="preserve">il des accords de réciprocité avec les sociétés de perception étrangères?  </w:t>
      </w:r>
      <w:r w:rsidR="0066608F">
        <w:rPr>
          <w:rFonts w:ascii="Arial" w:hAnsi="Arial" w:cs="Arial"/>
          <w:sz w:val="22"/>
          <w:szCs w:val="22"/>
          <w:lang w:val="fr-FR"/>
        </w:rPr>
        <w:t>L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orsque </w:t>
      </w:r>
      <w:r w:rsidR="00AD5450">
        <w:rPr>
          <w:rFonts w:ascii="Arial" w:hAnsi="Arial" w:cs="Arial"/>
          <w:sz w:val="22"/>
          <w:szCs w:val="22"/>
          <w:lang w:val="fr-FR"/>
        </w:rPr>
        <w:t>de tels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accords existent, ont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>ils été mis en œuvre</w:t>
      </w:r>
      <w:r w:rsidR="0066608F">
        <w:rPr>
          <w:rFonts w:ascii="Arial" w:hAnsi="Arial" w:cs="Arial"/>
          <w:sz w:val="22"/>
          <w:szCs w:val="22"/>
          <w:lang w:val="fr-FR"/>
        </w:rPr>
        <w:t xml:space="preserve">? 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</w:t>
      </w:r>
      <w:r w:rsidR="0066608F">
        <w:rPr>
          <w:rFonts w:ascii="Arial" w:hAnsi="Arial" w:cs="Arial"/>
          <w:sz w:val="22"/>
          <w:szCs w:val="22"/>
          <w:lang w:val="fr-FR"/>
        </w:rPr>
        <w:t xml:space="preserve">Le cas échéant, </w:t>
      </w:r>
      <w:r w:rsidRPr="006345E2">
        <w:rPr>
          <w:rFonts w:ascii="Arial" w:hAnsi="Arial" w:cs="Arial"/>
          <w:sz w:val="22"/>
          <w:szCs w:val="22"/>
          <w:lang w:val="fr-FR"/>
        </w:rPr>
        <w:t>quel</w:t>
      </w:r>
      <w:r w:rsidR="0066608F">
        <w:rPr>
          <w:rFonts w:ascii="Arial" w:hAnsi="Arial" w:cs="Arial"/>
          <w:sz w:val="22"/>
          <w:szCs w:val="22"/>
          <w:lang w:val="fr-FR"/>
        </w:rPr>
        <w:t xml:space="preserve"> est le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montant</w:t>
      </w:r>
      <w:r w:rsidR="0066608F">
        <w:rPr>
          <w:rFonts w:ascii="Arial" w:hAnsi="Arial" w:cs="Arial"/>
          <w:sz w:val="22"/>
          <w:szCs w:val="22"/>
          <w:lang w:val="fr-FR"/>
        </w:rPr>
        <w:t xml:space="preserve"> des sommes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échangé</w:t>
      </w:r>
      <w:r w:rsidR="0066608F">
        <w:rPr>
          <w:rFonts w:ascii="Arial" w:hAnsi="Arial" w:cs="Arial"/>
          <w:sz w:val="22"/>
          <w:szCs w:val="22"/>
          <w:lang w:val="fr-FR"/>
        </w:rPr>
        <w:t>e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s entre les pays </w:t>
      </w:r>
      <w:r w:rsidR="00AD5450">
        <w:rPr>
          <w:rFonts w:ascii="Arial" w:hAnsi="Arial" w:cs="Arial"/>
          <w:sz w:val="22"/>
          <w:szCs w:val="22"/>
          <w:lang w:val="fr-FR"/>
        </w:rPr>
        <w:t>au titre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du droit de suite et </w:t>
      </w:r>
      <w:r w:rsidR="0066608F">
        <w:rPr>
          <w:rFonts w:ascii="Arial" w:hAnsi="Arial" w:cs="Arial"/>
          <w:sz w:val="22"/>
          <w:szCs w:val="22"/>
          <w:lang w:val="fr-FR"/>
        </w:rPr>
        <w:t>celui des sommes</w:t>
      </w:r>
      <w:r w:rsidRPr="006345E2">
        <w:rPr>
          <w:rFonts w:ascii="Arial" w:hAnsi="Arial" w:cs="Arial"/>
          <w:sz w:val="22"/>
          <w:szCs w:val="22"/>
          <w:lang w:val="fr-FR"/>
        </w:rPr>
        <w:t xml:space="preserve"> </w:t>
      </w:r>
      <w:r w:rsidR="0066608F">
        <w:rPr>
          <w:rFonts w:ascii="Arial" w:hAnsi="Arial" w:cs="Arial"/>
          <w:sz w:val="22"/>
          <w:szCs w:val="22"/>
          <w:lang w:val="fr-FR"/>
        </w:rPr>
        <w:t>re</w:t>
      </w:r>
      <w:r w:rsidRPr="006345E2">
        <w:rPr>
          <w:rFonts w:ascii="Arial" w:hAnsi="Arial" w:cs="Arial"/>
          <w:sz w:val="22"/>
          <w:szCs w:val="22"/>
          <w:lang w:val="fr-FR"/>
        </w:rPr>
        <w:t>versé</w:t>
      </w:r>
      <w:r w:rsidR="0066608F">
        <w:rPr>
          <w:rFonts w:ascii="Arial" w:hAnsi="Arial" w:cs="Arial"/>
          <w:sz w:val="22"/>
          <w:szCs w:val="22"/>
          <w:lang w:val="fr-FR"/>
        </w:rPr>
        <w:t>e</w:t>
      </w:r>
      <w:r w:rsidRPr="006345E2">
        <w:rPr>
          <w:rFonts w:ascii="Arial" w:hAnsi="Arial" w:cs="Arial"/>
          <w:sz w:val="22"/>
          <w:szCs w:val="22"/>
          <w:lang w:val="fr-FR"/>
        </w:rPr>
        <w:t>s aux artistes?</w:t>
      </w:r>
    </w:p>
    <w:p w:rsidR="00466717" w:rsidRPr="006345E2" w:rsidRDefault="00466717" w:rsidP="00035ED3">
      <w:pPr>
        <w:pStyle w:val="ListParagraph"/>
        <w:numPr>
          <w:ilvl w:val="0"/>
          <w:numId w:val="7"/>
        </w:numPr>
        <w:spacing w:before="120" w:after="120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6345E2">
        <w:rPr>
          <w:rFonts w:ascii="Arial" w:hAnsi="Arial" w:cs="Arial"/>
          <w:sz w:val="22"/>
          <w:szCs w:val="22"/>
          <w:lang w:val="fr-FR"/>
        </w:rPr>
        <w:t xml:space="preserve">Quelles autres difficultés la mise en œuvre du droit de suite </w:t>
      </w:r>
      <w:r w:rsidR="00AD5450">
        <w:rPr>
          <w:rFonts w:ascii="Arial" w:hAnsi="Arial" w:cs="Arial"/>
          <w:sz w:val="22"/>
          <w:szCs w:val="22"/>
          <w:lang w:val="fr-FR"/>
        </w:rPr>
        <w:t>pose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AD5450">
        <w:rPr>
          <w:rFonts w:ascii="Arial" w:hAnsi="Arial" w:cs="Arial"/>
          <w:sz w:val="22"/>
          <w:szCs w:val="22"/>
          <w:lang w:val="fr-FR"/>
        </w:rPr>
        <w:t>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AD5450">
        <w:rPr>
          <w:rFonts w:ascii="Arial" w:hAnsi="Arial" w:cs="Arial"/>
          <w:sz w:val="22"/>
          <w:szCs w:val="22"/>
          <w:lang w:val="fr-FR"/>
        </w:rPr>
        <w:t>elle</w:t>
      </w:r>
      <w:r w:rsidR="00AD5450" w:rsidRPr="006345E2">
        <w:rPr>
          <w:rFonts w:ascii="Arial" w:hAnsi="Arial" w:cs="Arial"/>
          <w:sz w:val="22"/>
          <w:szCs w:val="22"/>
          <w:lang w:val="fr-FR"/>
        </w:rPr>
        <w:t xml:space="preserve"> </w:t>
      </w:r>
      <w:r w:rsidRPr="006345E2">
        <w:rPr>
          <w:rFonts w:ascii="Arial" w:hAnsi="Arial" w:cs="Arial"/>
          <w:sz w:val="22"/>
          <w:szCs w:val="22"/>
          <w:lang w:val="fr-FR"/>
        </w:rPr>
        <w:t>dans votre ressort?  Votre pays compte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>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Pr="006345E2">
        <w:rPr>
          <w:rFonts w:ascii="Arial" w:hAnsi="Arial" w:cs="Arial"/>
          <w:sz w:val="22"/>
          <w:szCs w:val="22"/>
          <w:lang w:val="fr-FR"/>
        </w:rPr>
        <w:t xml:space="preserve">il de nombreux partisans </w:t>
      </w:r>
      <w:r w:rsidR="0066608F">
        <w:rPr>
          <w:rFonts w:ascii="Arial" w:hAnsi="Arial" w:cs="Arial"/>
          <w:sz w:val="22"/>
          <w:szCs w:val="22"/>
          <w:lang w:val="fr-FR"/>
        </w:rPr>
        <w:t>du droit de suite</w:t>
      </w:r>
      <w:r w:rsidRPr="006345E2">
        <w:rPr>
          <w:rFonts w:ascii="Arial" w:hAnsi="Arial" w:cs="Arial"/>
          <w:sz w:val="22"/>
          <w:szCs w:val="22"/>
          <w:lang w:val="fr-FR"/>
        </w:rPr>
        <w:t>?</w:t>
      </w:r>
    </w:p>
    <w:p w:rsidR="00466717" w:rsidRPr="006345E2" w:rsidRDefault="00AD5450" w:rsidP="004C496A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Des modifications a</w:t>
      </w:r>
      <w:r w:rsidR="00466717" w:rsidRPr="006345E2">
        <w:rPr>
          <w:rFonts w:ascii="Arial" w:hAnsi="Arial" w:cs="Arial"/>
          <w:sz w:val="22"/>
          <w:szCs w:val="22"/>
          <w:lang w:val="fr-FR"/>
        </w:rPr>
        <w:t>u système ont</w:t>
      </w:r>
      <w:r w:rsidR="00035ED3">
        <w:rPr>
          <w:rFonts w:ascii="Arial" w:hAnsi="Arial" w:cs="Arial"/>
          <w:sz w:val="22"/>
          <w:szCs w:val="22"/>
          <w:lang w:val="fr-FR"/>
        </w:rPr>
        <w:noBreakHyphen/>
      </w:r>
      <w:r w:rsidR="00466717" w:rsidRPr="006345E2">
        <w:rPr>
          <w:rFonts w:ascii="Arial" w:hAnsi="Arial" w:cs="Arial"/>
          <w:sz w:val="22"/>
          <w:szCs w:val="22"/>
          <w:lang w:val="fr-FR"/>
        </w:rPr>
        <w:t>elles été proposées dans votre pays?</w:t>
      </w:r>
    </w:p>
    <w:p w:rsidR="00466717" w:rsidRPr="006345E2" w:rsidRDefault="00AD5450" w:rsidP="004C496A">
      <w:pPr>
        <w:spacing w:before="220" w:after="220"/>
        <w:rPr>
          <w:szCs w:val="22"/>
          <w:lang w:val="fr-FR"/>
        </w:rPr>
      </w:pPr>
      <w:r>
        <w:rPr>
          <w:szCs w:val="22"/>
          <w:lang w:val="fr-FR"/>
        </w:rPr>
        <w:t>Vous trouverez</w:t>
      </w:r>
      <w:r w:rsidR="00466717" w:rsidRPr="006345E2">
        <w:rPr>
          <w:szCs w:val="22"/>
          <w:lang w:val="fr-FR"/>
        </w:rPr>
        <w:t xml:space="preserve"> ci</w:t>
      </w:r>
      <w:r w:rsidR="00035ED3">
        <w:rPr>
          <w:szCs w:val="22"/>
          <w:lang w:val="fr-FR"/>
        </w:rPr>
        <w:noBreakHyphen/>
      </w:r>
      <w:r w:rsidR="00466717" w:rsidRPr="006345E2">
        <w:rPr>
          <w:szCs w:val="22"/>
          <w:lang w:val="fr-FR"/>
        </w:rPr>
        <w:t xml:space="preserve">après un résumé des réponses reçues </w:t>
      </w:r>
      <w:r w:rsidR="0066608F">
        <w:rPr>
          <w:szCs w:val="22"/>
          <w:lang w:val="fr-FR"/>
        </w:rPr>
        <w:t>jusqu</w:t>
      </w:r>
      <w:r w:rsidR="00D166B3">
        <w:rPr>
          <w:szCs w:val="22"/>
          <w:lang w:val="fr-FR"/>
        </w:rPr>
        <w:t>’</w:t>
      </w:r>
      <w:r w:rsidR="0066608F">
        <w:rPr>
          <w:szCs w:val="22"/>
          <w:lang w:val="fr-FR"/>
        </w:rPr>
        <w:t>à présent</w:t>
      </w:r>
      <w:r w:rsidR="00466717" w:rsidRPr="006345E2">
        <w:rPr>
          <w:szCs w:val="22"/>
          <w:lang w:val="fr-FR"/>
        </w:rPr>
        <w:t>.</w:t>
      </w:r>
    </w:p>
    <w:p w:rsidR="00466717" w:rsidRPr="0015153C" w:rsidRDefault="0085472B" w:rsidP="0015153C">
      <w:pPr>
        <w:pStyle w:val="Heading2"/>
      </w:pPr>
      <w:r w:rsidRPr="0015153C">
        <w:t>1.</w:t>
      </w:r>
      <w:r w:rsidRPr="0015153C">
        <w:tab/>
      </w:r>
      <w:r w:rsidR="00020AFD" w:rsidRPr="0015153C">
        <w:t>Établissement</w:t>
      </w:r>
      <w:r w:rsidR="00466717" w:rsidRPr="0015153C">
        <w:t xml:space="preserve"> du droit de suite dans </w:t>
      </w:r>
      <w:r w:rsidR="008B7770" w:rsidRPr="0015153C">
        <w:t>les</w:t>
      </w:r>
      <w:r w:rsidR="00466717" w:rsidRPr="0015153C">
        <w:t xml:space="preserve"> pays </w:t>
      </w:r>
      <w:r w:rsidR="009A1916" w:rsidRPr="0015153C">
        <w:t>visés</w:t>
      </w:r>
    </w:p>
    <w:p w:rsidR="00466717" w:rsidRPr="006345E2" w:rsidRDefault="00466717" w:rsidP="00035ED3">
      <w:pPr>
        <w:spacing w:before="120" w:after="120"/>
        <w:rPr>
          <w:szCs w:val="22"/>
          <w:lang w:val="fr-FR"/>
        </w:rPr>
      </w:pPr>
      <w:r w:rsidRPr="006345E2">
        <w:rPr>
          <w:szCs w:val="22"/>
          <w:lang w:val="fr-FR"/>
        </w:rPr>
        <w:t>L</w:t>
      </w:r>
      <w:r w:rsidR="00D166B3">
        <w:rPr>
          <w:szCs w:val="22"/>
          <w:lang w:val="fr-FR"/>
        </w:rPr>
        <w:t>’</w:t>
      </w:r>
      <w:r w:rsidR="00020AFD">
        <w:rPr>
          <w:szCs w:val="22"/>
          <w:lang w:val="fr-FR"/>
        </w:rPr>
        <w:t>établissement</w:t>
      </w:r>
      <w:r w:rsidRPr="006345E2">
        <w:rPr>
          <w:szCs w:val="22"/>
          <w:lang w:val="fr-FR"/>
        </w:rPr>
        <w:t xml:space="preserve"> du droit de suite </w:t>
      </w:r>
      <w:r w:rsidR="00020AFD">
        <w:rPr>
          <w:szCs w:val="22"/>
          <w:lang w:val="fr-FR"/>
        </w:rPr>
        <w:t>s</w:t>
      </w:r>
      <w:r w:rsidR="00D166B3">
        <w:rPr>
          <w:szCs w:val="22"/>
          <w:lang w:val="fr-FR"/>
        </w:rPr>
        <w:t>’</w:t>
      </w:r>
      <w:r w:rsidR="00020AFD">
        <w:rPr>
          <w:szCs w:val="22"/>
          <w:lang w:val="fr-FR"/>
        </w:rPr>
        <w:t>est fait</w:t>
      </w:r>
      <w:r w:rsidRPr="006345E2">
        <w:rPr>
          <w:szCs w:val="22"/>
          <w:lang w:val="fr-FR"/>
        </w:rPr>
        <w:t xml:space="preserve"> de diverses manières selon les pays, </w:t>
      </w:r>
      <w:r w:rsidR="00020AFD">
        <w:rPr>
          <w:szCs w:val="22"/>
          <w:lang w:val="fr-FR"/>
        </w:rPr>
        <w:t>mais</w:t>
      </w:r>
      <w:r w:rsidRPr="006345E2">
        <w:rPr>
          <w:szCs w:val="22"/>
          <w:lang w:val="fr-FR"/>
        </w:rPr>
        <w:t xml:space="preserve"> la directive 2001/84/CE </w:t>
      </w:r>
      <w:r w:rsidR="00020AFD">
        <w:rPr>
          <w:szCs w:val="22"/>
          <w:lang w:val="fr-FR"/>
        </w:rPr>
        <w:t>de l</w:t>
      </w:r>
      <w:r w:rsidR="00D166B3">
        <w:rPr>
          <w:szCs w:val="22"/>
          <w:lang w:val="fr-FR"/>
        </w:rPr>
        <w:t>’</w:t>
      </w:r>
      <w:r w:rsidR="00020AFD">
        <w:rPr>
          <w:szCs w:val="22"/>
          <w:lang w:val="fr-FR"/>
        </w:rPr>
        <w:t xml:space="preserve">Union européenne (UE) </w:t>
      </w:r>
      <w:r w:rsidRPr="006345E2">
        <w:rPr>
          <w:szCs w:val="22"/>
          <w:lang w:val="fr-FR"/>
        </w:rPr>
        <w:t>relative au droit de suite a fourni un cadre général à son établissement dans les États membres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</w:t>
      </w:r>
      <w:r w:rsidR="009A1916">
        <w:rPr>
          <w:szCs w:val="22"/>
          <w:lang w:val="fr-FR"/>
        </w:rPr>
        <w:t>E</w:t>
      </w:r>
      <w:r w:rsidRPr="006345E2">
        <w:rPr>
          <w:szCs w:val="22"/>
          <w:lang w:val="fr-FR"/>
        </w:rPr>
        <w:t>.</w:t>
      </w:r>
    </w:p>
    <w:p w:rsidR="00466717" w:rsidRPr="006345E2" w:rsidRDefault="00466717" w:rsidP="00035ED3">
      <w:pPr>
        <w:spacing w:after="120"/>
        <w:rPr>
          <w:szCs w:val="22"/>
          <w:lang w:val="fr-FR"/>
        </w:rPr>
      </w:pPr>
      <w:r w:rsidRPr="006345E2">
        <w:rPr>
          <w:szCs w:val="22"/>
          <w:lang w:val="fr-FR"/>
        </w:rPr>
        <w:t xml:space="preserve">Il convient de noter que </w:t>
      </w:r>
      <w:r w:rsidR="00020AFD">
        <w:rPr>
          <w:szCs w:val="22"/>
          <w:lang w:val="fr-FR"/>
        </w:rPr>
        <w:t>l</w:t>
      </w:r>
      <w:r w:rsidR="00D166B3">
        <w:rPr>
          <w:szCs w:val="22"/>
          <w:lang w:val="fr-FR"/>
        </w:rPr>
        <w:t>’</w:t>
      </w:r>
      <w:r w:rsidR="00020AFD">
        <w:rPr>
          <w:szCs w:val="22"/>
          <w:lang w:val="fr-FR"/>
        </w:rPr>
        <w:t>établissement</w:t>
      </w:r>
      <w:r w:rsidRPr="006345E2">
        <w:rPr>
          <w:szCs w:val="22"/>
          <w:lang w:val="fr-FR"/>
        </w:rPr>
        <w:t xml:space="preserve">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un droit de suite en dehors de </w:t>
      </w:r>
      <w:r w:rsidR="00E878F6">
        <w:rPr>
          <w:szCs w:val="22"/>
          <w:lang w:val="fr-FR"/>
        </w:rPr>
        <w:t>toute</w:t>
      </w:r>
      <w:r w:rsidRPr="006345E2">
        <w:rPr>
          <w:szCs w:val="22"/>
          <w:lang w:val="fr-FR"/>
        </w:rPr>
        <w:t xml:space="preserve"> législation existante en matière de droit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auteur </w:t>
      </w:r>
      <w:r w:rsidR="00020AFD">
        <w:rPr>
          <w:szCs w:val="22"/>
          <w:lang w:val="fr-FR"/>
        </w:rPr>
        <w:t>présente le risque de</w:t>
      </w:r>
      <w:r w:rsidRPr="006345E2">
        <w:rPr>
          <w:szCs w:val="22"/>
          <w:lang w:val="fr-FR"/>
        </w:rPr>
        <w:t xml:space="preserve"> lever </w:t>
      </w:r>
      <w:r w:rsidR="00E878F6">
        <w:rPr>
          <w:szCs w:val="22"/>
          <w:lang w:val="fr-FR"/>
        </w:rPr>
        <w:t>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obligation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accorder le traitement national aux artistes étrangers cherch</w:t>
      </w:r>
      <w:r w:rsidR="009A1916">
        <w:rPr>
          <w:szCs w:val="22"/>
          <w:lang w:val="fr-FR"/>
        </w:rPr>
        <w:t>a</w:t>
      </w:r>
      <w:r w:rsidRPr="006345E2">
        <w:rPr>
          <w:szCs w:val="22"/>
          <w:lang w:val="fr-FR"/>
        </w:rPr>
        <w:t>nt à obtenir une protection au titre de la Convention de Berne (l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article 14</w:t>
      </w:r>
      <w:r w:rsidRPr="006345E2">
        <w:rPr>
          <w:i/>
          <w:szCs w:val="22"/>
          <w:lang w:val="fr-FR"/>
        </w:rPr>
        <w:t>ter</w:t>
      </w:r>
      <w:r w:rsidRPr="006345E2">
        <w:rPr>
          <w:szCs w:val="22"/>
          <w:lang w:val="fr-FR"/>
        </w:rPr>
        <w:t xml:space="preserve"> de la Convention de Berne </w:t>
      </w:r>
      <w:r w:rsidR="00BC7495">
        <w:rPr>
          <w:szCs w:val="22"/>
          <w:lang w:val="fr-FR"/>
        </w:rPr>
        <w:t>admet</w:t>
      </w:r>
      <w:r w:rsidRPr="006345E2">
        <w:rPr>
          <w:szCs w:val="22"/>
          <w:lang w:val="fr-FR"/>
        </w:rPr>
        <w:t xml:space="preserve"> cette protection, lorsqu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elle est accordée, sous réserve de réciprocité entre les pays disposant de </w:t>
      </w:r>
      <w:r w:rsidR="0002294D">
        <w:rPr>
          <w:szCs w:val="22"/>
          <w:lang w:val="fr-FR"/>
        </w:rPr>
        <w:t>systèmes</w:t>
      </w:r>
      <w:r w:rsidRPr="006345E2">
        <w:rPr>
          <w:szCs w:val="22"/>
          <w:lang w:val="fr-FR"/>
        </w:rPr>
        <w:t xml:space="preserve"> similaires</w:t>
      </w:r>
      <w:r w:rsidR="0002294D">
        <w:rPr>
          <w:szCs w:val="22"/>
          <w:lang w:val="fr-FR"/>
        </w:rPr>
        <w:t>)</w:t>
      </w:r>
      <w:r w:rsidR="00E878F6">
        <w:rPr>
          <w:szCs w:val="22"/>
          <w:lang w:val="fr-FR"/>
        </w:rPr>
        <w:t xml:space="preserve">. </w:t>
      </w:r>
      <w:r w:rsidR="00DC0199">
        <w:rPr>
          <w:szCs w:val="22"/>
          <w:lang w:val="fr-FR"/>
        </w:rPr>
        <w:t xml:space="preserve"> </w:t>
      </w:r>
      <w:r w:rsidR="00E878F6">
        <w:rPr>
          <w:szCs w:val="22"/>
          <w:lang w:val="fr-FR"/>
        </w:rPr>
        <w:t>Soulignons en outre que</w:t>
      </w:r>
      <w:r w:rsidRPr="006345E2">
        <w:rPr>
          <w:szCs w:val="22"/>
          <w:lang w:val="fr-FR"/>
        </w:rPr>
        <w:t xml:space="preserve">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article 14</w:t>
      </w:r>
      <w:r w:rsidRPr="006345E2">
        <w:rPr>
          <w:i/>
          <w:szCs w:val="22"/>
          <w:lang w:val="fr-FR"/>
        </w:rPr>
        <w:t>ter</w:t>
      </w:r>
      <w:r w:rsidRPr="006345E2">
        <w:rPr>
          <w:szCs w:val="22"/>
          <w:lang w:val="fr-FR"/>
        </w:rPr>
        <w:t xml:space="preserve"> </w:t>
      </w:r>
      <w:r w:rsidR="00BC7495">
        <w:rPr>
          <w:szCs w:val="22"/>
          <w:lang w:val="fr-FR"/>
        </w:rPr>
        <w:t>laisse toute latitude</w:t>
      </w:r>
      <w:r w:rsidRPr="006345E2">
        <w:rPr>
          <w:szCs w:val="22"/>
          <w:lang w:val="fr-FR"/>
        </w:rPr>
        <w:t xml:space="preserve"> quant aux </w:t>
      </w:r>
      <w:r w:rsidR="00BC7495">
        <w:rPr>
          <w:szCs w:val="22"/>
          <w:lang w:val="fr-FR"/>
        </w:rPr>
        <w:t>composante</w:t>
      </w:r>
      <w:r w:rsidRPr="006345E2">
        <w:rPr>
          <w:szCs w:val="22"/>
          <w:lang w:val="fr-FR"/>
        </w:rPr>
        <w:t>s du droit de suite aux membres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Union de Berne </w:t>
      </w:r>
      <w:r w:rsidR="00E878F6">
        <w:rPr>
          <w:szCs w:val="22"/>
          <w:lang w:val="fr-FR"/>
        </w:rPr>
        <w:t xml:space="preserve">qui </w:t>
      </w:r>
      <w:r w:rsidRPr="006345E2">
        <w:rPr>
          <w:szCs w:val="22"/>
          <w:lang w:val="fr-FR"/>
        </w:rPr>
        <w:t>choisiss</w:t>
      </w:r>
      <w:r w:rsidR="00E878F6">
        <w:rPr>
          <w:szCs w:val="22"/>
          <w:lang w:val="fr-FR"/>
        </w:rPr>
        <w:t>e</w:t>
      </w:r>
      <w:r w:rsidRPr="006345E2">
        <w:rPr>
          <w:szCs w:val="22"/>
          <w:lang w:val="fr-FR"/>
        </w:rPr>
        <w:t>nt de mettre en œuvre ce droit (pour le moment, on estime que près de la moitié des membres actuels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Union de Berne ont </w:t>
      </w:r>
      <w:r w:rsidR="00E878F6">
        <w:rPr>
          <w:szCs w:val="22"/>
          <w:lang w:val="fr-FR"/>
        </w:rPr>
        <w:t>introduit</w:t>
      </w:r>
      <w:r w:rsidRPr="006345E2">
        <w:rPr>
          <w:szCs w:val="22"/>
          <w:lang w:val="fr-FR"/>
        </w:rPr>
        <w:t xml:space="preserve"> une forme de système de droit de suite dans leur législation).</w:t>
      </w:r>
    </w:p>
    <w:p w:rsidR="00466717" w:rsidRPr="00035ED3" w:rsidRDefault="00D031E8" w:rsidP="0015153C">
      <w:pPr>
        <w:pStyle w:val="Heading2"/>
      </w:pPr>
      <w:r w:rsidRPr="00035ED3">
        <w:t>2.</w:t>
      </w:r>
      <w:r w:rsidR="0085472B" w:rsidRPr="00035ED3">
        <w:tab/>
      </w:r>
      <w:r w:rsidRPr="00035ED3">
        <w:t>Œuvres soumises au droit de suite</w:t>
      </w:r>
    </w:p>
    <w:p w:rsidR="00466717" w:rsidRPr="006345E2" w:rsidRDefault="00466717" w:rsidP="00035ED3">
      <w:pPr>
        <w:spacing w:before="120" w:after="120"/>
        <w:rPr>
          <w:szCs w:val="22"/>
          <w:lang w:val="fr-FR"/>
        </w:rPr>
      </w:pPr>
      <w:r w:rsidRPr="006345E2">
        <w:rPr>
          <w:szCs w:val="22"/>
          <w:lang w:val="fr-FR"/>
        </w:rPr>
        <w:t>Le champ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application du </w:t>
      </w:r>
      <w:r w:rsidR="00BC7495">
        <w:rPr>
          <w:szCs w:val="22"/>
          <w:lang w:val="fr-FR"/>
        </w:rPr>
        <w:t>droit de suite</w:t>
      </w:r>
      <w:r w:rsidRPr="006345E2">
        <w:rPr>
          <w:szCs w:val="22"/>
          <w:lang w:val="fr-FR"/>
        </w:rPr>
        <w:t xml:space="preserve">, </w:t>
      </w:r>
      <w:r w:rsidR="00D166B3">
        <w:rPr>
          <w:szCs w:val="22"/>
          <w:lang w:val="fr-FR"/>
        </w:rPr>
        <w:t>à savoir</w:t>
      </w:r>
      <w:r w:rsidRPr="006345E2">
        <w:rPr>
          <w:szCs w:val="22"/>
          <w:lang w:val="fr-FR"/>
        </w:rPr>
        <w:t xml:space="preserve"> la totalité ou une partie seulement des œuvres artistiques et des manuscrits, diffère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un pays à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autre.  Des différences et des ambiguïtés apparaissent également en ce qui concerne les œuvres produites en nombre plutôt qu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à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unité.  Des </w:t>
      </w:r>
      <w:r w:rsidR="00BC7495">
        <w:rPr>
          <w:szCs w:val="22"/>
          <w:lang w:val="fr-FR"/>
        </w:rPr>
        <w:t>écarts</w:t>
      </w:r>
      <w:r w:rsidRPr="006345E2">
        <w:rPr>
          <w:szCs w:val="22"/>
          <w:lang w:val="fr-FR"/>
        </w:rPr>
        <w:t xml:space="preserve"> ou des ambiguïtés peuvent également exister </w:t>
      </w:r>
      <w:r w:rsidR="0000120E">
        <w:rPr>
          <w:szCs w:val="22"/>
          <w:lang w:val="fr-FR"/>
        </w:rPr>
        <w:t>s</w:t>
      </w:r>
      <w:r w:rsidR="00D166B3">
        <w:rPr>
          <w:szCs w:val="22"/>
          <w:lang w:val="fr-FR"/>
        </w:rPr>
        <w:t>’</w:t>
      </w:r>
      <w:r w:rsidR="0000120E">
        <w:rPr>
          <w:szCs w:val="22"/>
          <w:lang w:val="fr-FR"/>
        </w:rPr>
        <w:t>agissant de</w:t>
      </w:r>
      <w:r w:rsidRPr="006345E2">
        <w:rPr>
          <w:szCs w:val="22"/>
          <w:lang w:val="fr-FR"/>
        </w:rPr>
        <w:t xml:space="preserve"> certains types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œuvres artistiques, comme les installations, les œuvres numériques et générées par ordinateur, les œuvres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architecture, les œuvres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art appliqué, les œuvres artisanales et autres.  Les manuscrits originaux ne sont protégés que dans quelques pays, </w:t>
      </w:r>
      <w:r w:rsidR="0000120E">
        <w:rPr>
          <w:szCs w:val="22"/>
          <w:lang w:val="fr-FR"/>
        </w:rPr>
        <w:t>à noter</w:t>
      </w:r>
      <w:r w:rsidRPr="006345E2">
        <w:rPr>
          <w:szCs w:val="22"/>
          <w:lang w:val="fr-FR"/>
        </w:rPr>
        <w:t xml:space="preserve"> </w:t>
      </w:r>
      <w:r w:rsidR="0000120E">
        <w:rPr>
          <w:szCs w:val="22"/>
          <w:lang w:val="fr-FR"/>
        </w:rPr>
        <w:t xml:space="preserve">que cette protection constitue </w:t>
      </w:r>
      <w:r w:rsidRPr="006345E2">
        <w:rPr>
          <w:szCs w:val="22"/>
          <w:lang w:val="fr-FR"/>
        </w:rPr>
        <w:t>un élément facultatif du droit de suite en vertu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article 14</w:t>
      </w:r>
      <w:r w:rsidRPr="006345E2">
        <w:rPr>
          <w:i/>
          <w:szCs w:val="22"/>
          <w:lang w:val="fr-FR"/>
        </w:rPr>
        <w:t>ter</w:t>
      </w:r>
      <w:r w:rsidRPr="006345E2">
        <w:rPr>
          <w:szCs w:val="22"/>
          <w:lang w:val="fr-FR"/>
        </w:rPr>
        <w:t xml:space="preserve"> de la Convention de Berne.</w:t>
      </w:r>
    </w:p>
    <w:p w:rsidR="00466717" w:rsidRPr="006345E2" w:rsidRDefault="00466717" w:rsidP="00035ED3">
      <w:pPr>
        <w:spacing w:after="120"/>
        <w:rPr>
          <w:szCs w:val="22"/>
          <w:lang w:val="fr-FR"/>
        </w:rPr>
      </w:pPr>
      <w:r w:rsidRPr="006345E2">
        <w:rPr>
          <w:szCs w:val="22"/>
          <w:lang w:val="fr-FR"/>
        </w:rPr>
        <w:t xml:space="preserve">Dans les pays où il existe des différences </w:t>
      </w:r>
      <w:r w:rsidR="0000120E">
        <w:rPr>
          <w:szCs w:val="22"/>
          <w:lang w:val="fr-FR"/>
        </w:rPr>
        <w:t>dans</w:t>
      </w:r>
      <w:r w:rsidRPr="006345E2">
        <w:rPr>
          <w:szCs w:val="22"/>
          <w:lang w:val="fr-FR"/>
        </w:rPr>
        <w:t xml:space="preserve"> la définition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œuvre artistique aux fins du droit de suite et aux fins de la protection du droit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auteur en général, des difficultés peuvent sur</w:t>
      </w:r>
      <w:r w:rsidR="00BC7495">
        <w:rPr>
          <w:szCs w:val="22"/>
          <w:lang w:val="fr-FR"/>
        </w:rPr>
        <w:t>ven</w:t>
      </w:r>
      <w:r w:rsidRPr="006345E2">
        <w:rPr>
          <w:szCs w:val="22"/>
          <w:lang w:val="fr-FR"/>
        </w:rPr>
        <w:t>ir pour les personnes appelées à mettre en œuvre le droit de suite, en particulier entre les “professionnels du marché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art” et la société de perception concernée (c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est le cas au Royaume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Uni).</w:t>
      </w:r>
    </w:p>
    <w:p w:rsidR="00466717" w:rsidRPr="006345E2" w:rsidRDefault="0085472B" w:rsidP="0015153C">
      <w:pPr>
        <w:pStyle w:val="Heading2"/>
      </w:pPr>
      <w:r>
        <w:t>3.</w:t>
      </w:r>
      <w:r>
        <w:tab/>
      </w:r>
      <w:r w:rsidR="00466717" w:rsidRPr="006345E2">
        <w:t xml:space="preserve">Reventes </w:t>
      </w:r>
      <w:r w:rsidR="00A35503">
        <w:t>soumises au droit de suite</w:t>
      </w:r>
      <w:r w:rsidR="00A35503" w:rsidRPr="006345E2">
        <w:t xml:space="preserve"> </w:t>
      </w:r>
      <w:r w:rsidR="00466717" w:rsidRPr="006345E2">
        <w:t>et exclusions</w:t>
      </w:r>
    </w:p>
    <w:p w:rsidR="00466717" w:rsidRPr="006345E2" w:rsidRDefault="00FB018C" w:rsidP="004C496A">
      <w:pPr>
        <w:spacing w:after="120"/>
        <w:rPr>
          <w:szCs w:val="22"/>
          <w:lang w:val="fr-FR"/>
        </w:rPr>
      </w:pPr>
      <w:r>
        <w:rPr>
          <w:szCs w:val="22"/>
          <w:lang w:val="fr-FR"/>
        </w:rPr>
        <w:t>De manière généra</w:t>
      </w:r>
      <w:r w:rsidR="00466717" w:rsidRPr="006345E2">
        <w:rPr>
          <w:szCs w:val="22"/>
          <w:lang w:val="fr-FR"/>
        </w:rPr>
        <w:t>l</w:t>
      </w:r>
      <w:r>
        <w:rPr>
          <w:szCs w:val="22"/>
          <w:lang w:val="fr-FR"/>
        </w:rPr>
        <w:t>e</w:t>
      </w:r>
      <w:r w:rsidR="00466717" w:rsidRPr="006345E2">
        <w:rPr>
          <w:szCs w:val="22"/>
          <w:lang w:val="fr-FR"/>
        </w:rPr>
        <w:t>, seules les reventes impliquant un professionnel du marché de l</w:t>
      </w:r>
      <w:r w:rsidR="00D166B3">
        <w:rPr>
          <w:szCs w:val="22"/>
          <w:lang w:val="fr-FR"/>
        </w:rPr>
        <w:t>’</w:t>
      </w:r>
      <w:r w:rsidR="006A3DF2">
        <w:rPr>
          <w:szCs w:val="22"/>
          <w:lang w:val="fr-FR"/>
        </w:rPr>
        <w:t>art</w:t>
      </w:r>
      <w:r w:rsidR="00AA4E73">
        <w:rPr>
          <w:szCs w:val="22"/>
          <w:lang w:val="fr-FR"/>
        </w:rPr>
        <w:t xml:space="preserve"> (</w:t>
      </w:r>
      <w:r w:rsidR="00725357">
        <w:rPr>
          <w:szCs w:val="22"/>
          <w:lang w:val="fr-FR"/>
        </w:rPr>
        <w:t xml:space="preserve">un </w:t>
      </w:r>
      <w:r w:rsidR="00AA4E73">
        <w:rPr>
          <w:szCs w:val="22"/>
          <w:lang w:val="fr-FR"/>
        </w:rPr>
        <w:t>a</w:t>
      </w:r>
      <w:r w:rsidR="00466717" w:rsidRPr="006345E2">
        <w:rPr>
          <w:szCs w:val="22"/>
          <w:lang w:val="fr-FR"/>
        </w:rPr>
        <w:t xml:space="preserve">gent ou </w:t>
      </w:r>
      <w:r w:rsidR="00725357">
        <w:rPr>
          <w:szCs w:val="22"/>
          <w:lang w:val="fr-FR"/>
        </w:rPr>
        <w:t xml:space="preserve">une </w:t>
      </w:r>
      <w:r w:rsidR="00466717" w:rsidRPr="006345E2">
        <w:rPr>
          <w:szCs w:val="22"/>
          <w:lang w:val="fr-FR"/>
        </w:rPr>
        <w:t>galerie</w:t>
      </w:r>
      <w:r w:rsidR="00AA4E73">
        <w:rPr>
          <w:szCs w:val="22"/>
          <w:lang w:val="fr-FR"/>
        </w:rPr>
        <w:t>, par exemple)</w:t>
      </w:r>
      <w:r w:rsidR="00466717" w:rsidRPr="006345E2">
        <w:rPr>
          <w:szCs w:val="22"/>
          <w:lang w:val="fr-FR"/>
        </w:rPr>
        <w:t xml:space="preserve"> sont concernées, les reventes privées et certaines autres reventes</w:t>
      </w:r>
      <w:r w:rsidR="00AA4E73">
        <w:rPr>
          <w:szCs w:val="22"/>
          <w:lang w:val="fr-FR"/>
        </w:rPr>
        <w:t xml:space="preserve"> (</w:t>
      </w:r>
      <w:r w:rsidR="00466717" w:rsidRPr="006345E2">
        <w:rPr>
          <w:szCs w:val="22"/>
          <w:lang w:val="fr-FR"/>
        </w:rPr>
        <w:t>par des musées</w:t>
      </w:r>
      <w:r w:rsidR="00AA4E73">
        <w:rPr>
          <w:szCs w:val="22"/>
          <w:lang w:val="fr-FR"/>
        </w:rPr>
        <w:t>,</w:t>
      </w:r>
      <w:r w:rsidR="00AA4E73" w:rsidRPr="00AA4E73">
        <w:rPr>
          <w:szCs w:val="22"/>
          <w:lang w:val="fr-FR"/>
        </w:rPr>
        <w:t xml:space="preserve"> </w:t>
      </w:r>
      <w:r w:rsidR="00AA4E73" w:rsidRPr="006345E2">
        <w:rPr>
          <w:szCs w:val="22"/>
          <w:lang w:val="fr-FR"/>
        </w:rPr>
        <w:t>par exemple</w:t>
      </w:r>
      <w:r w:rsidR="00AA4E73">
        <w:rPr>
          <w:szCs w:val="22"/>
          <w:lang w:val="fr-FR"/>
        </w:rPr>
        <w:t>)</w:t>
      </w:r>
      <w:r w:rsidR="00466717" w:rsidRPr="006345E2">
        <w:rPr>
          <w:szCs w:val="22"/>
          <w:lang w:val="fr-FR"/>
        </w:rPr>
        <w:t xml:space="preserve"> demeurant exclues du </w:t>
      </w:r>
      <w:r w:rsidR="00725357">
        <w:rPr>
          <w:szCs w:val="22"/>
          <w:lang w:val="fr-FR"/>
        </w:rPr>
        <w:t>droit de suite</w:t>
      </w:r>
      <w:r w:rsidR="00466717" w:rsidRPr="006345E2">
        <w:rPr>
          <w:szCs w:val="22"/>
          <w:lang w:val="fr-FR"/>
        </w:rPr>
        <w:t xml:space="preserve">.  Le motif de ces exclusions </w:t>
      </w:r>
      <w:r w:rsidR="00AA4E73">
        <w:rPr>
          <w:szCs w:val="22"/>
          <w:lang w:val="fr-FR"/>
        </w:rPr>
        <w:t>peut sembler</w:t>
      </w:r>
      <w:r w:rsidR="00466717" w:rsidRPr="006345E2">
        <w:rPr>
          <w:szCs w:val="22"/>
          <w:lang w:val="fr-FR"/>
        </w:rPr>
        <w:t xml:space="preserve"> assez évident</w:t>
      </w:r>
      <w:r w:rsidR="00AA4E73">
        <w:rPr>
          <w:szCs w:val="22"/>
          <w:lang w:val="fr-FR"/>
        </w:rPr>
        <w:t xml:space="preserve"> –</w:t>
      </w:r>
      <w:r w:rsidR="00466717" w:rsidRPr="006345E2">
        <w:rPr>
          <w:szCs w:val="22"/>
          <w:lang w:val="fr-FR"/>
        </w:rPr>
        <w:t xml:space="preserve"> </w:t>
      </w:r>
      <w:r w:rsidR="00D166B3">
        <w:rPr>
          <w:szCs w:val="22"/>
          <w:lang w:val="fr-FR"/>
        </w:rPr>
        <w:t>à savoir</w:t>
      </w:r>
      <w:r w:rsidR="00466717" w:rsidRPr="006345E2">
        <w:rPr>
          <w:szCs w:val="22"/>
          <w:lang w:val="fr-FR"/>
        </w:rPr>
        <w:t xml:space="preserve"> la difficulté </w:t>
      </w:r>
      <w:r w:rsidR="006A3DF2">
        <w:rPr>
          <w:szCs w:val="22"/>
          <w:lang w:val="fr-FR"/>
        </w:rPr>
        <w:t>à</w:t>
      </w:r>
      <w:r w:rsidR="00466717" w:rsidRPr="006345E2">
        <w:rPr>
          <w:szCs w:val="22"/>
          <w:lang w:val="fr-FR"/>
        </w:rPr>
        <w:t xml:space="preserve"> repérer et </w:t>
      </w:r>
      <w:r w:rsidR="006A3DF2">
        <w:rPr>
          <w:szCs w:val="22"/>
          <w:lang w:val="fr-FR"/>
        </w:rPr>
        <w:t>à</w:t>
      </w:r>
      <w:r w:rsidR="00466717" w:rsidRPr="006345E2">
        <w:rPr>
          <w:szCs w:val="22"/>
          <w:lang w:val="fr-FR"/>
        </w:rPr>
        <w:t xml:space="preserve"> suivre de telles transactions</w:t>
      </w:r>
      <w:r w:rsidR="00AA4E73">
        <w:rPr>
          <w:szCs w:val="22"/>
          <w:lang w:val="fr-FR"/>
        </w:rPr>
        <w:t xml:space="preserve"> –</w:t>
      </w:r>
      <w:r w:rsidR="00466717" w:rsidRPr="006345E2">
        <w:rPr>
          <w:szCs w:val="22"/>
          <w:lang w:val="fr-FR"/>
        </w:rPr>
        <w:t xml:space="preserve">, mais </w:t>
      </w:r>
      <w:r w:rsidR="00AA4E73">
        <w:rPr>
          <w:szCs w:val="22"/>
          <w:lang w:val="fr-FR"/>
        </w:rPr>
        <w:t xml:space="preserve">il est probable que </w:t>
      </w:r>
      <w:r w:rsidR="006A3DF2">
        <w:rPr>
          <w:szCs w:val="22"/>
          <w:lang w:val="fr-FR"/>
        </w:rPr>
        <w:t>le</w:t>
      </w:r>
      <w:r w:rsidR="00466717" w:rsidRPr="006345E2">
        <w:rPr>
          <w:szCs w:val="22"/>
          <w:lang w:val="fr-FR"/>
        </w:rPr>
        <w:t xml:space="preserve"> manque</w:t>
      </w:r>
      <w:r w:rsidR="006A3DF2" w:rsidRPr="006A3DF2">
        <w:rPr>
          <w:szCs w:val="22"/>
          <w:lang w:val="fr-FR"/>
        </w:rPr>
        <w:t xml:space="preserve"> </w:t>
      </w:r>
      <w:r w:rsidR="00466717" w:rsidRPr="006345E2">
        <w:rPr>
          <w:szCs w:val="22"/>
          <w:lang w:val="fr-FR"/>
        </w:rPr>
        <w:t xml:space="preserve">à gagner </w:t>
      </w:r>
      <w:r w:rsidR="006A3DF2">
        <w:rPr>
          <w:szCs w:val="22"/>
          <w:lang w:val="fr-FR"/>
        </w:rPr>
        <w:t>sur la revente de</w:t>
      </w:r>
      <w:r w:rsidR="00466717" w:rsidRPr="006345E2">
        <w:rPr>
          <w:szCs w:val="22"/>
          <w:lang w:val="fr-FR"/>
        </w:rPr>
        <w:t xml:space="preserve"> </w:t>
      </w:r>
      <w:r w:rsidR="006A3DF2" w:rsidRPr="006345E2">
        <w:rPr>
          <w:szCs w:val="22"/>
          <w:lang w:val="fr-FR"/>
        </w:rPr>
        <w:t>ce type d</w:t>
      </w:r>
      <w:r w:rsidR="00D166B3">
        <w:rPr>
          <w:szCs w:val="22"/>
          <w:lang w:val="fr-FR"/>
        </w:rPr>
        <w:t>’</w:t>
      </w:r>
      <w:r w:rsidR="006A3DF2" w:rsidRPr="006345E2">
        <w:rPr>
          <w:szCs w:val="22"/>
          <w:lang w:val="fr-FR"/>
        </w:rPr>
        <w:t xml:space="preserve">œuvres </w:t>
      </w:r>
      <w:r w:rsidR="00AA4E73">
        <w:rPr>
          <w:szCs w:val="22"/>
          <w:lang w:val="fr-FR"/>
        </w:rPr>
        <w:t>soit élevé</w:t>
      </w:r>
      <w:r w:rsidR="00725357" w:rsidRPr="00725357">
        <w:rPr>
          <w:szCs w:val="22"/>
          <w:lang w:val="fr-FR"/>
        </w:rPr>
        <w:t xml:space="preserve"> </w:t>
      </w:r>
      <w:r w:rsidR="00725357" w:rsidRPr="006345E2">
        <w:rPr>
          <w:szCs w:val="22"/>
          <w:lang w:val="fr-FR"/>
        </w:rPr>
        <w:t>pour les artistes</w:t>
      </w:r>
      <w:r w:rsidR="00466717" w:rsidRPr="006345E2">
        <w:rPr>
          <w:szCs w:val="22"/>
          <w:lang w:val="fr-FR"/>
        </w:rPr>
        <w:t xml:space="preserve">.  </w:t>
      </w:r>
      <w:r w:rsidR="00AA4E73">
        <w:rPr>
          <w:szCs w:val="22"/>
          <w:lang w:val="fr-FR"/>
        </w:rPr>
        <w:t>D</w:t>
      </w:r>
      <w:r w:rsidR="00466717" w:rsidRPr="006345E2">
        <w:rPr>
          <w:szCs w:val="22"/>
          <w:lang w:val="fr-FR"/>
        </w:rPr>
        <w:t xml:space="preserve">es prix de revente minimums sont </w:t>
      </w:r>
      <w:r w:rsidR="00AA4E73">
        <w:rPr>
          <w:szCs w:val="22"/>
          <w:lang w:val="fr-FR"/>
        </w:rPr>
        <w:t>généralement</w:t>
      </w:r>
      <w:r w:rsidR="00466717" w:rsidRPr="006345E2">
        <w:rPr>
          <w:szCs w:val="22"/>
          <w:lang w:val="fr-FR"/>
        </w:rPr>
        <w:t xml:space="preserve"> fixés dans la plupart des systèmes de droit de suite</w:t>
      </w:r>
      <w:r w:rsidR="00AA4E73">
        <w:rPr>
          <w:szCs w:val="22"/>
          <w:lang w:val="fr-FR"/>
        </w:rPr>
        <w:t>, mais</w:t>
      </w:r>
      <w:r w:rsidR="00466717" w:rsidRPr="006345E2">
        <w:rPr>
          <w:szCs w:val="22"/>
          <w:lang w:val="fr-FR"/>
        </w:rPr>
        <w:t xml:space="preserve"> </w:t>
      </w:r>
      <w:r w:rsidR="00AA4E73">
        <w:rPr>
          <w:szCs w:val="22"/>
          <w:lang w:val="fr-FR"/>
        </w:rPr>
        <w:t xml:space="preserve">des difficultés peuvent survenir lors de la définition </w:t>
      </w:r>
      <w:r w:rsidR="00725357">
        <w:rPr>
          <w:szCs w:val="22"/>
          <w:lang w:val="fr-FR"/>
        </w:rPr>
        <w:t>du véritable objet de la revente</w:t>
      </w:r>
      <w:r w:rsidR="00466717" w:rsidRPr="006345E2">
        <w:rPr>
          <w:szCs w:val="22"/>
          <w:lang w:val="fr-FR"/>
        </w:rPr>
        <w:t>, par exemple lorsque plusieurs articles sont inclus dans une seule transaction (diptyques, collages, etc.).  Ces questions, ainsi que d</w:t>
      </w:r>
      <w:r w:rsidR="00D166B3">
        <w:rPr>
          <w:szCs w:val="22"/>
          <w:lang w:val="fr-FR"/>
        </w:rPr>
        <w:t>’</w:t>
      </w:r>
      <w:r w:rsidR="00466717" w:rsidRPr="006345E2">
        <w:rPr>
          <w:szCs w:val="22"/>
          <w:lang w:val="fr-FR"/>
        </w:rPr>
        <w:t xml:space="preserve">autres, </w:t>
      </w:r>
      <w:r w:rsidR="00725357">
        <w:rPr>
          <w:szCs w:val="22"/>
          <w:lang w:val="fr-FR"/>
        </w:rPr>
        <w:t>telles que</w:t>
      </w:r>
      <w:r w:rsidR="00466717" w:rsidRPr="006345E2">
        <w:rPr>
          <w:szCs w:val="22"/>
          <w:lang w:val="fr-FR"/>
        </w:rPr>
        <w:t xml:space="preserve"> le traitement de la taxe sur la valeur ajoutée et des primes versées par l</w:t>
      </w:r>
      <w:r w:rsidR="00D166B3">
        <w:rPr>
          <w:szCs w:val="22"/>
          <w:lang w:val="fr-FR"/>
        </w:rPr>
        <w:t>’</w:t>
      </w:r>
      <w:r w:rsidR="00466717" w:rsidRPr="006345E2">
        <w:rPr>
          <w:szCs w:val="22"/>
          <w:lang w:val="fr-FR"/>
        </w:rPr>
        <w:t xml:space="preserve">acquéreur, peuvent donc être traitées différemment </w:t>
      </w:r>
      <w:r w:rsidR="00AA4E73">
        <w:rPr>
          <w:szCs w:val="22"/>
          <w:lang w:val="fr-FR"/>
        </w:rPr>
        <w:t xml:space="preserve">au sein des </w:t>
      </w:r>
      <w:r w:rsidR="00725357">
        <w:rPr>
          <w:szCs w:val="22"/>
          <w:lang w:val="fr-FR"/>
        </w:rPr>
        <w:t>divers</w:t>
      </w:r>
      <w:r w:rsidR="00AA4E73">
        <w:rPr>
          <w:szCs w:val="22"/>
          <w:lang w:val="fr-FR"/>
        </w:rPr>
        <w:t xml:space="preserve"> </w:t>
      </w:r>
      <w:r w:rsidR="00466717" w:rsidRPr="006345E2">
        <w:rPr>
          <w:szCs w:val="22"/>
          <w:lang w:val="fr-FR"/>
        </w:rPr>
        <w:t>système</w:t>
      </w:r>
      <w:r w:rsidR="00AA4E73">
        <w:rPr>
          <w:szCs w:val="22"/>
          <w:lang w:val="fr-FR"/>
        </w:rPr>
        <w:t>s</w:t>
      </w:r>
      <w:r w:rsidR="00466717" w:rsidRPr="006345E2">
        <w:rPr>
          <w:szCs w:val="22"/>
          <w:lang w:val="fr-FR"/>
        </w:rPr>
        <w:t xml:space="preserve"> de droit de suite.</w:t>
      </w:r>
    </w:p>
    <w:p w:rsidR="00466717" w:rsidRPr="006345E2" w:rsidRDefault="00466717" w:rsidP="0015153C">
      <w:pPr>
        <w:pStyle w:val="Heading2"/>
      </w:pPr>
      <w:r w:rsidRPr="006345E2">
        <w:t>4.</w:t>
      </w:r>
      <w:r w:rsidR="0085472B">
        <w:tab/>
      </w:r>
      <w:r w:rsidR="00725357">
        <w:t>Taux appliqués</w:t>
      </w:r>
    </w:p>
    <w:p w:rsidR="00466717" w:rsidRPr="006345E2" w:rsidRDefault="00466717" w:rsidP="00035ED3">
      <w:pPr>
        <w:spacing w:before="120" w:after="120"/>
        <w:rPr>
          <w:szCs w:val="22"/>
          <w:lang w:val="fr-FR"/>
        </w:rPr>
      </w:pPr>
      <w:r w:rsidRPr="006345E2">
        <w:rPr>
          <w:szCs w:val="22"/>
          <w:lang w:val="fr-FR"/>
        </w:rPr>
        <w:t xml:space="preserve">Dans les pays de </w:t>
      </w:r>
      <w:r w:rsidR="001C636F">
        <w:rPr>
          <w:szCs w:val="22"/>
          <w:lang w:val="fr-FR"/>
        </w:rPr>
        <w:t>l</w:t>
      </w:r>
      <w:r w:rsidR="00D166B3">
        <w:rPr>
          <w:szCs w:val="22"/>
          <w:lang w:val="fr-FR"/>
        </w:rPr>
        <w:t>’</w:t>
      </w:r>
      <w:r w:rsidR="001C636F">
        <w:rPr>
          <w:szCs w:val="22"/>
          <w:lang w:val="fr-FR"/>
        </w:rPr>
        <w:t>UE</w:t>
      </w:r>
      <w:r w:rsidRPr="006345E2">
        <w:rPr>
          <w:szCs w:val="22"/>
          <w:lang w:val="fr-FR"/>
        </w:rPr>
        <w:t xml:space="preserve">, </w:t>
      </w:r>
      <w:r w:rsidR="001C636F">
        <w:rPr>
          <w:szCs w:val="22"/>
          <w:lang w:val="fr-FR"/>
        </w:rPr>
        <w:t xml:space="preserve">les dispositions de </w:t>
      </w:r>
      <w:r w:rsidR="001C636F" w:rsidRPr="006345E2">
        <w:rPr>
          <w:szCs w:val="22"/>
          <w:lang w:val="fr-FR"/>
        </w:rPr>
        <w:t xml:space="preserve">la directive européenne </w:t>
      </w:r>
      <w:r w:rsidR="001C636F">
        <w:rPr>
          <w:szCs w:val="22"/>
          <w:lang w:val="fr-FR"/>
        </w:rPr>
        <w:t xml:space="preserve">fixent </w:t>
      </w:r>
      <w:r w:rsidRPr="006345E2">
        <w:rPr>
          <w:szCs w:val="22"/>
          <w:lang w:val="fr-FR"/>
        </w:rPr>
        <w:t>un cadre</w:t>
      </w:r>
      <w:r w:rsidR="00725357">
        <w:rPr>
          <w:szCs w:val="22"/>
          <w:lang w:val="fr-FR"/>
        </w:rPr>
        <w:t>;</w:t>
      </w:r>
      <w:r w:rsidRPr="006345E2">
        <w:rPr>
          <w:szCs w:val="22"/>
          <w:lang w:val="fr-FR"/>
        </w:rPr>
        <w:t xml:space="preserve"> 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Australie, le Brésil,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Uruguay et la Russie ne sont pas concernés</w:t>
      </w:r>
      <w:r w:rsidR="00725357">
        <w:rPr>
          <w:szCs w:val="22"/>
          <w:lang w:val="fr-FR"/>
        </w:rPr>
        <w:t xml:space="preserve"> par ce cadre</w:t>
      </w:r>
      <w:r w:rsidR="00DC0199">
        <w:rPr>
          <w:szCs w:val="22"/>
          <w:lang w:val="fr-FR"/>
        </w:rPr>
        <w:t xml:space="preserve">; </w:t>
      </w:r>
      <w:r w:rsidR="001C636F" w:rsidRPr="001C636F">
        <w:rPr>
          <w:szCs w:val="22"/>
          <w:lang w:val="fr-FR"/>
        </w:rPr>
        <w:t xml:space="preserve"> </w:t>
      </w:r>
      <w:r w:rsidR="001C636F">
        <w:rPr>
          <w:szCs w:val="22"/>
          <w:lang w:val="fr-FR"/>
        </w:rPr>
        <w:t xml:space="preserve">en revanche, </w:t>
      </w:r>
      <w:r w:rsidR="001C636F" w:rsidRPr="006345E2">
        <w:rPr>
          <w:szCs w:val="22"/>
          <w:lang w:val="fr-FR"/>
        </w:rPr>
        <w:t>rien n</w:t>
      </w:r>
      <w:r w:rsidR="00D166B3">
        <w:rPr>
          <w:szCs w:val="22"/>
          <w:lang w:val="fr-FR"/>
        </w:rPr>
        <w:t>’</w:t>
      </w:r>
      <w:r w:rsidR="001C636F" w:rsidRPr="006345E2">
        <w:rPr>
          <w:szCs w:val="22"/>
          <w:lang w:val="fr-FR"/>
        </w:rPr>
        <w:t>indique à ce jour</w:t>
      </w:r>
      <w:r w:rsidR="001C636F">
        <w:rPr>
          <w:szCs w:val="22"/>
          <w:lang w:val="fr-FR"/>
        </w:rPr>
        <w:t xml:space="preserve"> que</w:t>
      </w:r>
      <w:r w:rsidR="001C636F" w:rsidRPr="006345E2">
        <w:rPr>
          <w:szCs w:val="22"/>
          <w:lang w:val="fr-FR"/>
        </w:rPr>
        <w:t xml:space="preserve"> </w:t>
      </w:r>
      <w:r w:rsidR="001C636F">
        <w:rPr>
          <w:szCs w:val="22"/>
          <w:lang w:val="fr-FR"/>
        </w:rPr>
        <w:t xml:space="preserve">le </w:t>
      </w:r>
      <w:r w:rsidRPr="006345E2">
        <w:rPr>
          <w:szCs w:val="22"/>
          <w:lang w:val="fr-FR"/>
        </w:rPr>
        <w:t>Royaume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Uni</w:t>
      </w:r>
      <w:r w:rsidR="001C636F">
        <w:rPr>
          <w:szCs w:val="22"/>
          <w:lang w:val="fr-FR"/>
        </w:rPr>
        <w:t>, qui ne fait</w:t>
      </w:r>
      <w:r w:rsidRPr="006345E2">
        <w:rPr>
          <w:szCs w:val="22"/>
          <w:lang w:val="fr-FR"/>
        </w:rPr>
        <w:t xml:space="preserve"> plus partie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UE depuis le Brexit, dérogera aux taux fixés dans la directive européenne.</w:t>
      </w:r>
    </w:p>
    <w:p w:rsidR="00466717" w:rsidRPr="006345E2" w:rsidRDefault="00466717" w:rsidP="004C496A">
      <w:pPr>
        <w:spacing w:after="120"/>
        <w:rPr>
          <w:szCs w:val="22"/>
          <w:lang w:val="fr-FR"/>
        </w:rPr>
      </w:pPr>
      <w:r w:rsidRPr="006345E2">
        <w:rPr>
          <w:szCs w:val="22"/>
          <w:lang w:val="fr-FR"/>
        </w:rPr>
        <w:t>En général, les taux appliqués correspondent à un pourcentage de la valeur de la revente (entre 3 et 5%), mais plusieurs pays appliquent un pourcentage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augmentation de la valeur à la revente.  Dans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UE, il existe une échelle mobile cumulative qui peut aller jusqu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à 5% avec une lim</w:t>
      </w:r>
      <w:r w:rsidR="001C636F">
        <w:rPr>
          <w:szCs w:val="22"/>
          <w:lang w:val="fr-FR"/>
        </w:rPr>
        <w:t>ite supérieure (voir plus loin)</w:t>
      </w:r>
      <w:r w:rsidR="00DC0199">
        <w:rPr>
          <w:szCs w:val="22"/>
          <w:lang w:val="fr-FR"/>
        </w:rPr>
        <w:t xml:space="preserve">; </w:t>
      </w:r>
      <w:r w:rsidR="001C636F">
        <w:rPr>
          <w:szCs w:val="22"/>
          <w:lang w:val="fr-FR"/>
        </w:rPr>
        <w:t xml:space="preserve"> </w:t>
      </w:r>
      <w:r w:rsidR="001C636F" w:rsidRPr="006345E2">
        <w:rPr>
          <w:szCs w:val="22"/>
          <w:lang w:val="fr-FR"/>
        </w:rPr>
        <w:t xml:space="preserve">certains pays tiers </w:t>
      </w:r>
      <w:r w:rsidR="001C636F">
        <w:rPr>
          <w:szCs w:val="22"/>
          <w:lang w:val="fr-FR"/>
        </w:rPr>
        <w:t xml:space="preserve">appliquent eux aussi </w:t>
      </w:r>
      <w:r w:rsidRPr="006345E2">
        <w:rPr>
          <w:szCs w:val="22"/>
          <w:lang w:val="fr-FR"/>
        </w:rPr>
        <w:t>une limite supérieure.</w:t>
      </w:r>
    </w:p>
    <w:p w:rsidR="00466717" w:rsidRPr="006345E2" w:rsidRDefault="00466717" w:rsidP="0015153C">
      <w:pPr>
        <w:pStyle w:val="Heading2"/>
      </w:pPr>
      <w:r w:rsidRPr="006345E2">
        <w:t>5</w:t>
      </w:r>
      <w:r w:rsidR="0085472B">
        <w:t>.</w:t>
      </w:r>
      <w:r w:rsidRPr="006345E2">
        <w:tab/>
        <w:t>Personnes responsables du paiement du droit</w:t>
      </w:r>
    </w:p>
    <w:p w:rsidR="00466717" w:rsidRPr="006345E2" w:rsidRDefault="00466717" w:rsidP="004C496A">
      <w:pPr>
        <w:spacing w:after="120"/>
        <w:rPr>
          <w:szCs w:val="22"/>
          <w:lang w:val="fr-FR"/>
        </w:rPr>
      </w:pPr>
      <w:r w:rsidRPr="006345E2">
        <w:rPr>
          <w:szCs w:val="22"/>
          <w:lang w:val="fr-FR"/>
        </w:rPr>
        <w:t>Il s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agit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un élément essentiel de tout système de droit de suite, </w:t>
      </w:r>
      <w:r w:rsidR="00902CD6">
        <w:rPr>
          <w:szCs w:val="22"/>
          <w:lang w:val="fr-FR"/>
        </w:rPr>
        <w:t>où la charge</w:t>
      </w:r>
      <w:r w:rsidRPr="006345E2">
        <w:rPr>
          <w:szCs w:val="22"/>
          <w:lang w:val="fr-FR"/>
        </w:rPr>
        <w:t xml:space="preserve"> légale </w:t>
      </w:r>
      <w:r w:rsidR="00902CD6">
        <w:rPr>
          <w:szCs w:val="22"/>
          <w:lang w:val="fr-FR"/>
        </w:rPr>
        <w:t>du</w:t>
      </w:r>
      <w:r w:rsidRPr="006345E2">
        <w:rPr>
          <w:szCs w:val="22"/>
          <w:lang w:val="fr-FR"/>
        </w:rPr>
        <w:t xml:space="preserve"> paiement </w:t>
      </w:r>
      <w:r w:rsidR="00D57E06">
        <w:rPr>
          <w:szCs w:val="22"/>
          <w:lang w:val="fr-FR"/>
        </w:rPr>
        <w:t xml:space="preserve">du droit </w:t>
      </w:r>
      <w:r w:rsidRPr="006345E2">
        <w:rPr>
          <w:szCs w:val="22"/>
          <w:lang w:val="fr-FR"/>
        </w:rPr>
        <w:t>peut varier en fonction de la pratique (et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applicabilité).  </w:t>
      </w:r>
      <w:r w:rsidR="00902CD6">
        <w:rPr>
          <w:szCs w:val="22"/>
          <w:lang w:val="fr-FR"/>
        </w:rPr>
        <w:t>Dans le cas de</w:t>
      </w:r>
      <w:r w:rsidRPr="006345E2">
        <w:rPr>
          <w:szCs w:val="22"/>
          <w:lang w:val="fr-FR"/>
        </w:rPr>
        <w:t xml:space="preserve">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</w:t>
      </w:r>
      <w:r w:rsidR="00902CD6">
        <w:rPr>
          <w:szCs w:val="22"/>
          <w:lang w:val="fr-FR"/>
        </w:rPr>
        <w:t>nion européenne</w:t>
      </w:r>
      <w:r w:rsidRPr="006345E2">
        <w:rPr>
          <w:szCs w:val="22"/>
          <w:lang w:val="fr-FR"/>
        </w:rPr>
        <w:t xml:space="preserve">, par exemple, si le principe de base est que le vendeur </w:t>
      </w:r>
      <w:r w:rsidR="00902CD6">
        <w:rPr>
          <w:szCs w:val="22"/>
          <w:lang w:val="fr-FR"/>
        </w:rPr>
        <w:t>a la charge du paiement</w:t>
      </w:r>
      <w:r w:rsidRPr="006345E2">
        <w:rPr>
          <w:szCs w:val="22"/>
          <w:lang w:val="fr-FR"/>
        </w:rPr>
        <w:t>, les États membres peuvent prévoir que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acquéreur ou tout professionnel du marché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art intermédiaire impliqué dans la revente est </w:t>
      </w:r>
      <w:r w:rsidR="00902CD6">
        <w:rPr>
          <w:szCs w:val="22"/>
          <w:lang w:val="fr-FR"/>
        </w:rPr>
        <w:t>responsable du paiement</w:t>
      </w:r>
      <w:r w:rsidRPr="006345E2">
        <w:rPr>
          <w:szCs w:val="22"/>
          <w:lang w:val="fr-FR"/>
        </w:rPr>
        <w:t xml:space="preserve"> ou </w:t>
      </w:r>
      <w:r w:rsidR="00902CD6">
        <w:rPr>
          <w:szCs w:val="22"/>
          <w:lang w:val="fr-FR"/>
        </w:rPr>
        <w:t>partage cette responsabilité</w:t>
      </w:r>
      <w:r w:rsidRPr="006345E2">
        <w:rPr>
          <w:szCs w:val="22"/>
          <w:lang w:val="fr-FR"/>
        </w:rPr>
        <w:t> </w:t>
      </w:r>
      <w:r w:rsidR="00902CD6">
        <w:rPr>
          <w:szCs w:val="22"/>
          <w:lang w:val="fr-FR"/>
        </w:rPr>
        <w:t>(voir l</w:t>
      </w:r>
      <w:r w:rsidR="00D166B3">
        <w:rPr>
          <w:szCs w:val="22"/>
          <w:lang w:val="fr-FR"/>
        </w:rPr>
        <w:t>’</w:t>
      </w:r>
      <w:r w:rsidR="00902CD6" w:rsidRPr="006345E2">
        <w:rPr>
          <w:szCs w:val="22"/>
          <w:lang w:val="fr-FR"/>
        </w:rPr>
        <w:t>article 1.4</w:t>
      </w:r>
      <w:r w:rsidR="00902CD6">
        <w:rPr>
          <w:szCs w:val="22"/>
          <w:lang w:val="fr-FR"/>
        </w:rPr>
        <w:t xml:space="preserve"> de la</w:t>
      </w:r>
      <w:r w:rsidRPr="006345E2">
        <w:rPr>
          <w:szCs w:val="22"/>
          <w:lang w:val="fr-FR"/>
        </w:rPr>
        <w:t xml:space="preserve"> directive CE</w:t>
      </w:r>
      <w:r w:rsidR="00902CD6">
        <w:rPr>
          <w:szCs w:val="22"/>
          <w:lang w:val="fr-FR"/>
        </w:rPr>
        <w:t>)</w:t>
      </w:r>
      <w:r w:rsidRPr="006345E2">
        <w:rPr>
          <w:szCs w:val="22"/>
          <w:lang w:val="fr-FR"/>
        </w:rPr>
        <w:t xml:space="preserve">.  De ce fait, </w:t>
      </w:r>
      <w:r w:rsidR="00D57E06">
        <w:rPr>
          <w:szCs w:val="22"/>
          <w:lang w:val="fr-FR"/>
        </w:rPr>
        <w:t>la désignation des</w:t>
      </w:r>
      <w:r w:rsidR="00902CD6" w:rsidRPr="006345E2">
        <w:rPr>
          <w:szCs w:val="22"/>
          <w:lang w:val="fr-FR"/>
        </w:rPr>
        <w:t xml:space="preserve"> personnes responsables du paiement du droit </w:t>
      </w:r>
      <w:r w:rsidR="00902CD6">
        <w:rPr>
          <w:szCs w:val="22"/>
          <w:lang w:val="fr-FR"/>
        </w:rPr>
        <w:t>diffère</w:t>
      </w:r>
      <w:r w:rsidRPr="006345E2">
        <w:rPr>
          <w:szCs w:val="22"/>
          <w:lang w:val="fr-FR"/>
        </w:rPr>
        <w:t xml:space="preserve"> aussi bien dans la législation que dans la pratique, tant dans les pays de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UE que dans les pays tiers.</w:t>
      </w:r>
    </w:p>
    <w:p w:rsidR="00466717" w:rsidRPr="006345E2" w:rsidRDefault="00466717" w:rsidP="0015153C">
      <w:pPr>
        <w:pStyle w:val="Heading2"/>
      </w:pPr>
      <w:r w:rsidRPr="006345E2">
        <w:t>6.</w:t>
      </w:r>
      <w:r w:rsidR="0085472B">
        <w:tab/>
      </w:r>
      <w:r w:rsidRPr="006345E2">
        <w:t>Gestion du système</w:t>
      </w:r>
    </w:p>
    <w:p w:rsidR="00466717" w:rsidRPr="004C496A" w:rsidRDefault="00466717" w:rsidP="004C496A">
      <w:pPr>
        <w:spacing w:after="120"/>
        <w:rPr>
          <w:spacing w:val="-2"/>
          <w:szCs w:val="22"/>
          <w:lang w:val="fr-FR"/>
        </w:rPr>
      </w:pPr>
      <w:r w:rsidRPr="004C496A">
        <w:rPr>
          <w:spacing w:val="-2"/>
          <w:szCs w:val="22"/>
          <w:lang w:val="fr-FR"/>
        </w:rPr>
        <w:t>La question clé ici est de savoir si l</w:t>
      </w:r>
      <w:r w:rsidR="00D166B3" w:rsidRPr="004C496A">
        <w:rPr>
          <w:spacing w:val="-2"/>
          <w:szCs w:val="22"/>
          <w:lang w:val="fr-FR"/>
        </w:rPr>
        <w:t>’</w:t>
      </w:r>
      <w:r w:rsidRPr="004C496A">
        <w:rPr>
          <w:spacing w:val="-2"/>
          <w:szCs w:val="22"/>
          <w:lang w:val="fr-FR"/>
        </w:rPr>
        <w:t xml:space="preserve">exercice du droit est laissé </w:t>
      </w:r>
      <w:r w:rsidR="00D57E06" w:rsidRPr="004C496A">
        <w:rPr>
          <w:spacing w:val="-2"/>
          <w:szCs w:val="22"/>
          <w:lang w:val="fr-FR"/>
        </w:rPr>
        <w:t xml:space="preserve">à </w:t>
      </w:r>
      <w:r w:rsidR="00E44688" w:rsidRPr="004C496A">
        <w:rPr>
          <w:spacing w:val="-2"/>
          <w:szCs w:val="22"/>
          <w:lang w:val="fr-FR"/>
        </w:rPr>
        <w:t xml:space="preserve">la discrétion de </w:t>
      </w:r>
      <w:r w:rsidR="00D57E06" w:rsidRPr="004C496A">
        <w:rPr>
          <w:spacing w:val="-2"/>
          <w:szCs w:val="22"/>
          <w:lang w:val="fr-FR"/>
        </w:rPr>
        <w:t>chaque</w:t>
      </w:r>
      <w:r w:rsidRPr="004C496A">
        <w:rPr>
          <w:spacing w:val="-2"/>
          <w:szCs w:val="22"/>
          <w:lang w:val="fr-FR"/>
        </w:rPr>
        <w:t xml:space="preserve"> artiste ou se fait par l</w:t>
      </w:r>
      <w:r w:rsidR="00D166B3" w:rsidRPr="004C496A">
        <w:rPr>
          <w:spacing w:val="-2"/>
          <w:szCs w:val="22"/>
          <w:lang w:val="fr-FR"/>
        </w:rPr>
        <w:t>’</w:t>
      </w:r>
      <w:r w:rsidRPr="004C496A">
        <w:rPr>
          <w:spacing w:val="-2"/>
          <w:szCs w:val="22"/>
          <w:lang w:val="fr-FR"/>
        </w:rPr>
        <w:t>intermédiaire d</w:t>
      </w:r>
      <w:r w:rsidR="00D166B3" w:rsidRPr="004C496A">
        <w:rPr>
          <w:spacing w:val="-2"/>
          <w:szCs w:val="22"/>
          <w:lang w:val="fr-FR"/>
        </w:rPr>
        <w:t>’</w:t>
      </w:r>
      <w:r w:rsidRPr="004C496A">
        <w:rPr>
          <w:spacing w:val="-2"/>
          <w:szCs w:val="22"/>
          <w:lang w:val="fr-FR"/>
        </w:rPr>
        <w:t xml:space="preserve">une organisation de gestion collective et </w:t>
      </w:r>
      <w:r w:rsidR="00D57E06" w:rsidRPr="004C496A">
        <w:rPr>
          <w:spacing w:val="-2"/>
          <w:szCs w:val="22"/>
          <w:lang w:val="fr-FR"/>
        </w:rPr>
        <w:t>le cas échéant</w:t>
      </w:r>
      <w:r w:rsidRPr="004C496A">
        <w:rPr>
          <w:spacing w:val="-2"/>
          <w:szCs w:val="22"/>
          <w:lang w:val="fr-FR"/>
        </w:rPr>
        <w:t xml:space="preserve">, si cette gestion collective est obligatoire.  Les pays </w:t>
      </w:r>
      <w:r w:rsidR="00D57E06" w:rsidRPr="004C496A">
        <w:rPr>
          <w:spacing w:val="-2"/>
          <w:szCs w:val="22"/>
          <w:lang w:val="fr-FR"/>
        </w:rPr>
        <w:t>étudiés dans</w:t>
      </w:r>
      <w:r w:rsidRPr="004C496A">
        <w:rPr>
          <w:spacing w:val="-2"/>
          <w:szCs w:val="22"/>
          <w:lang w:val="fr-FR"/>
        </w:rPr>
        <w:t xml:space="preserve"> </w:t>
      </w:r>
      <w:r w:rsidR="00D57E06" w:rsidRPr="004C496A">
        <w:rPr>
          <w:spacing w:val="-2"/>
          <w:szCs w:val="22"/>
          <w:lang w:val="fr-FR"/>
        </w:rPr>
        <w:t>le présent</w:t>
      </w:r>
      <w:r w:rsidRPr="004C496A">
        <w:rPr>
          <w:spacing w:val="-2"/>
          <w:szCs w:val="22"/>
          <w:lang w:val="fr-FR"/>
        </w:rPr>
        <w:t xml:space="preserve"> rapport ont adopté </w:t>
      </w:r>
      <w:r w:rsidR="00E44688" w:rsidRPr="004C496A">
        <w:rPr>
          <w:spacing w:val="-2"/>
          <w:szCs w:val="22"/>
          <w:lang w:val="fr-FR"/>
        </w:rPr>
        <w:t xml:space="preserve">diverses approches </w:t>
      </w:r>
      <w:r w:rsidRPr="004C496A">
        <w:rPr>
          <w:spacing w:val="-2"/>
          <w:szCs w:val="22"/>
          <w:lang w:val="fr-FR"/>
        </w:rPr>
        <w:t>à cet égard</w:t>
      </w:r>
      <w:r w:rsidR="00E44688" w:rsidRPr="004C496A">
        <w:rPr>
          <w:spacing w:val="-2"/>
          <w:szCs w:val="22"/>
          <w:lang w:val="fr-FR"/>
        </w:rPr>
        <w:t>,</w:t>
      </w:r>
      <w:r w:rsidRPr="004C496A">
        <w:rPr>
          <w:spacing w:val="-2"/>
          <w:szCs w:val="22"/>
          <w:lang w:val="fr-FR"/>
        </w:rPr>
        <w:t xml:space="preserve"> </w:t>
      </w:r>
      <w:r w:rsidR="00D57E06" w:rsidRPr="004C496A">
        <w:rPr>
          <w:spacing w:val="-2"/>
          <w:szCs w:val="22"/>
          <w:lang w:val="fr-FR"/>
        </w:rPr>
        <w:t>qui vont</w:t>
      </w:r>
      <w:r w:rsidRPr="004C496A">
        <w:rPr>
          <w:spacing w:val="-2"/>
          <w:szCs w:val="22"/>
          <w:lang w:val="fr-FR"/>
        </w:rPr>
        <w:t xml:space="preserve"> de la gestion individuelle (Pologne) à la gestion collective obligatoire (Royaume</w:t>
      </w:r>
      <w:r w:rsidR="00035ED3" w:rsidRPr="004C496A">
        <w:rPr>
          <w:spacing w:val="-2"/>
          <w:szCs w:val="22"/>
          <w:lang w:val="fr-FR"/>
        </w:rPr>
        <w:noBreakHyphen/>
      </w:r>
      <w:r w:rsidRPr="004C496A">
        <w:rPr>
          <w:spacing w:val="-2"/>
          <w:szCs w:val="22"/>
          <w:lang w:val="fr-FR"/>
        </w:rPr>
        <w:t>Uni, Hongrie, République tchèque et Slovaquie), en passant par la gestion collective facultative (France</w:t>
      </w:r>
      <w:r w:rsidR="00D57E06" w:rsidRPr="004C496A">
        <w:rPr>
          <w:spacing w:val="-2"/>
          <w:szCs w:val="22"/>
          <w:lang w:val="fr-FR"/>
        </w:rPr>
        <w:t xml:space="preserve"> et</w:t>
      </w:r>
      <w:r w:rsidRPr="004C496A">
        <w:rPr>
          <w:spacing w:val="-2"/>
          <w:szCs w:val="22"/>
          <w:lang w:val="fr-FR"/>
        </w:rPr>
        <w:t xml:space="preserve"> Australie).  Toutes ces approches sont compatibles avec l</w:t>
      </w:r>
      <w:r w:rsidR="00D166B3" w:rsidRPr="004C496A">
        <w:rPr>
          <w:spacing w:val="-2"/>
          <w:szCs w:val="22"/>
          <w:lang w:val="fr-FR"/>
        </w:rPr>
        <w:t>’</w:t>
      </w:r>
      <w:r w:rsidRPr="004C496A">
        <w:rPr>
          <w:spacing w:val="-2"/>
          <w:szCs w:val="22"/>
          <w:lang w:val="fr-FR"/>
        </w:rPr>
        <w:t>article 14</w:t>
      </w:r>
      <w:r w:rsidRPr="004C496A">
        <w:rPr>
          <w:i/>
          <w:spacing w:val="-2"/>
          <w:szCs w:val="22"/>
          <w:lang w:val="fr-FR"/>
        </w:rPr>
        <w:t>ter</w:t>
      </w:r>
      <w:r w:rsidRPr="004C496A">
        <w:rPr>
          <w:spacing w:val="-2"/>
          <w:szCs w:val="22"/>
          <w:lang w:val="fr-FR"/>
        </w:rPr>
        <w:t xml:space="preserve"> de la Convention de Berne;  </w:t>
      </w:r>
      <w:r w:rsidR="00E44688" w:rsidRPr="004C496A">
        <w:rPr>
          <w:spacing w:val="-2"/>
          <w:szCs w:val="22"/>
          <w:lang w:val="fr-FR"/>
        </w:rPr>
        <w:t>pour ce qui est de</w:t>
      </w:r>
      <w:r w:rsidRPr="004C496A">
        <w:rPr>
          <w:spacing w:val="-2"/>
          <w:szCs w:val="22"/>
          <w:lang w:val="fr-FR"/>
        </w:rPr>
        <w:t xml:space="preserve"> savoir si un droit de suite peut être effectif lorsque son application est laissée à </w:t>
      </w:r>
      <w:r w:rsidR="00D57E06" w:rsidRPr="004C496A">
        <w:rPr>
          <w:spacing w:val="-2"/>
          <w:szCs w:val="22"/>
          <w:lang w:val="fr-FR"/>
        </w:rPr>
        <w:t>la discrétion</w:t>
      </w:r>
      <w:r w:rsidRPr="004C496A">
        <w:rPr>
          <w:spacing w:val="-2"/>
          <w:szCs w:val="22"/>
          <w:lang w:val="fr-FR"/>
        </w:rPr>
        <w:t xml:space="preserve"> des individus</w:t>
      </w:r>
      <w:r w:rsidR="00D57E06" w:rsidRPr="004C496A">
        <w:rPr>
          <w:spacing w:val="-2"/>
          <w:szCs w:val="22"/>
          <w:lang w:val="fr-FR"/>
        </w:rPr>
        <w:t>, c</w:t>
      </w:r>
      <w:r w:rsidR="00D166B3" w:rsidRPr="004C496A">
        <w:rPr>
          <w:spacing w:val="-2"/>
          <w:szCs w:val="22"/>
          <w:lang w:val="fr-FR"/>
        </w:rPr>
        <w:t>’</w:t>
      </w:r>
      <w:r w:rsidR="00D57E06" w:rsidRPr="004C496A">
        <w:rPr>
          <w:spacing w:val="-2"/>
          <w:szCs w:val="22"/>
          <w:lang w:val="fr-FR"/>
        </w:rPr>
        <w:t>est une autre question</w:t>
      </w:r>
      <w:r w:rsidRPr="004C496A">
        <w:rPr>
          <w:spacing w:val="-2"/>
          <w:szCs w:val="22"/>
          <w:lang w:val="fr-FR"/>
        </w:rPr>
        <w:t>.</w:t>
      </w:r>
    </w:p>
    <w:p w:rsidR="00466717" w:rsidRPr="006345E2" w:rsidRDefault="00466717" w:rsidP="0015153C">
      <w:pPr>
        <w:pStyle w:val="Heading2"/>
      </w:pPr>
      <w:r w:rsidRPr="006345E2">
        <w:t>7.</w:t>
      </w:r>
      <w:r w:rsidR="0085472B">
        <w:tab/>
      </w:r>
      <w:r w:rsidR="00135CCE">
        <w:t>Redistribution des sommes perçues aux artistes</w:t>
      </w:r>
    </w:p>
    <w:p w:rsidR="00466717" w:rsidRPr="006345E2" w:rsidRDefault="00466717" w:rsidP="004C496A">
      <w:pPr>
        <w:spacing w:after="120"/>
        <w:rPr>
          <w:szCs w:val="22"/>
          <w:lang w:val="fr-FR"/>
        </w:rPr>
      </w:pPr>
      <w:r w:rsidRPr="006345E2">
        <w:rPr>
          <w:szCs w:val="22"/>
          <w:lang w:val="fr-FR"/>
        </w:rPr>
        <w:t xml:space="preserve">Certains critiques du droit de suite sont particulièrement préoccupés par le fait que les </w:t>
      </w:r>
      <w:r w:rsidR="00A35503">
        <w:rPr>
          <w:szCs w:val="22"/>
          <w:lang w:val="fr-FR"/>
        </w:rPr>
        <w:t>droits</w:t>
      </w:r>
      <w:r w:rsidRPr="006345E2">
        <w:rPr>
          <w:szCs w:val="22"/>
          <w:lang w:val="fr-FR"/>
        </w:rPr>
        <w:t xml:space="preserve"> sont inégalement reversés aux différents groupes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artistes.  Par exemple, les artistes plus âgés et plus établis bénéficient davantage du système que les artistes moins renommés ou plus jeunes.  En revanche, le système peut </w:t>
      </w:r>
      <w:r w:rsidR="00C23BCD">
        <w:rPr>
          <w:szCs w:val="22"/>
          <w:lang w:val="fr-FR"/>
        </w:rPr>
        <w:t>présenter un avantage particulier</w:t>
      </w:r>
      <w:r w:rsidRPr="006345E2">
        <w:rPr>
          <w:szCs w:val="22"/>
          <w:lang w:val="fr-FR"/>
        </w:rPr>
        <w:t xml:space="preserve"> pour les artistes autochtones qui</w:t>
      </w:r>
      <w:r w:rsidR="00C23BCD">
        <w:rPr>
          <w:szCs w:val="22"/>
          <w:lang w:val="fr-FR"/>
        </w:rPr>
        <w:t xml:space="preserve"> </w:t>
      </w:r>
      <w:r w:rsidR="00C23BCD" w:rsidRPr="006345E2">
        <w:rPr>
          <w:szCs w:val="22"/>
          <w:lang w:val="fr-FR"/>
        </w:rPr>
        <w:t xml:space="preserve">sont par ailleurs </w:t>
      </w:r>
      <w:r w:rsidR="00C23BCD">
        <w:rPr>
          <w:szCs w:val="22"/>
          <w:lang w:val="fr-FR"/>
        </w:rPr>
        <w:t>susceptibles d</w:t>
      </w:r>
      <w:r w:rsidR="00D166B3">
        <w:rPr>
          <w:szCs w:val="22"/>
          <w:lang w:val="fr-FR"/>
        </w:rPr>
        <w:t>’</w:t>
      </w:r>
      <w:r w:rsidR="00C23BCD">
        <w:rPr>
          <w:szCs w:val="22"/>
          <w:lang w:val="fr-FR"/>
        </w:rPr>
        <w:t>être exploités</w:t>
      </w:r>
      <w:r w:rsidRPr="006345E2">
        <w:rPr>
          <w:szCs w:val="22"/>
          <w:lang w:val="fr-FR"/>
        </w:rPr>
        <w:t xml:space="preserve">.  Les données communiquées par les pays </w:t>
      </w:r>
      <w:r w:rsidR="00C23BCD">
        <w:rPr>
          <w:szCs w:val="22"/>
          <w:lang w:val="fr-FR"/>
        </w:rPr>
        <w:t>ayant</w:t>
      </w:r>
      <w:r w:rsidRPr="006345E2">
        <w:rPr>
          <w:szCs w:val="22"/>
          <w:lang w:val="fr-FR"/>
        </w:rPr>
        <w:t xml:space="preserve"> répondu à cette question sont </w:t>
      </w:r>
      <w:r w:rsidR="00E44688">
        <w:rPr>
          <w:szCs w:val="22"/>
          <w:lang w:val="fr-FR"/>
        </w:rPr>
        <w:t>contrastées</w:t>
      </w:r>
      <w:r w:rsidRPr="006345E2">
        <w:rPr>
          <w:szCs w:val="22"/>
          <w:lang w:val="fr-FR"/>
        </w:rPr>
        <w:t>.  Les chiffres fournis par la France sont très instructifs à cet égard et montrent que les peintres constituent la catégorie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artistes qui </w:t>
      </w:r>
      <w:r w:rsidR="00E44688">
        <w:rPr>
          <w:szCs w:val="22"/>
          <w:lang w:val="fr-FR"/>
        </w:rPr>
        <w:t>bénéficient le plus</w:t>
      </w:r>
      <w:r w:rsidRPr="006345E2">
        <w:rPr>
          <w:szCs w:val="22"/>
          <w:lang w:val="fr-FR"/>
        </w:rPr>
        <w:t xml:space="preserve"> du système et que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essentiel des sommes versées </w:t>
      </w:r>
      <w:r w:rsidR="00E44688">
        <w:rPr>
          <w:szCs w:val="22"/>
          <w:lang w:val="fr-FR"/>
        </w:rPr>
        <w:t>le sont</w:t>
      </w:r>
      <w:r w:rsidRPr="006345E2">
        <w:rPr>
          <w:szCs w:val="22"/>
          <w:lang w:val="fr-FR"/>
        </w:rPr>
        <w:t xml:space="preserve"> à des artistes de sexe masculin et à leurs ayants droit.</w:t>
      </w:r>
    </w:p>
    <w:p w:rsidR="00466717" w:rsidRPr="006345E2" w:rsidRDefault="00466717" w:rsidP="0015153C">
      <w:pPr>
        <w:pStyle w:val="Heading2"/>
      </w:pPr>
      <w:r w:rsidRPr="006345E2">
        <w:t>8.</w:t>
      </w:r>
      <w:r w:rsidR="0085472B">
        <w:tab/>
      </w:r>
      <w:r w:rsidR="00E44688">
        <w:t xml:space="preserve">Difficultés administratives </w:t>
      </w:r>
      <w:r w:rsidR="0015153C">
        <w:t>dans</w:t>
      </w:r>
      <w:r w:rsidRPr="006345E2">
        <w:t xml:space="preserve"> la gestion du droit de suite</w:t>
      </w:r>
    </w:p>
    <w:p w:rsidR="00466717" w:rsidRPr="006345E2" w:rsidRDefault="00466717" w:rsidP="004C496A">
      <w:pPr>
        <w:spacing w:after="120"/>
        <w:rPr>
          <w:szCs w:val="22"/>
          <w:lang w:val="fr-FR"/>
        </w:rPr>
      </w:pPr>
      <w:r w:rsidRPr="006345E2">
        <w:rPr>
          <w:szCs w:val="22"/>
          <w:lang w:val="fr-FR"/>
        </w:rPr>
        <w:t>Les réponses reçues font ressortir un certain nombre de problèmes pratiques, notamment en ce qui concerne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interprétation de la législation applicable (Royaume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Uni),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identification et la localisation des bénéficiaires du droit de suite, la succession et le calcul des </w:t>
      </w:r>
      <w:r w:rsidR="00A35503">
        <w:rPr>
          <w:szCs w:val="22"/>
          <w:lang w:val="fr-FR"/>
        </w:rPr>
        <w:t>droits</w:t>
      </w:r>
      <w:r w:rsidRPr="006345E2">
        <w:rPr>
          <w:szCs w:val="22"/>
          <w:lang w:val="fr-FR"/>
        </w:rPr>
        <w:t xml:space="preserve">.  La technologie pourrait toutefois </w:t>
      </w:r>
      <w:r w:rsidR="00D77E65">
        <w:rPr>
          <w:szCs w:val="22"/>
          <w:lang w:val="fr-FR"/>
        </w:rPr>
        <w:t>fournir</w:t>
      </w:r>
      <w:r w:rsidRPr="006345E2">
        <w:rPr>
          <w:szCs w:val="22"/>
          <w:lang w:val="fr-FR"/>
        </w:rPr>
        <w:t xml:space="preserve"> certaines solutions, </w:t>
      </w:r>
      <w:r w:rsidR="00D77E65">
        <w:rPr>
          <w:szCs w:val="22"/>
          <w:lang w:val="fr-FR"/>
        </w:rPr>
        <w:t>notamment</w:t>
      </w:r>
      <w:r w:rsidRPr="006345E2">
        <w:rPr>
          <w:szCs w:val="22"/>
          <w:lang w:val="fr-FR"/>
        </w:rPr>
        <w:t xml:space="preserve">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utilisation de la chaîne de blocs (</w:t>
      </w:r>
      <w:r w:rsidR="00945BD3">
        <w:rPr>
          <w:szCs w:val="22"/>
          <w:lang w:val="fr-FR"/>
        </w:rPr>
        <w:t>option</w:t>
      </w:r>
      <w:r w:rsidRPr="006345E2">
        <w:rPr>
          <w:szCs w:val="22"/>
          <w:lang w:val="fr-FR"/>
        </w:rPr>
        <w:t xml:space="preserve"> </w:t>
      </w:r>
      <w:r w:rsidR="00945BD3">
        <w:rPr>
          <w:szCs w:val="22"/>
          <w:lang w:val="fr-FR"/>
        </w:rPr>
        <w:t>envisagée</w:t>
      </w:r>
      <w:r w:rsidRPr="006345E2">
        <w:rPr>
          <w:szCs w:val="22"/>
          <w:lang w:val="fr-FR"/>
        </w:rPr>
        <w:t xml:space="preserve"> dans plusieurs ressorts juridiques).</w:t>
      </w:r>
    </w:p>
    <w:p w:rsidR="00466717" w:rsidRPr="006345E2" w:rsidRDefault="00466717" w:rsidP="0015153C">
      <w:pPr>
        <w:pStyle w:val="Heading2"/>
      </w:pPr>
      <w:r w:rsidRPr="006345E2">
        <w:t>9.</w:t>
      </w:r>
      <w:r w:rsidR="0085472B">
        <w:tab/>
      </w:r>
      <w:r w:rsidRPr="006345E2">
        <w:t>Accords de réciprocité avec les sociétés de perception étrangères</w:t>
      </w:r>
    </w:p>
    <w:p w:rsidR="00466717" w:rsidRPr="006345E2" w:rsidRDefault="00466717" w:rsidP="004C496A">
      <w:pPr>
        <w:spacing w:after="120"/>
        <w:rPr>
          <w:szCs w:val="22"/>
          <w:lang w:val="fr-FR"/>
        </w:rPr>
      </w:pPr>
      <w:r w:rsidRPr="006345E2">
        <w:rPr>
          <w:szCs w:val="22"/>
          <w:lang w:val="fr-FR"/>
        </w:rPr>
        <w:t xml:space="preserve">Les sociétés de perception </w:t>
      </w:r>
      <w:r w:rsidR="004F57DD">
        <w:rPr>
          <w:szCs w:val="22"/>
          <w:lang w:val="fr-FR"/>
        </w:rPr>
        <w:t>visées</w:t>
      </w:r>
      <w:r w:rsidRPr="006345E2">
        <w:rPr>
          <w:szCs w:val="22"/>
          <w:lang w:val="fr-FR"/>
        </w:rPr>
        <w:t xml:space="preserve"> dans le présent rapport n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ont pas toutes conclu des accords de réciprocité avec des sociétés de perception étrangères.  Dans certains cas, comme en France et au Royaume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>Uni, les accords de réciprocité sont relativement importants et ont été utiles aux artistes étrangers.  Dans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autres, en revanche, de tels accords</w:t>
      </w:r>
      <w:r w:rsidR="004F57DD">
        <w:rPr>
          <w:szCs w:val="22"/>
          <w:lang w:val="fr-FR"/>
        </w:rPr>
        <w:t xml:space="preserve"> peuvent exister</w:t>
      </w:r>
      <w:r w:rsidRPr="006345E2">
        <w:rPr>
          <w:szCs w:val="22"/>
          <w:lang w:val="fr-FR"/>
        </w:rPr>
        <w:t>, mais ne sont efficaces que dans certaines régions, comme en Europe</w:t>
      </w:r>
      <w:r w:rsidR="004F57DD">
        <w:rPr>
          <w:szCs w:val="22"/>
          <w:lang w:val="fr-FR"/>
        </w:rPr>
        <w:t>,</w:t>
      </w:r>
      <w:r w:rsidRPr="006345E2">
        <w:rPr>
          <w:szCs w:val="22"/>
          <w:lang w:val="fr-FR"/>
        </w:rPr>
        <w:t xml:space="preserve"> et doivent encore être mis en œuvre de manière efficace.  Parfois, comme en Australie, les mécanismes juridiques de protection des artistes étrangers n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ont pas encore été enclenchés.</w:t>
      </w:r>
    </w:p>
    <w:p w:rsidR="00466717" w:rsidRPr="006345E2" w:rsidRDefault="00466717" w:rsidP="0015153C">
      <w:pPr>
        <w:pStyle w:val="Heading2"/>
      </w:pPr>
      <w:r w:rsidRPr="006345E2">
        <w:t>10.</w:t>
      </w:r>
      <w:r w:rsidR="0085472B">
        <w:tab/>
      </w:r>
      <w:r w:rsidRPr="006345E2">
        <w:t xml:space="preserve">Autres difficultés </w:t>
      </w:r>
      <w:r w:rsidR="000E055D">
        <w:t>dans</w:t>
      </w:r>
      <w:r w:rsidRPr="006345E2">
        <w:t xml:space="preserve"> l</w:t>
      </w:r>
      <w:r w:rsidR="00D166B3">
        <w:t>’</w:t>
      </w:r>
      <w:r w:rsidRPr="006345E2">
        <w:t>administration du droit de suite</w:t>
      </w:r>
    </w:p>
    <w:p w:rsidR="00466717" w:rsidRPr="006345E2" w:rsidRDefault="00466717" w:rsidP="004C496A">
      <w:pPr>
        <w:spacing w:after="120"/>
        <w:rPr>
          <w:szCs w:val="22"/>
          <w:lang w:val="fr-FR"/>
        </w:rPr>
      </w:pPr>
      <w:r w:rsidRPr="006345E2">
        <w:rPr>
          <w:szCs w:val="22"/>
          <w:lang w:val="fr-FR"/>
        </w:rPr>
        <w:t>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une des questions abordées ici était de savoir si le droit de suite jouissait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un large soutien dans les pays </w:t>
      </w:r>
      <w:r w:rsidR="000E055D">
        <w:rPr>
          <w:szCs w:val="22"/>
          <w:lang w:val="fr-FR"/>
        </w:rPr>
        <w:t>visés</w:t>
      </w:r>
      <w:r w:rsidRPr="006345E2">
        <w:rPr>
          <w:szCs w:val="22"/>
          <w:lang w:val="fr-FR"/>
        </w:rPr>
        <w:t xml:space="preserve">.  Les réponses à cette question sont </w:t>
      </w:r>
      <w:r w:rsidR="000E055D">
        <w:rPr>
          <w:szCs w:val="22"/>
          <w:lang w:val="fr-FR"/>
        </w:rPr>
        <w:t>multiples</w:t>
      </w:r>
      <w:r w:rsidRPr="006345E2">
        <w:rPr>
          <w:szCs w:val="22"/>
          <w:lang w:val="fr-FR"/>
        </w:rPr>
        <w:t>, depuis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acceptation générale et le large soutien (France et Suède) jusqu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au scepticisme et à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opposition modérée dans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autres pays (Royaume</w:t>
      </w:r>
      <w:r w:rsidR="00035ED3">
        <w:rPr>
          <w:szCs w:val="22"/>
          <w:lang w:val="fr-FR"/>
        </w:rPr>
        <w:noBreakHyphen/>
      </w:r>
      <w:r w:rsidRPr="006345E2">
        <w:rPr>
          <w:szCs w:val="22"/>
          <w:lang w:val="fr-FR"/>
        </w:rPr>
        <w:t xml:space="preserve">Uni), en passant par des </w:t>
      </w:r>
      <w:r w:rsidR="00E44688">
        <w:rPr>
          <w:szCs w:val="22"/>
          <w:lang w:val="fr-FR"/>
        </w:rPr>
        <w:t>avis contradictoires</w:t>
      </w:r>
      <w:r w:rsidRPr="006345E2">
        <w:rPr>
          <w:szCs w:val="22"/>
          <w:lang w:val="fr-FR"/>
        </w:rPr>
        <w:t xml:space="preserve"> (Australie), ainsi que des incertitudes et un manque de compréhension du droit de suite </w:t>
      </w:r>
      <w:r w:rsidR="000E055D">
        <w:rPr>
          <w:szCs w:val="22"/>
          <w:lang w:val="fr-FR"/>
        </w:rPr>
        <w:t>découlant</w:t>
      </w:r>
      <w:r w:rsidRPr="006345E2">
        <w:rPr>
          <w:szCs w:val="22"/>
          <w:lang w:val="fr-FR"/>
        </w:rPr>
        <w:t xml:space="preserve"> de problèmes liés </w:t>
      </w:r>
      <w:r w:rsidR="00E44688">
        <w:rPr>
          <w:szCs w:val="22"/>
          <w:lang w:val="fr-FR"/>
        </w:rPr>
        <w:t>au sens</w:t>
      </w:r>
      <w:r w:rsidRPr="006345E2">
        <w:rPr>
          <w:szCs w:val="22"/>
          <w:lang w:val="fr-FR"/>
        </w:rPr>
        <w:t xml:space="preserve"> et à la portée de certaines lois sur le droit de suite (Hongrie, République tchèque, Russie et autres).  Sans surprise, les sociétés de perception estiment que l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administration et la mise en œuvre des systèmes de droit de suite </w:t>
      </w:r>
      <w:r w:rsidR="00E44688">
        <w:rPr>
          <w:szCs w:val="22"/>
          <w:lang w:val="fr-FR"/>
        </w:rPr>
        <w:t>s</w:t>
      </w:r>
      <w:r w:rsidR="00D166B3">
        <w:rPr>
          <w:szCs w:val="22"/>
          <w:lang w:val="fr-FR"/>
        </w:rPr>
        <w:t>’</w:t>
      </w:r>
      <w:r w:rsidR="00E44688">
        <w:rPr>
          <w:szCs w:val="22"/>
          <w:lang w:val="fr-FR"/>
        </w:rPr>
        <w:t>amélioreraient</w:t>
      </w:r>
      <w:r w:rsidRPr="006345E2">
        <w:rPr>
          <w:szCs w:val="22"/>
          <w:lang w:val="fr-FR"/>
        </w:rPr>
        <w:t xml:space="preserve"> si un cadre international était mis en place à cet effet.</w:t>
      </w:r>
    </w:p>
    <w:p w:rsidR="00466717" w:rsidRPr="006345E2" w:rsidRDefault="0085472B" w:rsidP="0015153C">
      <w:pPr>
        <w:pStyle w:val="Heading2"/>
      </w:pPr>
      <w:r w:rsidRPr="0085472B">
        <w:t>11.</w:t>
      </w:r>
      <w:r>
        <w:tab/>
      </w:r>
      <w:r w:rsidR="0015153C">
        <w:t>M</w:t>
      </w:r>
      <w:r w:rsidR="00466717" w:rsidRPr="006345E2">
        <w:t>odifications proposées</w:t>
      </w:r>
    </w:p>
    <w:p w:rsidR="00466717" w:rsidRPr="006345E2" w:rsidRDefault="00466717" w:rsidP="004C496A">
      <w:pPr>
        <w:spacing w:after="120"/>
        <w:rPr>
          <w:szCs w:val="22"/>
          <w:lang w:val="fr-FR"/>
        </w:rPr>
      </w:pPr>
      <w:r w:rsidRPr="006345E2">
        <w:rPr>
          <w:szCs w:val="22"/>
          <w:lang w:val="fr-FR"/>
        </w:rPr>
        <w:t>Il semble qu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aucune modification n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ait été proposée ou introduite au niveau national, excepté en France.</w:t>
      </w:r>
    </w:p>
    <w:p w:rsidR="00466717" w:rsidRPr="006345E2" w:rsidRDefault="00466717" w:rsidP="004C496A">
      <w:pPr>
        <w:pStyle w:val="Heading1"/>
        <w:keepLines/>
        <w:spacing w:before="480" w:after="220"/>
        <w:rPr>
          <w:szCs w:val="22"/>
          <w:lang w:val="fr-FR"/>
        </w:rPr>
      </w:pPr>
      <w:r w:rsidRPr="006345E2">
        <w:rPr>
          <w:szCs w:val="22"/>
          <w:lang w:val="fr-FR"/>
        </w:rPr>
        <w:t>Conclusion</w:t>
      </w:r>
    </w:p>
    <w:p w:rsidR="00466717" w:rsidRPr="006345E2" w:rsidRDefault="00466717" w:rsidP="004C496A">
      <w:pPr>
        <w:keepNext/>
        <w:keepLines/>
        <w:spacing w:after="220"/>
        <w:rPr>
          <w:szCs w:val="22"/>
          <w:lang w:val="fr-FR"/>
        </w:rPr>
      </w:pPr>
      <w:r w:rsidRPr="006345E2">
        <w:rPr>
          <w:szCs w:val="22"/>
          <w:lang w:val="fr-FR"/>
        </w:rPr>
        <w:t xml:space="preserve">À ce jour, les pays interrogés font état de pratiques </w:t>
      </w:r>
      <w:r w:rsidR="00491B16" w:rsidRPr="006345E2">
        <w:rPr>
          <w:szCs w:val="22"/>
          <w:lang w:val="fr-FR"/>
        </w:rPr>
        <w:t xml:space="preserve">diverses </w:t>
      </w:r>
      <w:r w:rsidR="00E44688">
        <w:rPr>
          <w:szCs w:val="22"/>
          <w:lang w:val="fr-FR"/>
        </w:rPr>
        <w:t>en vue de</w:t>
      </w:r>
      <w:r w:rsidRPr="006345E2">
        <w:rPr>
          <w:szCs w:val="22"/>
          <w:lang w:val="fr-FR"/>
        </w:rPr>
        <w:t xml:space="preserve"> la mise en œuvre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un système de droit de suite au niveau national.  </w:t>
      </w:r>
      <w:r w:rsidR="00491B16">
        <w:rPr>
          <w:szCs w:val="22"/>
          <w:lang w:val="fr-FR"/>
        </w:rPr>
        <w:t>D</w:t>
      </w:r>
      <w:r w:rsidRPr="006345E2">
        <w:rPr>
          <w:szCs w:val="22"/>
          <w:lang w:val="fr-FR"/>
        </w:rPr>
        <w:t xml:space="preserve">es différences </w:t>
      </w:r>
      <w:r w:rsidR="00491B16">
        <w:rPr>
          <w:szCs w:val="22"/>
          <w:lang w:val="fr-FR"/>
        </w:rPr>
        <w:t xml:space="preserve">existent, notamment </w:t>
      </w:r>
      <w:r w:rsidRPr="006345E2">
        <w:rPr>
          <w:szCs w:val="22"/>
          <w:lang w:val="fr-FR"/>
        </w:rPr>
        <w:t>en ce qui concerne les types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œuvres et de reventes </w:t>
      </w:r>
      <w:r w:rsidR="00E44688">
        <w:rPr>
          <w:szCs w:val="22"/>
          <w:lang w:val="fr-FR"/>
        </w:rPr>
        <w:t>soumis au droit de suite</w:t>
      </w:r>
      <w:r w:rsidRPr="006345E2">
        <w:rPr>
          <w:szCs w:val="22"/>
          <w:lang w:val="fr-FR"/>
        </w:rPr>
        <w:t>, les taux appliqués, la ou les personnes responsables du paiement et le mode de gestion du droit.</w:t>
      </w:r>
    </w:p>
    <w:p w:rsidR="00466717" w:rsidRPr="006345E2" w:rsidRDefault="00466717" w:rsidP="0015153C">
      <w:pPr>
        <w:spacing w:after="220"/>
        <w:rPr>
          <w:szCs w:val="22"/>
          <w:lang w:val="fr-FR"/>
        </w:rPr>
      </w:pPr>
      <w:r w:rsidRPr="006345E2">
        <w:rPr>
          <w:szCs w:val="22"/>
          <w:lang w:val="fr-FR"/>
        </w:rPr>
        <w:t>Deux points méritent toutefois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être soulignés.  </w:t>
      </w:r>
      <w:r w:rsidR="00491B16">
        <w:rPr>
          <w:szCs w:val="22"/>
          <w:lang w:val="fr-FR"/>
        </w:rPr>
        <w:t>Premièrement, l</w:t>
      </w:r>
      <w:r w:rsidRPr="006345E2">
        <w:rPr>
          <w:szCs w:val="22"/>
          <w:lang w:val="fr-FR"/>
        </w:rPr>
        <w:t>e seul fait de légiférer sur le droit de suite ne semble pas suffisant</w:t>
      </w:r>
      <w:r w:rsidR="00D166B3">
        <w:rPr>
          <w:szCs w:val="22"/>
          <w:lang w:val="fr-FR"/>
        </w:rPr>
        <w:t> :</w:t>
      </w:r>
      <w:r w:rsidRPr="006345E2">
        <w:rPr>
          <w:szCs w:val="22"/>
          <w:lang w:val="fr-FR"/>
        </w:rPr>
        <w:t xml:space="preserve"> il faut également s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intéresser à la mise en œuvre de ce droit sur le terrain.  </w:t>
      </w:r>
      <w:r w:rsidR="00491B16">
        <w:rPr>
          <w:szCs w:val="22"/>
          <w:lang w:val="fr-FR"/>
        </w:rPr>
        <w:t xml:space="preserve">Deuxièmement, et </w:t>
      </w:r>
      <w:r w:rsidR="00E44688">
        <w:rPr>
          <w:szCs w:val="22"/>
          <w:lang w:val="fr-FR"/>
        </w:rPr>
        <w:t>ce point</w:t>
      </w:r>
      <w:r w:rsidRPr="006345E2">
        <w:rPr>
          <w:szCs w:val="22"/>
          <w:lang w:val="fr-FR"/>
        </w:rPr>
        <w:t xml:space="preserve"> </w:t>
      </w:r>
      <w:r w:rsidR="00491B16">
        <w:rPr>
          <w:szCs w:val="22"/>
          <w:lang w:val="fr-FR"/>
        </w:rPr>
        <w:t>découle du premier</w:t>
      </w:r>
      <w:r w:rsidRPr="006345E2">
        <w:rPr>
          <w:szCs w:val="22"/>
          <w:lang w:val="fr-FR"/>
        </w:rPr>
        <w:t xml:space="preserve">, la mise en œuvre semble plus efficace </w:t>
      </w:r>
      <w:r w:rsidR="00491B16">
        <w:rPr>
          <w:szCs w:val="22"/>
          <w:lang w:val="fr-FR"/>
        </w:rPr>
        <w:t>lors</w:t>
      </w:r>
      <w:r w:rsidR="009E5416">
        <w:rPr>
          <w:szCs w:val="22"/>
          <w:lang w:val="fr-FR"/>
        </w:rPr>
        <w:t>q</w:t>
      </w:r>
      <w:r w:rsidR="00E44688">
        <w:rPr>
          <w:szCs w:val="22"/>
          <w:lang w:val="fr-FR"/>
        </w:rPr>
        <w:t>u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une solution collective</w:t>
      </w:r>
      <w:r w:rsidR="00E44688">
        <w:rPr>
          <w:szCs w:val="22"/>
          <w:lang w:val="fr-FR"/>
        </w:rPr>
        <w:t xml:space="preserve"> est recherchée et que </w:t>
      </w:r>
      <w:r w:rsidRPr="006345E2">
        <w:rPr>
          <w:szCs w:val="22"/>
          <w:lang w:val="fr-FR"/>
        </w:rPr>
        <w:t xml:space="preserve">cette question </w:t>
      </w:r>
      <w:r w:rsidR="004B15D1">
        <w:rPr>
          <w:szCs w:val="22"/>
          <w:lang w:val="fr-FR"/>
        </w:rPr>
        <w:t xml:space="preserve">n’est pas laissée </w:t>
      </w:r>
      <w:r w:rsidRPr="006345E2">
        <w:rPr>
          <w:szCs w:val="22"/>
          <w:lang w:val="fr-FR"/>
        </w:rPr>
        <w:t>à la discrétion des individus.  Par ailleurs, il convient de noter que la mise en place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>accords de réciprocité entre les pays disposant d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un système de droit de suite </w:t>
      </w:r>
      <w:r w:rsidR="00E44688">
        <w:rPr>
          <w:szCs w:val="22"/>
          <w:lang w:val="fr-FR"/>
        </w:rPr>
        <w:t>se fait lentement</w:t>
      </w:r>
      <w:r w:rsidRPr="006345E2">
        <w:rPr>
          <w:szCs w:val="22"/>
          <w:lang w:val="fr-FR"/>
        </w:rPr>
        <w:t>, bien qu</w:t>
      </w:r>
      <w:r w:rsidR="00D166B3">
        <w:rPr>
          <w:szCs w:val="22"/>
          <w:lang w:val="fr-FR"/>
        </w:rPr>
        <w:t>’</w:t>
      </w:r>
      <w:r w:rsidRPr="006345E2">
        <w:rPr>
          <w:szCs w:val="22"/>
          <w:lang w:val="fr-FR"/>
        </w:rPr>
        <w:t xml:space="preserve">elle soit plus </w:t>
      </w:r>
      <w:r w:rsidR="00491B16">
        <w:rPr>
          <w:szCs w:val="22"/>
          <w:lang w:val="fr-FR"/>
        </w:rPr>
        <w:t>avancée</w:t>
      </w:r>
      <w:r w:rsidRPr="006345E2">
        <w:rPr>
          <w:szCs w:val="22"/>
          <w:lang w:val="fr-FR"/>
        </w:rPr>
        <w:t xml:space="preserve"> en Europe, </w:t>
      </w:r>
      <w:r w:rsidR="00491B16">
        <w:rPr>
          <w:szCs w:val="22"/>
          <w:lang w:val="fr-FR"/>
        </w:rPr>
        <w:t>ce que laissait probablement présager</w:t>
      </w:r>
      <w:r w:rsidRPr="006345E2">
        <w:rPr>
          <w:szCs w:val="22"/>
          <w:lang w:val="fr-FR"/>
        </w:rPr>
        <w:t xml:space="preserve"> la directive CE.</w:t>
      </w:r>
    </w:p>
    <w:p w:rsidR="00466717" w:rsidRPr="006345E2" w:rsidRDefault="00466717" w:rsidP="0015153C">
      <w:pPr>
        <w:spacing w:after="220"/>
        <w:rPr>
          <w:szCs w:val="22"/>
          <w:lang w:val="fr-FR"/>
        </w:rPr>
      </w:pPr>
      <w:r w:rsidRPr="006345E2">
        <w:rPr>
          <w:szCs w:val="22"/>
          <w:lang w:val="fr-FR"/>
        </w:rPr>
        <w:t>Pour conclure, soulignons que le système de droit de suite peut être particulièrement bénéfique pour les artistes visuels autochtones.</w:t>
      </w:r>
    </w:p>
    <w:p w:rsidR="0085472B" w:rsidRPr="006345E2" w:rsidRDefault="0085472B" w:rsidP="0015153C">
      <w:pPr>
        <w:spacing w:before="660"/>
        <w:ind w:left="5670" w:firstLine="567"/>
        <w:rPr>
          <w:szCs w:val="22"/>
          <w:lang w:val="fr-FR"/>
        </w:rPr>
      </w:pPr>
      <w:r>
        <w:t>[Fin du document]</w:t>
      </w:r>
    </w:p>
    <w:sectPr w:rsidR="0085472B" w:rsidRPr="006345E2" w:rsidSect="0046671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17" w:rsidRDefault="00466717">
      <w:r>
        <w:separator/>
      </w:r>
    </w:p>
  </w:endnote>
  <w:endnote w:type="continuationSeparator" w:id="0">
    <w:p w:rsidR="00466717" w:rsidRPr="009D30E6" w:rsidRDefault="0046671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66717" w:rsidRPr="009D30E6" w:rsidRDefault="0046671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66717" w:rsidRPr="009D30E6" w:rsidRDefault="0046671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17" w:rsidRDefault="00466717">
      <w:r>
        <w:separator/>
      </w:r>
    </w:p>
  </w:footnote>
  <w:footnote w:type="continuationSeparator" w:id="0">
    <w:p w:rsidR="00466717" w:rsidRDefault="00466717" w:rsidP="007461F1">
      <w:r>
        <w:separator/>
      </w:r>
    </w:p>
    <w:p w:rsidR="00466717" w:rsidRPr="009D30E6" w:rsidRDefault="0046671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66717" w:rsidRPr="009D30E6" w:rsidRDefault="0046671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D80481" w:rsidRPr="00792B15" w:rsidRDefault="00D80481" w:rsidP="00D80481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792B15">
        <w:rPr>
          <w:lang w:val="fr-FR"/>
        </w:rPr>
        <w:t xml:space="preserve"> </w:t>
      </w:r>
      <w:r w:rsidR="00035ED3">
        <w:rPr>
          <w:lang w:val="fr-FR"/>
        </w:rPr>
        <w:tab/>
      </w:r>
      <w:r w:rsidR="00593630">
        <w:rPr>
          <w:lang w:val="fr-FR"/>
        </w:rPr>
        <w:t>À savoir</w:t>
      </w:r>
      <w:r w:rsidRPr="00792B15">
        <w:rPr>
          <w:lang w:val="fr-FR"/>
        </w:rPr>
        <w:t xml:space="preserve"> les sociétés suivantes</w:t>
      </w:r>
      <w:r w:rsidR="00593630">
        <w:rPr>
          <w:lang w:val="fr-FR"/>
        </w:rPr>
        <w:t> :</w:t>
      </w:r>
      <w:r w:rsidRPr="00792B15">
        <w:rPr>
          <w:lang w:val="fr-FR"/>
        </w:rPr>
        <w:t xml:space="preserve"> The Design and Artists Society ou DACS (Royaume</w:t>
      </w:r>
      <w:r w:rsidR="00593630">
        <w:rPr>
          <w:lang w:val="fr-FR"/>
        </w:rPr>
        <w:t>-</w:t>
      </w:r>
      <w:r w:rsidRPr="00792B15">
        <w:rPr>
          <w:lang w:val="fr-FR"/>
        </w:rPr>
        <w:t>Uni)</w:t>
      </w:r>
      <w:r>
        <w:rPr>
          <w:lang w:val="fr-FR"/>
        </w:rPr>
        <w:t xml:space="preserve">; </w:t>
      </w:r>
      <w:r w:rsidRPr="00792B15">
        <w:rPr>
          <w:lang w:val="fr-FR"/>
        </w:rPr>
        <w:t xml:space="preserve"> Société des auteurs dans les arts graphiques et plastiques ou ADAGP (France)</w:t>
      </w:r>
      <w:r>
        <w:rPr>
          <w:lang w:val="fr-FR"/>
        </w:rPr>
        <w:t xml:space="preserve">; </w:t>
      </w:r>
      <w:r w:rsidRPr="00792B15">
        <w:rPr>
          <w:lang w:val="fr-FR"/>
        </w:rPr>
        <w:t xml:space="preserve"> Copyright Agency Ltd ou CAL (Australie)</w:t>
      </w:r>
      <w:r>
        <w:rPr>
          <w:lang w:val="fr-FR"/>
        </w:rPr>
        <w:t xml:space="preserve">; </w:t>
      </w:r>
      <w:r w:rsidRPr="00792B15">
        <w:rPr>
          <w:lang w:val="fr-FR"/>
        </w:rPr>
        <w:t xml:space="preserve"> HUNGART (Hongrie)</w:t>
      </w:r>
      <w:r>
        <w:rPr>
          <w:lang w:val="fr-FR"/>
        </w:rPr>
        <w:t xml:space="preserve">; </w:t>
      </w:r>
      <w:r w:rsidRPr="00792B15">
        <w:rPr>
          <w:lang w:val="fr-FR"/>
        </w:rPr>
        <w:t xml:space="preserve"> The Union for the Protection of Authorship ou GESTOR (République tchèque)</w:t>
      </w:r>
      <w:r>
        <w:rPr>
          <w:lang w:val="fr-FR"/>
        </w:rPr>
        <w:t xml:space="preserve">; </w:t>
      </w:r>
      <w:r w:rsidRPr="00792B15">
        <w:rPr>
          <w:lang w:val="fr-FR"/>
        </w:rPr>
        <w:t xml:space="preserve"> LITA (Slovaquie)</w:t>
      </w:r>
      <w:r>
        <w:rPr>
          <w:lang w:val="fr-FR"/>
        </w:rPr>
        <w:t xml:space="preserve">; </w:t>
      </w:r>
      <w:r w:rsidRPr="00792B15">
        <w:rPr>
          <w:lang w:val="fr-FR"/>
        </w:rPr>
        <w:t xml:space="preserve"> Bildupphovsrätt ou BUS (Suède), Associaçås. </w:t>
      </w:r>
      <w:r>
        <w:rPr>
          <w:lang w:val="fr-FR"/>
        </w:rPr>
        <w:t xml:space="preserve"> AUTVIS (Brésil), AGADU (Uruguay) et UPRAVIS (Fédération de Russie).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C61AD5" w:rsidRDefault="00466717" w:rsidP="00477D6B">
    <w:pPr>
      <w:jc w:val="right"/>
      <w:rPr>
        <w:caps/>
      </w:rPr>
    </w:pPr>
    <w:bookmarkStart w:id="6" w:name="Code2"/>
    <w:r>
      <w:rPr>
        <w:caps/>
      </w:rPr>
      <w:t>SCCR/40/7</w:t>
    </w:r>
  </w:p>
  <w:bookmarkEnd w:id="6"/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F3B13">
      <w:rPr>
        <w:noProof/>
      </w:rPr>
      <w:t>6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6855C02"/>
    <w:multiLevelType w:val="hybridMultilevel"/>
    <w:tmpl w:val="38BAA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DE6766"/>
    <w:multiLevelType w:val="hybridMultilevel"/>
    <w:tmpl w:val="98DE0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17"/>
    <w:rsid w:val="0000120E"/>
    <w:rsid w:val="00011B7D"/>
    <w:rsid w:val="00020AFD"/>
    <w:rsid w:val="0002294D"/>
    <w:rsid w:val="00035ED3"/>
    <w:rsid w:val="000627F2"/>
    <w:rsid w:val="00075432"/>
    <w:rsid w:val="00090F33"/>
    <w:rsid w:val="0009458A"/>
    <w:rsid w:val="000E055D"/>
    <w:rsid w:val="000F2C4E"/>
    <w:rsid w:val="000F5E56"/>
    <w:rsid w:val="00100DC4"/>
    <w:rsid w:val="00135CCE"/>
    <w:rsid w:val="001362EE"/>
    <w:rsid w:val="0015153C"/>
    <w:rsid w:val="001832A6"/>
    <w:rsid w:val="00195C6E"/>
    <w:rsid w:val="001A7603"/>
    <w:rsid w:val="001B266A"/>
    <w:rsid w:val="001B488E"/>
    <w:rsid w:val="001C636F"/>
    <w:rsid w:val="001C6508"/>
    <w:rsid w:val="001D3B24"/>
    <w:rsid w:val="001D3D56"/>
    <w:rsid w:val="00240654"/>
    <w:rsid w:val="002634C4"/>
    <w:rsid w:val="002956DE"/>
    <w:rsid w:val="002E4D1A"/>
    <w:rsid w:val="002F16BC"/>
    <w:rsid w:val="002F4E68"/>
    <w:rsid w:val="00322C0B"/>
    <w:rsid w:val="00343175"/>
    <w:rsid w:val="00381798"/>
    <w:rsid w:val="003845C1"/>
    <w:rsid w:val="003A67A3"/>
    <w:rsid w:val="003B7EA9"/>
    <w:rsid w:val="003F1E2A"/>
    <w:rsid w:val="004008A2"/>
    <w:rsid w:val="004025DF"/>
    <w:rsid w:val="0040540C"/>
    <w:rsid w:val="00423E3E"/>
    <w:rsid w:val="00427AF4"/>
    <w:rsid w:val="004647DA"/>
    <w:rsid w:val="00466717"/>
    <w:rsid w:val="00477D6B"/>
    <w:rsid w:val="00491B16"/>
    <w:rsid w:val="004B15D1"/>
    <w:rsid w:val="004B675C"/>
    <w:rsid w:val="004C496A"/>
    <w:rsid w:val="004D6471"/>
    <w:rsid w:val="004F57DD"/>
    <w:rsid w:val="0051455D"/>
    <w:rsid w:val="00525B63"/>
    <w:rsid w:val="00525E59"/>
    <w:rsid w:val="00541348"/>
    <w:rsid w:val="005421DD"/>
    <w:rsid w:val="00554FA5"/>
    <w:rsid w:val="00567A4C"/>
    <w:rsid w:val="00574036"/>
    <w:rsid w:val="00593630"/>
    <w:rsid w:val="00595F07"/>
    <w:rsid w:val="005E6516"/>
    <w:rsid w:val="00605827"/>
    <w:rsid w:val="00616671"/>
    <w:rsid w:val="006345E2"/>
    <w:rsid w:val="0066608F"/>
    <w:rsid w:val="00686596"/>
    <w:rsid w:val="006A3DF2"/>
    <w:rsid w:val="006B0DB5"/>
    <w:rsid w:val="006D111E"/>
    <w:rsid w:val="00725357"/>
    <w:rsid w:val="007461F1"/>
    <w:rsid w:val="007C3BD8"/>
    <w:rsid w:val="007D6961"/>
    <w:rsid w:val="007F07CB"/>
    <w:rsid w:val="008063EF"/>
    <w:rsid w:val="00810CEF"/>
    <w:rsid w:val="0081208D"/>
    <w:rsid w:val="0085472B"/>
    <w:rsid w:val="00873D0F"/>
    <w:rsid w:val="008B2CC1"/>
    <w:rsid w:val="008B7770"/>
    <w:rsid w:val="008D5BDC"/>
    <w:rsid w:val="008E585B"/>
    <w:rsid w:val="008E7930"/>
    <w:rsid w:val="00902CD6"/>
    <w:rsid w:val="0090731E"/>
    <w:rsid w:val="00945BD3"/>
    <w:rsid w:val="00966A22"/>
    <w:rsid w:val="00974CD6"/>
    <w:rsid w:val="009A1916"/>
    <w:rsid w:val="009C219E"/>
    <w:rsid w:val="009D30E6"/>
    <w:rsid w:val="009D522B"/>
    <w:rsid w:val="009E3F6F"/>
    <w:rsid w:val="009E5416"/>
    <w:rsid w:val="009F499F"/>
    <w:rsid w:val="00A11D74"/>
    <w:rsid w:val="00A35503"/>
    <w:rsid w:val="00AA4E73"/>
    <w:rsid w:val="00AC0AE4"/>
    <w:rsid w:val="00AD5450"/>
    <w:rsid w:val="00AD61DB"/>
    <w:rsid w:val="00B1090C"/>
    <w:rsid w:val="00B35AF5"/>
    <w:rsid w:val="00BC7495"/>
    <w:rsid w:val="00BE0BE0"/>
    <w:rsid w:val="00C23BCD"/>
    <w:rsid w:val="00C61AD5"/>
    <w:rsid w:val="00C664C8"/>
    <w:rsid w:val="00C75E67"/>
    <w:rsid w:val="00CF0460"/>
    <w:rsid w:val="00CF3B13"/>
    <w:rsid w:val="00D031E8"/>
    <w:rsid w:val="00D11798"/>
    <w:rsid w:val="00D166B3"/>
    <w:rsid w:val="00D43E0F"/>
    <w:rsid w:val="00D45252"/>
    <w:rsid w:val="00D57E06"/>
    <w:rsid w:val="00D71B4D"/>
    <w:rsid w:val="00D75C1E"/>
    <w:rsid w:val="00D77E65"/>
    <w:rsid w:val="00D80481"/>
    <w:rsid w:val="00D93D55"/>
    <w:rsid w:val="00DB1C48"/>
    <w:rsid w:val="00DC0199"/>
    <w:rsid w:val="00DD4917"/>
    <w:rsid w:val="00DD6A16"/>
    <w:rsid w:val="00E0091A"/>
    <w:rsid w:val="00E17D40"/>
    <w:rsid w:val="00E203AA"/>
    <w:rsid w:val="00E44688"/>
    <w:rsid w:val="00E5217A"/>
    <w:rsid w:val="00E527A5"/>
    <w:rsid w:val="00E64826"/>
    <w:rsid w:val="00E76456"/>
    <w:rsid w:val="00E878F6"/>
    <w:rsid w:val="00EE52BF"/>
    <w:rsid w:val="00EE71CB"/>
    <w:rsid w:val="00F16975"/>
    <w:rsid w:val="00F66152"/>
    <w:rsid w:val="00FB018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56E8FC37-500F-4E1F-9238-2B59B9D2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5153C"/>
    <w:pPr>
      <w:keepNext/>
      <w:spacing w:before="480" w:after="220"/>
      <w:outlineLvl w:val="1"/>
    </w:pPr>
    <w:rPr>
      <w:bCs/>
      <w:iCs/>
      <w:caps/>
      <w:szCs w:val="22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466717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717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66717"/>
    <w:rPr>
      <w:vertAlign w:val="superscript"/>
    </w:rPr>
  </w:style>
  <w:style w:type="paragraph" w:styleId="Title">
    <w:name w:val="Title"/>
    <w:basedOn w:val="Heading1"/>
    <w:next w:val="Normal"/>
    <w:link w:val="TitleChar"/>
    <w:qFormat/>
    <w:rsid w:val="00035ED3"/>
    <w:pPr>
      <w:spacing w:before="0" w:after="480"/>
    </w:pPr>
    <w:rPr>
      <w:caps w:val="0"/>
      <w:szCs w:val="22"/>
    </w:rPr>
  </w:style>
  <w:style w:type="character" w:customStyle="1" w:styleId="TitleChar">
    <w:name w:val="Title Char"/>
    <w:basedOn w:val="DefaultParagraphFont"/>
    <w:link w:val="Title"/>
    <w:rsid w:val="00035ED3"/>
    <w:rPr>
      <w:rFonts w:ascii="Arial" w:eastAsia="SimSun" w:hAnsi="Arial" w:cs="Arial"/>
      <w:b/>
      <w:bCs/>
      <w:kern w:val="3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4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FD5D-5AB7-49BB-9903-CB811902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40 (F)</Template>
  <TotalTime>2</TotalTime>
  <Pages>6</Pages>
  <Words>2179</Words>
  <Characters>11756</Characters>
  <Application>Microsoft Office Word</Application>
  <DocSecurity>0</DocSecurity>
  <Lines>189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SCCR/40/</vt:lpstr>
      <vt:lpstr>SCCR/40/</vt:lpstr>
    </vt:vector>
  </TitlesOfParts>
  <Company>WIPO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BARBU Caroline</dc:creator>
  <cp:keywords>FOR OFFICIAL USE ONLY</cp:keywords>
  <cp:lastModifiedBy>HAIZEL Francesca</cp:lastModifiedBy>
  <cp:revision>3</cp:revision>
  <cp:lastPrinted>2020-11-13T18:32:00Z</cp:lastPrinted>
  <dcterms:created xsi:type="dcterms:W3CDTF">2020-11-13T18:31:00Z</dcterms:created>
  <dcterms:modified xsi:type="dcterms:W3CDTF">2020-11-13T18:33:00Z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