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77EAB" w:rsidRPr="00477EAB" w:rsidTr="008A608A">
        <w:tc>
          <w:tcPr>
            <w:tcW w:w="4513" w:type="dxa"/>
            <w:tcBorders>
              <w:bottom w:val="single" w:sz="4" w:space="0" w:color="auto"/>
            </w:tcBorders>
            <w:tcMar>
              <w:bottom w:w="170" w:type="dxa"/>
            </w:tcMar>
          </w:tcPr>
          <w:p w:rsidR="00477EAB" w:rsidRPr="00477EAB" w:rsidRDefault="00477EAB" w:rsidP="008A608A">
            <w:pPr>
              <w:rPr>
                <w:lang w:val="fr-FR"/>
              </w:rPr>
            </w:pPr>
            <w:bookmarkStart w:id="0" w:name="kix.kae5xrpnz9am" w:colFirst="0" w:colLast="0"/>
            <w:bookmarkStart w:id="1" w:name="_GoBack"/>
            <w:bookmarkEnd w:id="0"/>
            <w:bookmarkEnd w:id="1"/>
          </w:p>
        </w:tc>
        <w:tc>
          <w:tcPr>
            <w:tcW w:w="4337" w:type="dxa"/>
            <w:tcBorders>
              <w:bottom w:val="single" w:sz="4" w:space="0" w:color="auto"/>
            </w:tcBorders>
            <w:tcMar>
              <w:left w:w="0" w:type="dxa"/>
              <w:right w:w="0" w:type="dxa"/>
            </w:tcMar>
          </w:tcPr>
          <w:p w:rsidR="00477EAB" w:rsidRPr="00477EAB" w:rsidRDefault="00477EAB" w:rsidP="008A608A">
            <w:pPr>
              <w:rPr>
                <w:lang w:val="fr-FR"/>
              </w:rPr>
            </w:pPr>
            <w:r w:rsidRPr="00477EAB">
              <w:rPr>
                <w:noProof/>
                <w:lang w:val="en-US" w:eastAsia="en-US"/>
              </w:rPr>
              <w:drawing>
                <wp:inline distT="0" distB="0" distL="0" distR="0" wp14:anchorId="4D6A5806" wp14:editId="03BFB00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77EAB" w:rsidRPr="00477EAB" w:rsidRDefault="00477EAB" w:rsidP="008A608A">
            <w:pPr>
              <w:jc w:val="right"/>
              <w:rPr>
                <w:lang w:val="fr-FR"/>
              </w:rPr>
            </w:pPr>
            <w:r w:rsidRPr="00477EAB">
              <w:rPr>
                <w:b/>
                <w:sz w:val="40"/>
                <w:szCs w:val="40"/>
                <w:lang w:val="fr-FR"/>
              </w:rPr>
              <w:t>F</w:t>
            </w:r>
          </w:p>
        </w:tc>
      </w:tr>
      <w:tr w:rsidR="00477EAB" w:rsidRPr="00477EAB" w:rsidTr="008A608A">
        <w:trPr>
          <w:trHeight w:hRule="exact" w:val="357"/>
        </w:trPr>
        <w:tc>
          <w:tcPr>
            <w:tcW w:w="9356" w:type="dxa"/>
            <w:gridSpan w:val="3"/>
            <w:tcBorders>
              <w:top w:val="single" w:sz="4" w:space="0" w:color="auto"/>
            </w:tcBorders>
            <w:tcMar>
              <w:top w:w="170" w:type="dxa"/>
              <w:left w:w="0" w:type="dxa"/>
              <w:right w:w="0" w:type="dxa"/>
            </w:tcMar>
            <w:vAlign w:val="bottom"/>
          </w:tcPr>
          <w:p w:rsidR="00477EAB" w:rsidRPr="00477EAB" w:rsidRDefault="00477EAB" w:rsidP="001D37B9">
            <w:pPr>
              <w:jc w:val="right"/>
              <w:rPr>
                <w:rFonts w:ascii="Arial Black" w:hAnsi="Arial Black"/>
                <w:caps/>
                <w:sz w:val="15"/>
                <w:lang w:val="fr-FR"/>
              </w:rPr>
            </w:pPr>
            <w:r w:rsidRPr="00477EAB">
              <w:rPr>
                <w:rFonts w:ascii="Arial Black" w:hAnsi="Arial Black"/>
                <w:caps/>
                <w:sz w:val="15"/>
                <w:lang w:val="fr-FR"/>
              </w:rPr>
              <w:t>SCC</w:t>
            </w:r>
            <w:r w:rsidR="001D37B9">
              <w:rPr>
                <w:rFonts w:ascii="Arial Black" w:hAnsi="Arial Black"/>
                <w:caps/>
                <w:sz w:val="15"/>
                <w:lang w:val="fr-FR"/>
              </w:rPr>
              <w:t>R</w:t>
            </w:r>
            <w:r w:rsidRPr="00477EAB">
              <w:rPr>
                <w:rFonts w:ascii="Arial Black" w:hAnsi="Arial Black"/>
                <w:caps/>
                <w:sz w:val="15"/>
                <w:lang w:val="fr-FR"/>
              </w:rPr>
              <w:t>/38/</w:t>
            </w:r>
            <w:bookmarkStart w:id="2" w:name="Code"/>
            <w:bookmarkEnd w:id="2"/>
            <w:r w:rsidRPr="00477EAB">
              <w:rPr>
                <w:rFonts w:ascii="Arial Black" w:hAnsi="Arial Black"/>
                <w:caps/>
                <w:sz w:val="15"/>
                <w:lang w:val="fr-FR"/>
              </w:rPr>
              <w:t>3</w:t>
            </w:r>
          </w:p>
        </w:tc>
      </w:tr>
      <w:tr w:rsidR="00477EAB" w:rsidRPr="00477EAB" w:rsidTr="008A608A">
        <w:trPr>
          <w:trHeight w:hRule="exact" w:val="170"/>
        </w:trPr>
        <w:tc>
          <w:tcPr>
            <w:tcW w:w="9356" w:type="dxa"/>
            <w:gridSpan w:val="3"/>
            <w:noWrap/>
            <w:tcMar>
              <w:left w:w="0" w:type="dxa"/>
              <w:right w:w="0" w:type="dxa"/>
            </w:tcMar>
            <w:vAlign w:val="bottom"/>
          </w:tcPr>
          <w:p w:rsidR="00477EAB" w:rsidRPr="00477EAB" w:rsidRDefault="00477EAB" w:rsidP="008A608A">
            <w:pPr>
              <w:jc w:val="right"/>
              <w:rPr>
                <w:rFonts w:ascii="Arial Black" w:hAnsi="Arial Black"/>
                <w:caps/>
                <w:sz w:val="15"/>
                <w:lang w:val="fr-FR"/>
              </w:rPr>
            </w:pPr>
            <w:r w:rsidRPr="00477EAB">
              <w:rPr>
                <w:rFonts w:ascii="Arial Black" w:hAnsi="Arial Black"/>
                <w:caps/>
                <w:sz w:val="15"/>
                <w:lang w:val="fr-FR"/>
              </w:rPr>
              <w:t>ORIGINAL</w:t>
            </w:r>
            <w:r w:rsidR="0064359F">
              <w:rPr>
                <w:rFonts w:ascii="Arial Black" w:hAnsi="Arial Black"/>
                <w:caps/>
                <w:sz w:val="15"/>
                <w:lang w:val="fr-FR"/>
              </w:rPr>
              <w:t> :</w:t>
            </w:r>
            <w:r w:rsidRPr="00477EAB">
              <w:rPr>
                <w:rFonts w:ascii="Arial Black" w:hAnsi="Arial Black"/>
                <w:caps/>
                <w:sz w:val="15"/>
                <w:lang w:val="fr-FR"/>
              </w:rPr>
              <w:t xml:space="preserve"> </w:t>
            </w:r>
            <w:bookmarkStart w:id="3" w:name="Original"/>
            <w:bookmarkEnd w:id="3"/>
            <w:r w:rsidRPr="00477EAB">
              <w:rPr>
                <w:rFonts w:ascii="Arial Black" w:hAnsi="Arial Black"/>
                <w:caps/>
                <w:sz w:val="15"/>
                <w:lang w:val="fr-FR"/>
              </w:rPr>
              <w:t xml:space="preserve">anglais </w:t>
            </w:r>
          </w:p>
        </w:tc>
      </w:tr>
      <w:tr w:rsidR="00477EAB" w:rsidRPr="00477EAB" w:rsidTr="008A608A">
        <w:trPr>
          <w:trHeight w:hRule="exact" w:val="198"/>
        </w:trPr>
        <w:tc>
          <w:tcPr>
            <w:tcW w:w="9356" w:type="dxa"/>
            <w:gridSpan w:val="3"/>
            <w:tcMar>
              <w:left w:w="0" w:type="dxa"/>
              <w:right w:w="0" w:type="dxa"/>
            </w:tcMar>
            <w:vAlign w:val="bottom"/>
          </w:tcPr>
          <w:p w:rsidR="00477EAB" w:rsidRPr="00477EAB" w:rsidRDefault="00477EAB" w:rsidP="008A608A">
            <w:pPr>
              <w:jc w:val="right"/>
              <w:rPr>
                <w:rFonts w:ascii="Arial Black" w:hAnsi="Arial Black"/>
                <w:caps/>
                <w:sz w:val="15"/>
                <w:lang w:val="fr-FR"/>
              </w:rPr>
            </w:pPr>
            <w:r w:rsidRPr="00477EAB">
              <w:rPr>
                <w:rFonts w:ascii="Arial Black" w:hAnsi="Arial Black"/>
                <w:caps/>
                <w:sz w:val="15"/>
                <w:lang w:val="fr-FR"/>
              </w:rPr>
              <w:t>DATE</w:t>
            </w:r>
            <w:r w:rsidR="0064359F">
              <w:rPr>
                <w:rFonts w:ascii="Arial Black" w:hAnsi="Arial Black"/>
                <w:caps/>
                <w:sz w:val="15"/>
                <w:lang w:val="fr-FR"/>
              </w:rPr>
              <w:t> :</w:t>
            </w:r>
            <w:r w:rsidRPr="00477EAB">
              <w:rPr>
                <w:rFonts w:ascii="Arial Black" w:hAnsi="Arial Black"/>
                <w:caps/>
                <w:sz w:val="15"/>
                <w:lang w:val="fr-FR"/>
              </w:rPr>
              <w:t xml:space="preserve"> </w:t>
            </w:r>
            <w:bookmarkStart w:id="4" w:name="Date"/>
            <w:bookmarkEnd w:id="4"/>
            <w:r w:rsidRPr="00477EAB">
              <w:rPr>
                <w:rFonts w:ascii="Arial Black" w:hAnsi="Arial Black"/>
                <w:caps/>
                <w:sz w:val="15"/>
                <w:lang w:val="fr-FR"/>
              </w:rPr>
              <w:t>1</w:t>
            </w:r>
            <w:r w:rsidR="0064359F" w:rsidRPr="00477EAB">
              <w:rPr>
                <w:rFonts w:ascii="Arial Black" w:hAnsi="Arial Black"/>
                <w:caps/>
                <w:sz w:val="15"/>
                <w:lang w:val="fr-FR"/>
              </w:rPr>
              <w:t>8</w:t>
            </w:r>
            <w:r w:rsidR="0064359F">
              <w:rPr>
                <w:rFonts w:ascii="Arial Black" w:hAnsi="Arial Black"/>
                <w:caps/>
                <w:sz w:val="15"/>
                <w:lang w:val="fr-FR"/>
              </w:rPr>
              <w:t> </w:t>
            </w:r>
            <w:r w:rsidR="0064359F" w:rsidRPr="00477EAB">
              <w:rPr>
                <w:rFonts w:ascii="Arial Black" w:hAnsi="Arial Black"/>
                <w:caps/>
                <w:sz w:val="15"/>
                <w:lang w:val="fr-FR"/>
              </w:rPr>
              <w:t>mars</w:t>
            </w:r>
            <w:r w:rsidR="0064359F">
              <w:rPr>
                <w:rFonts w:ascii="Arial Black" w:hAnsi="Arial Black"/>
                <w:caps/>
                <w:sz w:val="15"/>
                <w:lang w:val="fr-FR"/>
              </w:rPr>
              <w:t> </w:t>
            </w:r>
            <w:r w:rsidR="0064359F" w:rsidRPr="00477EAB">
              <w:rPr>
                <w:rFonts w:ascii="Arial Black" w:hAnsi="Arial Black"/>
                <w:caps/>
                <w:sz w:val="15"/>
                <w:lang w:val="fr-FR"/>
              </w:rPr>
              <w:t>20</w:t>
            </w:r>
            <w:r w:rsidRPr="00477EAB">
              <w:rPr>
                <w:rFonts w:ascii="Arial Black" w:hAnsi="Arial Black"/>
                <w:caps/>
                <w:sz w:val="15"/>
                <w:lang w:val="fr-FR"/>
              </w:rPr>
              <w:t xml:space="preserve">19 </w:t>
            </w:r>
          </w:p>
        </w:tc>
      </w:tr>
    </w:tbl>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lang w:val="fr-FR"/>
        </w:rPr>
      </w:pPr>
      <w:r w:rsidRPr="00477EAB">
        <w:rPr>
          <w:b/>
          <w:sz w:val="28"/>
          <w:szCs w:val="28"/>
          <w:lang w:val="fr-FR"/>
        </w:rPr>
        <w:t>Comité permanent du droit d</w:t>
      </w:r>
      <w:r w:rsidR="0064359F">
        <w:rPr>
          <w:b/>
          <w:sz w:val="28"/>
          <w:szCs w:val="28"/>
          <w:lang w:val="fr-FR"/>
        </w:rPr>
        <w:t>’</w:t>
      </w:r>
      <w:r w:rsidRPr="00477EAB">
        <w:rPr>
          <w:b/>
          <w:sz w:val="28"/>
          <w:szCs w:val="28"/>
          <w:lang w:val="fr-FR"/>
        </w:rPr>
        <w:t>auteur et des droits connexes</w:t>
      </w:r>
    </w:p>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b/>
          <w:sz w:val="24"/>
          <w:szCs w:val="24"/>
          <w:lang w:val="fr-FR"/>
        </w:rPr>
      </w:pPr>
      <w:r w:rsidRPr="00477EAB">
        <w:rPr>
          <w:b/>
          <w:sz w:val="24"/>
          <w:szCs w:val="24"/>
          <w:lang w:val="fr-FR"/>
        </w:rPr>
        <w:t>Trente</w:t>
      </w:r>
      <w:r w:rsidR="00146784">
        <w:rPr>
          <w:b/>
          <w:sz w:val="24"/>
          <w:szCs w:val="24"/>
          <w:lang w:val="fr-FR"/>
        </w:rPr>
        <w:noBreakHyphen/>
      </w:r>
      <w:r w:rsidRPr="00477EAB">
        <w:rPr>
          <w:b/>
          <w:sz w:val="24"/>
          <w:szCs w:val="24"/>
          <w:lang w:val="fr-FR"/>
        </w:rPr>
        <w:t>huit</w:t>
      </w:r>
      <w:r w:rsidR="0064359F">
        <w:rPr>
          <w:b/>
          <w:sz w:val="24"/>
          <w:szCs w:val="24"/>
          <w:lang w:val="fr-FR"/>
        </w:rPr>
        <w:t>ième session</w:t>
      </w:r>
    </w:p>
    <w:p w:rsidR="00477EAB" w:rsidRPr="00477EAB" w:rsidRDefault="00477EAB" w:rsidP="00477EAB">
      <w:pPr>
        <w:rPr>
          <w:b/>
          <w:sz w:val="24"/>
          <w:szCs w:val="24"/>
          <w:lang w:val="fr-FR"/>
        </w:rPr>
      </w:pPr>
      <w:r w:rsidRPr="00477EAB">
        <w:rPr>
          <w:b/>
          <w:sz w:val="24"/>
          <w:szCs w:val="24"/>
          <w:lang w:val="fr-FR"/>
        </w:rPr>
        <w:t>Genève,</w:t>
      </w:r>
      <w:r w:rsidR="0064359F">
        <w:rPr>
          <w:b/>
          <w:sz w:val="24"/>
          <w:szCs w:val="24"/>
          <w:lang w:val="fr-FR"/>
        </w:rPr>
        <w:t xml:space="preserve"> 1</w:t>
      </w:r>
      <w:r w:rsidR="0064359F" w:rsidRPr="0064359F">
        <w:rPr>
          <w:b/>
          <w:sz w:val="24"/>
          <w:szCs w:val="24"/>
          <w:vertAlign w:val="superscript"/>
          <w:lang w:val="fr-FR"/>
        </w:rPr>
        <w:t>er</w:t>
      </w:r>
      <w:r w:rsidR="0064359F">
        <w:rPr>
          <w:b/>
          <w:sz w:val="24"/>
          <w:szCs w:val="24"/>
          <w:lang w:val="fr-FR"/>
        </w:rPr>
        <w:t> </w:t>
      </w:r>
      <w:r w:rsidRPr="00477EAB">
        <w:rPr>
          <w:b/>
          <w:sz w:val="24"/>
          <w:szCs w:val="24"/>
          <w:lang w:val="fr-FR"/>
        </w:rPr>
        <w:t xml:space="preserve">au </w:t>
      </w:r>
      <w:r w:rsidR="0064359F" w:rsidRPr="00477EAB">
        <w:rPr>
          <w:b/>
          <w:sz w:val="24"/>
          <w:szCs w:val="24"/>
          <w:lang w:val="fr-FR"/>
        </w:rPr>
        <w:t>5</w:t>
      </w:r>
      <w:r w:rsidR="0064359F">
        <w:rPr>
          <w:b/>
          <w:sz w:val="24"/>
          <w:szCs w:val="24"/>
          <w:lang w:val="fr-FR"/>
        </w:rPr>
        <w:t> </w:t>
      </w:r>
      <w:r w:rsidR="0064359F" w:rsidRPr="00477EAB">
        <w:rPr>
          <w:b/>
          <w:sz w:val="24"/>
          <w:szCs w:val="24"/>
          <w:lang w:val="fr-FR"/>
        </w:rPr>
        <w:t>avril</w:t>
      </w:r>
      <w:r w:rsidR="0064359F">
        <w:rPr>
          <w:b/>
          <w:sz w:val="24"/>
          <w:szCs w:val="24"/>
          <w:lang w:val="fr-FR"/>
        </w:rPr>
        <w:t> </w:t>
      </w:r>
      <w:r w:rsidR="0064359F" w:rsidRPr="00477EAB">
        <w:rPr>
          <w:b/>
          <w:sz w:val="24"/>
          <w:szCs w:val="24"/>
          <w:lang w:val="fr-FR"/>
        </w:rPr>
        <w:t>20</w:t>
      </w:r>
      <w:r w:rsidRPr="00477EAB">
        <w:rPr>
          <w:b/>
          <w:sz w:val="24"/>
          <w:szCs w:val="24"/>
          <w:lang w:val="fr-FR"/>
        </w:rPr>
        <w:t>19</w:t>
      </w:r>
    </w:p>
    <w:p w:rsidR="00477EAB" w:rsidRPr="00477EAB" w:rsidRDefault="00477EAB" w:rsidP="00477EAB">
      <w:pPr>
        <w:rPr>
          <w:lang w:val="fr-FR"/>
        </w:rPr>
      </w:pPr>
    </w:p>
    <w:p w:rsidR="00477EAB" w:rsidRPr="00477EAB" w:rsidRDefault="00477EAB" w:rsidP="00477EAB">
      <w:pPr>
        <w:rPr>
          <w:lang w:val="fr-FR"/>
        </w:rPr>
      </w:pPr>
    </w:p>
    <w:p w:rsidR="00477EAB" w:rsidRPr="00477EAB" w:rsidRDefault="00477EAB" w:rsidP="00477EAB">
      <w:pPr>
        <w:rPr>
          <w:lang w:val="fr-FR"/>
        </w:rPr>
      </w:pPr>
    </w:p>
    <w:p w:rsidR="00EC5D18" w:rsidRDefault="00477EAB">
      <w:pPr>
        <w:widowControl w:val="0"/>
        <w:rPr>
          <w:caps/>
          <w:sz w:val="24"/>
          <w:lang w:val="fr-FR"/>
        </w:rPr>
      </w:pPr>
      <w:r w:rsidRPr="00477EAB">
        <w:rPr>
          <w:caps/>
          <w:sz w:val="24"/>
          <w:lang w:val="fr-FR"/>
        </w:rPr>
        <w:t>Résumé de l</w:t>
      </w:r>
      <w:r w:rsidR="0064359F">
        <w:rPr>
          <w:caps/>
          <w:sz w:val="24"/>
          <w:lang w:val="fr-FR"/>
        </w:rPr>
        <w:t>’</w:t>
      </w:r>
      <w:r w:rsidRPr="00477EAB">
        <w:rPr>
          <w:caps/>
          <w:sz w:val="24"/>
          <w:lang w:val="fr-FR"/>
        </w:rPr>
        <w:t>étude exploratoire sur l</w:t>
      </w:r>
      <w:r w:rsidR="0064359F">
        <w:rPr>
          <w:caps/>
          <w:sz w:val="24"/>
          <w:lang w:val="fr-FR"/>
        </w:rPr>
        <w:t>’</w:t>
      </w:r>
      <w:r w:rsidRPr="00477EAB">
        <w:rPr>
          <w:caps/>
          <w:sz w:val="24"/>
          <w:lang w:val="fr-FR"/>
        </w:rPr>
        <w:t>accès des personnes handicapées aux œuvres protégées par le droit d</w:t>
      </w:r>
      <w:r w:rsidR="0064359F">
        <w:rPr>
          <w:caps/>
          <w:sz w:val="24"/>
          <w:lang w:val="fr-FR"/>
        </w:rPr>
        <w:t>’</w:t>
      </w:r>
      <w:r w:rsidRPr="00477EAB">
        <w:rPr>
          <w:caps/>
          <w:sz w:val="24"/>
          <w:lang w:val="fr-FR"/>
        </w:rPr>
        <w:t>auteur</w:t>
      </w:r>
    </w:p>
    <w:p w:rsidR="00EC1FFD" w:rsidRPr="00477EAB" w:rsidRDefault="00EC1FFD">
      <w:pPr>
        <w:widowControl w:val="0"/>
        <w:rPr>
          <w:lang w:val="fr-FR"/>
        </w:rPr>
      </w:pPr>
    </w:p>
    <w:p w:rsidR="00EC1FFD" w:rsidRPr="00477EAB" w:rsidRDefault="005E1E2D">
      <w:pPr>
        <w:widowControl w:val="0"/>
        <w:rPr>
          <w:i/>
          <w:lang w:val="fr-FR"/>
        </w:rPr>
      </w:pPr>
      <w:r w:rsidRPr="00477EAB">
        <w:rPr>
          <w:i/>
          <w:lang w:val="fr-FR"/>
        </w:rPr>
        <w:t>é</w:t>
      </w:r>
      <w:r w:rsidR="00991D53" w:rsidRPr="00477EAB">
        <w:rPr>
          <w:i/>
          <w:lang w:val="fr-FR"/>
        </w:rPr>
        <w:t xml:space="preserve">tabli par </w:t>
      </w:r>
      <w:r w:rsidR="007807F3" w:rsidRPr="00477EAB">
        <w:rPr>
          <w:i/>
          <w:lang w:val="fr-FR"/>
        </w:rPr>
        <w:t>M.</w:t>
      </w:r>
      <w:r w:rsidR="00991D53" w:rsidRPr="00477EAB">
        <w:rPr>
          <w:i/>
          <w:lang w:val="fr-FR"/>
        </w:rPr>
        <w:t> </w:t>
      </w:r>
      <w:r w:rsidR="007807F3" w:rsidRPr="00477EAB">
        <w:rPr>
          <w:i/>
          <w:lang w:val="fr-FR"/>
        </w:rPr>
        <w:t>Blake</w:t>
      </w:r>
      <w:r w:rsidR="00991D53" w:rsidRPr="00477EAB">
        <w:rPr>
          <w:i/>
          <w:lang w:val="fr-FR"/>
        </w:rPr>
        <w:t> </w:t>
      </w:r>
      <w:r w:rsidR="007807F3" w:rsidRPr="00477EAB">
        <w:rPr>
          <w:i/>
          <w:lang w:val="fr-FR"/>
        </w:rPr>
        <w:t xml:space="preserve">Reid </w:t>
      </w:r>
      <w:r w:rsidR="00991D53" w:rsidRPr="00477EAB">
        <w:rPr>
          <w:i/>
          <w:lang w:val="fr-FR"/>
        </w:rPr>
        <w:t>et Mme </w:t>
      </w:r>
      <w:r w:rsidR="007807F3" w:rsidRPr="00477EAB">
        <w:rPr>
          <w:i/>
          <w:lang w:val="fr-FR"/>
        </w:rPr>
        <w:t>Caroline</w:t>
      </w:r>
      <w:r w:rsidR="00991D53" w:rsidRPr="00477EAB">
        <w:rPr>
          <w:i/>
          <w:lang w:val="fr-FR"/>
        </w:rPr>
        <w:t> </w:t>
      </w:r>
      <w:r w:rsidR="00477EAB" w:rsidRPr="00477EAB">
        <w:rPr>
          <w:i/>
          <w:lang w:val="fr-FR"/>
        </w:rPr>
        <w:t>Ncube</w:t>
      </w:r>
    </w:p>
    <w:p w:rsidR="00EC1FFD" w:rsidRPr="00477EAB" w:rsidRDefault="00EC1FFD">
      <w:pPr>
        <w:widowControl w:val="0"/>
        <w:rPr>
          <w:lang w:val="fr-FR"/>
        </w:rPr>
      </w:pPr>
    </w:p>
    <w:p w:rsidR="00477EAB" w:rsidRPr="00477EAB" w:rsidRDefault="00477EAB">
      <w:pPr>
        <w:rPr>
          <w:rFonts w:eastAsia="Arial"/>
          <w:b/>
          <w:bCs/>
          <w:caps/>
          <w:kern w:val="32"/>
          <w:szCs w:val="22"/>
          <w:lang w:val="fr-FR"/>
        </w:rPr>
      </w:pPr>
      <w:bookmarkStart w:id="5" w:name="_j81i0iqrfm4d" w:colFirst="0" w:colLast="0"/>
      <w:bookmarkStart w:id="6" w:name="_Toc3361667"/>
      <w:bookmarkStart w:id="7" w:name="_Toc2872882"/>
      <w:bookmarkStart w:id="8" w:name="_Toc2872234"/>
      <w:bookmarkStart w:id="9" w:name="_Toc3361669"/>
      <w:bookmarkStart w:id="10" w:name="_Toc2872884"/>
      <w:bookmarkStart w:id="11" w:name="_Toc2872236"/>
      <w:bookmarkEnd w:id="5"/>
      <w:r w:rsidRPr="00477EAB">
        <w:rPr>
          <w:rFonts w:eastAsia="Arial"/>
          <w:szCs w:val="22"/>
          <w:lang w:val="fr-FR"/>
        </w:rPr>
        <w:br w:type="page"/>
      </w:r>
    </w:p>
    <w:p w:rsidR="00EC1FFD" w:rsidRPr="00477EAB" w:rsidRDefault="00477EAB" w:rsidP="00477EAB">
      <w:pPr>
        <w:pStyle w:val="Heading1"/>
        <w:rPr>
          <w:lang w:val="fr-FR"/>
        </w:rPr>
      </w:pPr>
      <w:r w:rsidRPr="00477EAB">
        <w:rPr>
          <w:lang w:val="fr-FR"/>
        </w:rPr>
        <w:lastRenderedPageBreak/>
        <w:t>Résumé</w:t>
      </w:r>
      <w:bookmarkEnd w:id="6"/>
      <w:bookmarkEnd w:id="7"/>
      <w:bookmarkEnd w:id="8"/>
    </w:p>
    <w:p w:rsidR="00477EAB" w:rsidRPr="00477EAB" w:rsidRDefault="00477EAB" w:rsidP="00477EAB">
      <w:pPr>
        <w:rPr>
          <w:lang w:val="fr-FR"/>
        </w:rPr>
      </w:pPr>
    </w:p>
    <w:p w:rsidR="00EC1FFD" w:rsidRPr="00477EAB" w:rsidRDefault="00991D53" w:rsidP="00477EAB">
      <w:pPr>
        <w:pStyle w:val="ONUMFS"/>
        <w:numPr>
          <w:ilvl w:val="0"/>
          <w:numId w:val="0"/>
        </w:numPr>
        <w:rPr>
          <w:lang w:val="fr-FR"/>
        </w:rPr>
      </w:pPr>
      <w:r w:rsidRPr="00477EAB">
        <w:rPr>
          <w:lang w:val="fr-FR"/>
        </w:rPr>
        <w:t>De nombreuses œuvres protégées par le droit d</w:t>
      </w:r>
      <w:r w:rsidR="0064359F">
        <w:rPr>
          <w:lang w:val="fr-FR"/>
        </w:rPr>
        <w:t>’</w:t>
      </w:r>
      <w:r w:rsidRPr="00477EAB">
        <w:rPr>
          <w:lang w:val="fr-FR"/>
        </w:rPr>
        <w:t>auteur existent dans des formats inaccessibles aux personnes handicapé</w:t>
      </w:r>
      <w:r w:rsidR="00146784" w:rsidRPr="00477EAB">
        <w:rPr>
          <w:lang w:val="fr-FR"/>
        </w:rPr>
        <w:t>es</w:t>
      </w:r>
      <w:r w:rsidR="00146784">
        <w:rPr>
          <w:lang w:val="fr-FR"/>
        </w:rPr>
        <w:t xml:space="preserve">.  </w:t>
      </w:r>
      <w:r w:rsidR="00146784" w:rsidRPr="00477EAB">
        <w:rPr>
          <w:lang w:val="fr-FR"/>
        </w:rPr>
        <w:t>Ce</w:t>
      </w:r>
      <w:r w:rsidRPr="00477EAB">
        <w:rPr>
          <w:lang w:val="fr-FR"/>
        </w:rPr>
        <w:t xml:space="preserve">tte inaccessibilité est problématique, car de nombreux pays ont adopté des lois qui favorisent une participation </w:t>
      </w:r>
      <w:r w:rsidR="00ED1C84" w:rsidRPr="00477EAB">
        <w:rPr>
          <w:lang w:val="fr-FR"/>
        </w:rPr>
        <w:t>sur un pied d</w:t>
      </w:r>
      <w:r w:rsidR="0064359F">
        <w:rPr>
          <w:lang w:val="fr-FR"/>
        </w:rPr>
        <w:t>’</w:t>
      </w:r>
      <w:r w:rsidR="00ED1C84" w:rsidRPr="00477EAB">
        <w:rPr>
          <w:lang w:val="fr-FR"/>
        </w:rPr>
        <w:t>égalité</w:t>
      </w:r>
      <w:r w:rsidR="009E22E2" w:rsidRPr="00477EAB">
        <w:rPr>
          <w:lang w:val="fr-FR"/>
        </w:rPr>
        <w:t xml:space="preserve"> d</w:t>
      </w:r>
      <w:r w:rsidRPr="00477EAB">
        <w:rPr>
          <w:lang w:val="fr-FR"/>
        </w:rPr>
        <w:t>es personnes handicapées</w:t>
      </w:r>
      <w:r w:rsidR="009E22E2" w:rsidRPr="00477EAB">
        <w:rPr>
          <w:lang w:val="fr-FR"/>
        </w:rPr>
        <w:t xml:space="preserve"> à la </w:t>
      </w:r>
      <w:r w:rsidR="00ED1C84" w:rsidRPr="00477EAB">
        <w:rPr>
          <w:lang w:val="fr-FR"/>
        </w:rPr>
        <w:t xml:space="preserve">vie de la </w:t>
      </w:r>
      <w:r w:rsidR="009E22E2" w:rsidRPr="00477EAB">
        <w:rPr>
          <w:lang w:val="fr-FR"/>
        </w:rPr>
        <w:t>socié</w:t>
      </w:r>
      <w:r w:rsidR="00146784" w:rsidRPr="00477EAB">
        <w:rPr>
          <w:lang w:val="fr-FR"/>
        </w:rPr>
        <w:t>té</w:t>
      </w:r>
      <w:r w:rsidR="00146784">
        <w:rPr>
          <w:lang w:val="fr-FR"/>
        </w:rPr>
        <w:t xml:space="preserve">.  </w:t>
      </w:r>
      <w:r w:rsidR="00146784" w:rsidRPr="00477EAB">
        <w:rPr>
          <w:lang w:val="fr-FR"/>
        </w:rPr>
        <w:t>L</w:t>
      </w:r>
      <w:r w:rsidR="00146784">
        <w:rPr>
          <w:lang w:val="fr-FR"/>
        </w:rPr>
        <w:t>’</w:t>
      </w:r>
      <w:r w:rsidR="00146784" w:rsidRPr="00477EAB">
        <w:rPr>
          <w:lang w:val="fr-FR"/>
        </w:rPr>
        <w:t>a</w:t>
      </w:r>
      <w:r w:rsidRPr="00477EAB">
        <w:rPr>
          <w:lang w:val="fr-FR"/>
        </w:rPr>
        <w:t xml:space="preserve">ccès </w:t>
      </w:r>
      <w:r w:rsidR="00ED1C84" w:rsidRPr="00477EAB">
        <w:rPr>
          <w:lang w:val="fr-FR"/>
        </w:rPr>
        <w:t xml:space="preserve">des personnes handicapées </w:t>
      </w:r>
      <w:r w:rsidRPr="00477EAB">
        <w:rPr>
          <w:lang w:val="fr-FR"/>
        </w:rPr>
        <w:t>au contenu protégé par le droit d</w:t>
      </w:r>
      <w:r w:rsidR="0064359F">
        <w:rPr>
          <w:lang w:val="fr-FR"/>
        </w:rPr>
        <w:t>’</w:t>
      </w:r>
      <w:r w:rsidRPr="00477EAB">
        <w:rPr>
          <w:lang w:val="fr-FR"/>
        </w:rPr>
        <w:t>auteur nécessite généralement un certain type de technologie d</w:t>
      </w:r>
      <w:r w:rsidR="0064359F">
        <w:rPr>
          <w:lang w:val="fr-FR"/>
        </w:rPr>
        <w:t>’</w:t>
      </w:r>
      <w:r w:rsidRPr="00477EAB">
        <w:rPr>
          <w:lang w:val="fr-FR"/>
        </w:rPr>
        <w:t xml:space="preserve">assistance qui transforme </w:t>
      </w:r>
      <w:r w:rsidR="00ED1C84" w:rsidRPr="00477EAB">
        <w:rPr>
          <w:lang w:val="fr-FR"/>
        </w:rPr>
        <w:t>l</w:t>
      </w:r>
      <w:r w:rsidR="0064359F">
        <w:rPr>
          <w:lang w:val="fr-FR"/>
        </w:rPr>
        <w:t>’</w:t>
      </w:r>
      <w:r w:rsidR="00ED1C84" w:rsidRPr="00477EAB">
        <w:rPr>
          <w:lang w:val="fr-FR"/>
        </w:rPr>
        <w:t>intégralité</w:t>
      </w:r>
      <w:r w:rsidRPr="00477EAB">
        <w:rPr>
          <w:lang w:val="fr-FR"/>
        </w:rPr>
        <w:t xml:space="preserve"> ou </w:t>
      </w:r>
      <w:r w:rsidR="00ED1C84" w:rsidRPr="00477EAB">
        <w:rPr>
          <w:lang w:val="fr-FR"/>
        </w:rPr>
        <w:t xml:space="preserve">une </w:t>
      </w:r>
      <w:r w:rsidRPr="00477EAB">
        <w:rPr>
          <w:lang w:val="fr-FR"/>
        </w:rPr>
        <w:t>partie du contenu de l</w:t>
      </w:r>
      <w:r w:rsidR="0064359F">
        <w:rPr>
          <w:lang w:val="fr-FR"/>
        </w:rPr>
        <w:t>’</w:t>
      </w:r>
      <w:r w:rsidRPr="00477EAB">
        <w:rPr>
          <w:lang w:val="fr-FR"/>
        </w:rPr>
        <w:t>œuvre d</w:t>
      </w:r>
      <w:r w:rsidR="0064359F">
        <w:rPr>
          <w:lang w:val="fr-FR"/>
        </w:rPr>
        <w:t>’</w:t>
      </w:r>
      <w:r w:rsidRPr="00477EAB">
        <w:rPr>
          <w:lang w:val="fr-FR"/>
        </w:rPr>
        <w:t>un support à un aut</w:t>
      </w:r>
      <w:r w:rsidR="00146784" w:rsidRPr="00477EAB">
        <w:rPr>
          <w:lang w:val="fr-FR"/>
        </w:rPr>
        <w:t>re</w:t>
      </w:r>
      <w:r w:rsidR="00146784">
        <w:rPr>
          <w:lang w:val="fr-FR"/>
        </w:rPr>
        <w:t xml:space="preserve">.  </w:t>
      </w:r>
      <w:r w:rsidR="00146784" w:rsidRPr="00477EAB">
        <w:rPr>
          <w:lang w:val="fr-FR"/>
        </w:rPr>
        <w:t>To</w:t>
      </w:r>
      <w:r w:rsidRPr="00477EAB">
        <w:rPr>
          <w:lang w:val="fr-FR"/>
        </w:rPr>
        <w:t>utefois, ces transformations peuvent mettre en cause les droits exclusifs accordés aux titulaires d</w:t>
      </w:r>
      <w:r w:rsidR="00087B53" w:rsidRPr="00477EAB">
        <w:rPr>
          <w:lang w:val="fr-FR"/>
        </w:rPr>
        <w:t>u</w:t>
      </w:r>
      <w:r w:rsidRPr="00477EAB">
        <w:rPr>
          <w:lang w:val="fr-FR"/>
        </w:rPr>
        <w:t xml:space="preserve"> droit d</w:t>
      </w:r>
      <w:r w:rsidR="0064359F">
        <w:rPr>
          <w:lang w:val="fr-FR"/>
        </w:rPr>
        <w:t>’</w:t>
      </w:r>
      <w:r w:rsidRPr="00477EAB">
        <w:rPr>
          <w:lang w:val="fr-FR"/>
        </w:rPr>
        <w:t>auteur et de</w:t>
      </w:r>
      <w:r w:rsidR="00B3246D" w:rsidRPr="00477EAB">
        <w:rPr>
          <w:lang w:val="fr-FR"/>
        </w:rPr>
        <w:t>s</w:t>
      </w:r>
      <w:r w:rsidRPr="00477EAB">
        <w:rPr>
          <w:lang w:val="fr-FR"/>
        </w:rPr>
        <w:t xml:space="preserve"> droits </w:t>
      </w:r>
      <w:r w:rsidR="003447A5" w:rsidRPr="00477EAB">
        <w:rPr>
          <w:lang w:val="fr-FR"/>
        </w:rPr>
        <w:t>connexes</w:t>
      </w:r>
      <w:r w:rsidR="00C4000D" w:rsidRPr="00477EAB">
        <w:rPr>
          <w:lang w:val="fr-FR"/>
        </w:rPr>
        <w:t>.</w:t>
      </w:r>
    </w:p>
    <w:p w:rsidR="00EC1FFD" w:rsidRPr="00477EAB" w:rsidRDefault="004D5B43" w:rsidP="00477EAB">
      <w:pPr>
        <w:pStyle w:val="ONUMFS"/>
        <w:numPr>
          <w:ilvl w:val="0"/>
          <w:numId w:val="0"/>
        </w:numPr>
        <w:rPr>
          <w:lang w:val="fr-FR"/>
        </w:rPr>
      </w:pPr>
      <w:r w:rsidRPr="00477EAB">
        <w:rPr>
          <w:lang w:val="fr-FR"/>
        </w:rPr>
        <w:t>L</w:t>
      </w:r>
      <w:r w:rsidR="0064359F">
        <w:rPr>
          <w:lang w:val="fr-FR"/>
        </w:rPr>
        <w:t>’</w:t>
      </w:r>
      <w:r w:rsidR="00AB6D6D" w:rsidRPr="00477EAB">
        <w:rPr>
          <w:lang w:val="fr-FR"/>
        </w:rPr>
        <w:t>étude a été menée par des chercheurs de l</w:t>
      </w:r>
      <w:r w:rsidR="0064359F">
        <w:rPr>
          <w:lang w:val="fr-FR"/>
        </w:rPr>
        <w:t>’</w:t>
      </w:r>
      <w:r w:rsidR="00AB6D6D" w:rsidRPr="00477EAB">
        <w:rPr>
          <w:lang w:val="fr-FR"/>
        </w:rPr>
        <w:t xml:space="preserve">Université du Cap en Afrique du Sud et </w:t>
      </w:r>
      <w:r w:rsidR="003447A5" w:rsidRPr="00477EAB">
        <w:rPr>
          <w:lang w:val="fr-FR"/>
        </w:rPr>
        <w:t xml:space="preserve">du </w:t>
      </w:r>
      <w:r w:rsidR="00AB6D6D" w:rsidRPr="00477EAB">
        <w:rPr>
          <w:lang w:val="fr-FR"/>
        </w:rPr>
        <w:t>Samuelson</w:t>
      </w:r>
      <w:r w:rsidR="00146784">
        <w:rPr>
          <w:lang w:val="fr-FR"/>
        </w:rPr>
        <w:noBreakHyphen/>
      </w:r>
      <w:r w:rsidR="00AB6D6D" w:rsidRPr="00477EAB">
        <w:rPr>
          <w:lang w:val="fr-FR"/>
        </w:rPr>
        <w:t>Glushko Technology Law and Policy Clinic</w:t>
      </w:r>
      <w:r w:rsidR="003447A5" w:rsidRPr="00477EAB">
        <w:rPr>
          <w:lang w:val="fr-FR"/>
        </w:rPr>
        <w:t xml:space="preserve"> de la faculté de droit de l</w:t>
      </w:r>
      <w:r w:rsidR="0064359F">
        <w:rPr>
          <w:lang w:val="fr-FR"/>
        </w:rPr>
        <w:t>’</w:t>
      </w:r>
      <w:r w:rsidR="003447A5" w:rsidRPr="00477EAB">
        <w:rPr>
          <w:lang w:val="fr-FR"/>
        </w:rPr>
        <w:t>Université du Colora</w:t>
      </w:r>
      <w:r w:rsidR="00146784" w:rsidRPr="00477EAB">
        <w:rPr>
          <w:lang w:val="fr-FR"/>
        </w:rPr>
        <w:t>do</w:t>
      </w:r>
      <w:r w:rsidR="00146784">
        <w:rPr>
          <w:lang w:val="fr-FR"/>
        </w:rPr>
        <w:t xml:space="preserve">.  </w:t>
      </w:r>
      <w:r w:rsidR="00146784" w:rsidRPr="00477EAB">
        <w:rPr>
          <w:lang w:val="fr-FR"/>
        </w:rPr>
        <w:t>De</w:t>
      </w:r>
      <w:r w:rsidR="00AB6D6D" w:rsidRPr="00477EAB">
        <w:rPr>
          <w:lang w:val="fr-FR"/>
        </w:rPr>
        <w:t>s chercheurs ont complété l</w:t>
      </w:r>
      <w:r w:rsidR="0064359F">
        <w:rPr>
          <w:lang w:val="fr-FR"/>
        </w:rPr>
        <w:t>’</w:t>
      </w:r>
      <w:r w:rsidR="00AB6D6D" w:rsidRPr="00477EAB">
        <w:rPr>
          <w:lang w:val="fr-FR"/>
        </w:rPr>
        <w:t xml:space="preserve">étude exploratoire précédente, </w:t>
      </w:r>
      <w:r w:rsidR="003447A5" w:rsidRPr="00477EAB">
        <w:rPr>
          <w:lang w:val="fr-FR"/>
        </w:rPr>
        <w:t>dans le cadre de laquelle</w:t>
      </w:r>
      <w:r w:rsidR="00AB6D6D" w:rsidRPr="00477EAB">
        <w:rPr>
          <w:lang w:val="fr-FR"/>
        </w:rPr>
        <w:t xml:space="preserve"> des questionnaires </w:t>
      </w:r>
      <w:r w:rsidR="003447A5" w:rsidRPr="00477EAB">
        <w:rPr>
          <w:lang w:val="fr-FR"/>
        </w:rPr>
        <w:t>avaient été envoyés aux</w:t>
      </w:r>
      <w:r w:rsidR="00AB6D6D" w:rsidRPr="00477EAB">
        <w:rPr>
          <w:lang w:val="fr-FR"/>
        </w:rPr>
        <w:t xml:space="preserve"> États membres </w:t>
      </w:r>
      <w:r w:rsidRPr="00477EAB">
        <w:rPr>
          <w:lang w:val="fr-FR"/>
        </w:rPr>
        <w:t>et des informations communiquées</w:t>
      </w:r>
      <w:r w:rsidR="003447A5" w:rsidRPr="00477EAB">
        <w:rPr>
          <w:lang w:val="fr-FR"/>
        </w:rPr>
        <w:t xml:space="preserve"> par ces derniers, en effectuant </w:t>
      </w:r>
      <w:r w:rsidR="00AB6D6D" w:rsidRPr="00477EAB">
        <w:rPr>
          <w:lang w:val="fr-FR"/>
        </w:rPr>
        <w:t xml:space="preserve">des recherches indépendantes </w:t>
      </w:r>
      <w:r w:rsidR="003447A5" w:rsidRPr="00477EAB">
        <w:rPr>
          <w:lang w:val="fr-FR"/>
        </w:rPr>
        <w:t xml:space="preserve">consistant à </w:t>
      </w:r>
      <w:r w:rsidR="00AB6D6D" w:rsidRPr="00477EAB">
        <w:rPr>
          <w:lang w:val="fr-FR"/>
        </w:rPr>
        <w:t>examin</w:t>
      </w:r>
      <w:r w:rsidR="003447A5" w:rsidRPr="00477EAB">
        <w:rPr>
          <w:lang w:val="fr-FR"/>
        </w:rPr>
        <w:t xml:space="preserve">er </w:t>
      </w:r>
      <w:r w:rsidR="00AB6D6D" w:rsidRPr="00477EAB">
        <w:rPr>
          <w:lang w:val="fr-FR"/>
        </w:rPr>
        <w:t xml:space="preserve">et </w:t>
      </w:r>
      <w:r w:rsidR="003447A5" w:rsidRPr="00477EAB">
        <w:rPr>
          <w:lang w:val="fr-FR"/>
        </w:rPr>
        <w:t xml:space="preserve">à </w:t>
      </w:r>
      <w:r w:rsidR="00AB6D6D" w:rsidRPr="00477EAB">
        <w:rPr>
          <w:lang w:val="fr-FR"/>
        </w:rPr>
        <w:t>analys</w:t>
      </w:r>
      <w:r w:rsidR="003447A5" w:rsidRPr="00477EAB">
        <w:rPr>
          <w:lang w:val="fr-FR"/>
        </w:rPr>
        <w:t xml:space="preserve">er </w:t>
      </w:r>
      <w:r w:rsidR="00AB6D6D" w:rsidRPr="00477EAB">
        <w:rPr>
          <w:lang w:val="fr-FR"/>
        </w:rPr>
        <w:t>les régimes d</w:t>
      </w:r>
      <w:r w:rsidR="003447A5" w:rsidRPr="00477EAB">
        <w:rPr>
          <w:lang w:val="fr-FR"/>
        </w:rPr>
        <w:t>u</w:t>
      </w:r>
      <w:r w:rsidR="00AB6D6D" w:rsidRPr="00477EAB">
        <w:rPr>
          <w:lang w:val="fr-FR"/>
        </w:rPr>
        <w:t xml:space="preserve"> droit d</w:t>
      </w:r>
      <w:r w:rsidR="0064359F">
        <w:rPr>
          <w:lang w:val="fr-FR"/>
        </w:rPr>
        <w:t>’</w:t>
      </w:r>
      <w:r w:rsidR="00AB6D6D" w:rsidRPr="00477EAB">
        <w:rPr>
          <w:lang w:val="fr-FR"/>
        </w:rPr>
        <w:t>auteur des États membres et les dispositions relatives au handicap dans ces régimes.</w:t>
      </w:r>
    </w:p>
    <w:p w:rsidR="00EC1FFD" w:rsidRPr="00477EAB" w:rsidRDefault="00AB6D6D" w:rsidP="00477EAB">
      <w:pPr>
        <w:pStyle w:val="ONUMFS"/>
        <w:numPr>
          <w:ilvl w:val="0"/>
          <w:numId w:val="0"/>
        </w:numPr>
        <w:rPr>
          <w:lang w:val="fr-FR"/>
        </w:rPr>
      </w:pPr>
      <w:r w:rsidRPr="00477EAB">
        <w:rPr>
          <w:lang w:val="fr-FR"/>
        </w:rPr>
        <w:t xml:space="preserve">Cette étude a permis de constater que plus de la moitié de </w:t>
      </w:r>
      <w:r w:rsidR="003447A5" w:rsidRPr="00477EAB">
        <w:rPr>
          <w:lang w:val="fr-FR"/>
        </w:rPr>
        <w:t>l</w:t>
      </w:r>
      <w:r w:rsidR="0064359F">
        <w:rPr>
          <w:lang w:val="fr-FR"/>
        </w:rPr>
        <w:t>’</w:t>
      </w:r>
      <w:r w:rsidR="003447A5" w:rsidRPr="00477EAB">
        <w:rPr>
          <w:lang w:val="fr-FR"/>
        </w:rPr>
        <w:t>ensemble des</w:t>
      </w:r>
      <w:r w:rsidRPr="00477EAB">
        <w:rPr>
          <w:lang w:val="fr-FR"/>
        </w:rPr>
        <w:t xml:space="preserve"> États membres </w:t>
      </w:r>
      <w:r w:rsidR="003447A5" w:rsidRPr="00477EAB">
        <w:rPr>
          <w:lang w:val="fr-FR"/>
        </w:rPr>
        <w:t xml:space="preserve">ont prévu </w:t>
      </w:r>
      <w:r w:rsidRPr="00477EAB">
        <w:rPr>
          <w:lang w:val="fr-FR"/>
        </w:rPr>
        <w:t xml:space="preserve">une </w:t>
      </w:r>
      <w:r w:rsidR="003447A5" w:rsidRPr="00477EAB">
        <w:rPr>
          <w:lang w:val="fr-FR"/>
        </w:rPr>
        <w:t>forme</w:t>
      </w:r>
      <w:r w:rsidRPr="00477EAB">
        <w:rPr>
          <w:lang w:val="fr-FR"/>
        </w:rPr>
        <w:t xml:space="preserve"> d</w:t>
      </w:r>
      <w:r w:rsidR="0064359F">
        <w:rPr>
          <w:lang w:val="fr-FR"/>
        </w:rPr>
        <w:t>’</w:t>
      </w:r>
      <w:r w:rsidRPr="00477EAB">
        <w:rPr>
          <w:lang w:val="fr-FR"/>
        </w:rPr>
        <w:t xml:space="preserve">exception pour les handicaps </w:t>
      </w:r>
      <w:r w:rsidR="003447A5" w:rsidRPr="00477EAB">
        <w:rPr>
          <w:lang w:val="fr-FR"/>
        </w:rPr>
        <w:t xml:space="preserve">inscrits </w:t>
      </w:r>
      <w:r w:rsidRPr="00477EAB">
        <w:rPr>
          <w:lang w:val="fr-FR"/>
        </w:rPr>
        <w:t>dans leur législation sur le droit d</w:t>
      </w:r>
      <w:r w:rsidR="0064359F">
        <w:rPr>
          <w:lang w:val="fr-FR"/>
        </w:rPr>
        <w:t>’</w:t>
      </w:r>
      <w:r w:rsidRPr="00477EAB">
        <w:rPr>
          <w:lang w:val="fr-FR"/>
        </w:rPr>
        <w:t>auteur et qu</w:t>
      </w:r>
      <w:r w:rsidR="0064359F">
        <w:rPr>
          <w:lang w:val="fr-FR"/>
        </w:rPr>
        <w:t>’</w:t>
      </w:r>
      <w:r w:rsidR="003447A5" w:rsidRPr="00477EAB">
        <w:rPr>
          <w:lang w:val="fr-FR"/>
        </w:rPr>
        <w:t>un tiers de</w:t>
      </w:r>
      <w:r w:rsidRPr="00477EAB">
        <w:rPr>
          <w:lang w:val="fr-FR"/>
        </w:rPr>
        <w:t xml:space="preserve"> ces membres prévoient des exceptions pour tous les handicaps.</w:t>
      </w:r>
    </w:p>
    <w:p w:rsidR="00EC1FFD" w:rsidRPr="00477EAB" w:rsidRDefault="00477EAB" w:rsidP="00477EAB">
      <w:pPr>
        <w:pStyle w:val="Heading1"/>
        <w:rPr>
          <w:lang w:val="fr-FR"/>
        </w:rPr>
      </w:pPr>
      <w:bookmarkStart w:id="12" w:name="_Toc3361668"/>
      <w:bookmarkStart w:id="13" w:name="_Toc2872883"/>
      <w:bookmarkStart w:id="14" w:name="_Toc2872235"/>
      <w:r w:rsidRPr="00477EAB">
        <w:rPr>
          <w:lang w:val="fr-FR"/>
        </w:rPr>
        <w:t>Introduction</w:t>
      </w:r>
      <w:bookmarkEnd w:id="12"/>
      <w:bookmarkEnd w:id="13"/>
      <w:bookmarkEnd w:id="14"/>
    </w:p>
    <w:p w:rsidR="00477EAB" w:rsidRPr="00477EAB" w:rsidRDefault="00477EAB" w:rsidP="00477EAB">
      <w:pPr>
        <w:rPr>
          <w:lang w:val="fr-FR"/>
        </w:rPr>
      </w:pPr>
    </w:p>
    <w:p w:rsidR="00EC5D18" w:rsidRDefault="00BB7F98" w:rsidP="00477EAB">
      <w:pPr>
        <w:pStyle w:val="ONUMFS"/>
        <w:numPr>
          <w:ilvl w:val="0"/>
          <w:numId w:val="0"/>
        </w:numPr>
        <w:rPr>
          <w:lang w:val="fr-FR"/>
        </w:rPr>
      </w:pPr>
      <w:r w:rsidRPr="00477EAB">
        <w:rPr>
          <w:lang w:val="fr-FR"/>
        </w:rPr>
        <w:t>Presque tous les États membres de l</w:t>
      </w:r>
      <w:r w:rsidR="0064359F">
        <w:rPr>
          <w:lang w:val="fr-FR"/>
        </w:rPr>
        <w:t>’</w:t>
      </w:r>
      <w:r w:rsidRPr="00477EAB">
        <w:rPr>
          <w:lang w:val="fr-FR"/>
        </w:rPr>
        <w:t>OMPI ont adopté un régime du droit d</w:t>
      </w:r>
      <w:r w:rsidR="0064359F">
        <w:rPr>
          <w:lang w:val="fr-FR"/>
        </w:rPr>
        <w:t>’</w:t>
      </w:r>
      <w:r w:rsidRPr="00477EAB">
        <w:rPr>
          <w:lang w:val="fr-FR"/>
        </w:rPr>
        <w:t>auteur qui confère des droits exclusifs aux auteurs d</w:t>
      </w:r>
      <w:r w:rsidR="0064359F">
        <w:rPr>
          <w:lang w:val="fr-FR"/>
        </w:rPr>
        <w:t>’</w:t>
      </w:r>
      <w:r w:rsidR="003447A5" w:rsidRPr="00477EAB">
        <w:rPr>
          <w:lang w:val="fr-FR"/>
        </w:rPr>
        <w:t>œ</w:t>
      </w:r>
      <w:r w:rsidRPr="00477EAB">
        <w:rPr>
          <w:lang w:val="fr-FR"/>
        </w:rPr>
        <w:t>uvres de créati</w:t>
      </w:r>
      <w:r w:rsidR="00146784" w:rsidRPr="00477EAB">
        <w:rPr>
          <w:lang w:val="fr-FR"/>
        </w:rPr>
        <w:t>on</w:t>
      </w:r>
      <w:r w:rsidR="00146784">
        <w:rPr>
          <w:lang w:val="fr-FR"/>
        </w:rPr>
        <w:t xml:space="preserve">.  </w:t>
      </w:r>
      <w:r w:rsidR="00146784" w:rsidRPr="00477EAB">
        <w:rPr>
          <w:lang w:val="fr-FR"/>
        </w:rPr>
        <w:t>Ce</w:t>
      </w:r>
      <w:r w:rsidR="003447A5" w:rsidRPr="00477EAB">
        <w:rPr>
          <w:lang w:val="fr-FR"/>
        </w:rPr>
        <w:t>tte protection, bien qu</w:t>
      </w:r>
      <w:r w:rsidR="0064359F">
        <w:rPr>
          <w:lang w:val="fr-FR"/>
        </w:rPr>
        <w:t>’</w:t>
      </w:r>
      <w:r w:rsidR="003447A5" w:rsidRPr="00477EAB">
        <w:rPr>
          <w:lang w:val="fr-FR"/>
        </w:rPr>
        <w:t>elle existe depuis longtemps et qu</w:t>
      </w:r>
      <w:r w:rsidR="0064359F">
        <w:rPr>
          <w:lang w:val="fr-FR"/>
        </w:rPr>
        <w:t>’</w:t>
      </w:r>
      <w:r w:rsidR="003447A5" w:rsidRPr="00477EAB">
        <w:rPr>
          <w:lang w:val="fr-FR"/>
        </w:rPr>
        <w:t>elle soit acceptée dans la doctrine juridique dans le monde entier, se heurte aussi à la capacité des personnes handicapées à accéder à certaines œuvres protégées par le droit d</w:t>
      </w:r>
      <w:r w:rsidR="0064359F">
        <w:rPr>
          <w:lang w:val="fr-FR"/>
        </w:rPr>
        <w:t>’</w:t>
      </w:r>
      <w:r w:rsidR="003447A5" w:rsidRPr="00477EAB">
        <w:rPr>
          <w:lang w:val="fr-FR"/>
        </w:rPr>
        <w:t>auteur d</w:t>
      </w:r>
      <w:r w:rsidR="0064359F">
        <w:rPr>
          <w:lang w:val="fr-FR"/>
        </w:rPr>
        <w:t>’</w:t>
      </w:r>
      <w:r w:rsidR="003447A5" w:rsidRPr="00477EAB">
        <w:rPr>
          <w:lang w:val="fr-FR"/>
        </w:rPr>
        <w:t xml:space="preserve">une manière susceptible de </w:t>
      </w:r>
      <w:r w:rsidR="004D5B43" w:rsidRPr="00477EAB">
        <w:rPr>
          <w:lang w:val="fr-FR"/>
        </w:rPr>
        <w:t>créer</w:t>
      </w:r>
      <w:r w:rsidR="003447A5" w:rsidRPr="00477EAB">
        <w:rPr>
          <w:lang w:val="fr-FR"/>
        </w:rPr>
        <w:t xml:space="preserve"> des difficultés pour accéder à ces œuvr</w:t>
      </w:r>
      <w:r w:rsidR="00146784" w:rsidRPr="00477EAB">
        <w:rPr>
          <w:lang w:val="fr-FR"/>
        </w:rPr>
        <w:t>es</w:t>
      </w:r>
      <w:r w:rsidR="00146784">
        <w:rPr>
          <w:lang w:val="fr-FR"/>
        </w:rPr>
        <w:t xml:space="preserve">.  </w:t>
      </w:r>
      <w:r w:rsidR="00146784" w:rsidRPr="00477EAB">
        <w:rPr>
          <w:lang w:val="fr-FR"/>
        </w:rPr>
        <w:t>La</w:t>
      </w:r>
      <w:r w:rsidR="003447A5" w:rsidRPr="00477EAB">
        <w:rPr>
          <w:lang w:val="fr-FR"/>
        </w:rPr>
        <w:t xml:space="preserve"> création et la diffusion de formes accessibles d</w:t>
      </w:r>
      <w:r w:rsidR="0064359F">
        <w:rPr>
          <w:lang w:val="fr-FR"/>
        </w:rPr>
        <w:t>’</w:t>
      </w:r>
      <w:r w:rsidR="003447A5" w:rsidRPr="00477EAB">
        <w:rPr>
          <w:lang w:val="fr-FR"/>
        </w:rPr>
        <w:t>œuvres protégées par le droit d</w:t>
      </w:r>
      <w:r w:rsidR="0064359F">
        <w:rPr>
          <w:lang w:val="fr-FR"/>
        </w:rPr>
        <w:t>’</w:t>
      </w:r>
      <w:r w:rsidR="003447A5" w:rsidRPr="00477EAB">
        <w:rPr>
          <w:lang w:val="fr-FR"/>
        </w:rPr>
        <w:t>auteur – par exemple, une émission de télévision sous</w:t>
      </w:r>
      <w:r w:rsidR="00146784">
        <w:rPr>
          <w:lang w:val="fr-FR"/>
        </w:rPr>
        <w:noBreakHyphen/>
      </w:r>
      <w:r w:rsidR="003447A5" w:rsidRPr="00477EAB">
        <w:rPr>
          <w:lang w:val="fr-FR"/>
        </w:rPr>
        <w:t>titrée ou la version audio d</w:t>
      </w:r>
      <w:r w:rsidR="0064359F">
        <w:rPr>
          <w:lang w:val="fr-FR"/>
        </w:rPr>
        <w:t>’</w:t>
      </w:r>
      <w:r w:rsidR="003447A5" w:rsidRPr="00477EAB">
        <w:rPr>
          <w:lang w:val="fr-FR"/>
        </w:rPr>
        <w:t>un livre – peuvent présenter des difficultés dans la mesure où cela peut mettre en cause les droits exclusifs protégés par les régimes du droit d</w:t>
      </w:r>
      <w:r w:rsidR="0064359F">
        <w:rPr>
          <w:lang w:val="fr-FR"/>
        </w:rPr>
        <w:t>’</w:t>
      </w:r>
      <w:r w:rsidR="003447A5" w:rsidRPr="00477EAB">
        <w:rPr>
          <w:lang w:val="fr-FR"/>
        </w:rPr>
        <w:t>auteur des États membres de l</w:t>
      </w:r>
      <w:r w:rsidR="0064359F">
        <w:rPr>
          <w:lang w:val="fr-FR"/>
        </w:rPr>
        <w:t>’</w:t>
      </w:r>
      <w:r w:rsidR="003447A5" w:rsidRPr="00477EAB">
        <w:rPr>
          <w:lang w:val="fr-FR"/>
        </w:rPr>
        <w:t>OMPI, tels que les droits de reproduction et de distribution</w:t>
      </w:r>
      <w:r w:rsidRPr="00477EAB">
        <w:rPr>
          <w:rStyle w:val="FootnoteReference"/>
          <w:lang w:val="fr-FR"/>
        </w:rPr>
        <w:footnoteReference w:id="2"/>
      </w:r>
      <w:r w:rsidRPr="00477EAB">
        <w:rPr>
          <w:lang w:val="fr-FR"/>
        </w:rPr>
        <w:t>.</w:t>
      </w:r>
      <w:r w:rsidR="00C4000D" w:rsidRPr="00477EAB">
        <w:rPr>
          <w:lang w:val="fr-FR"/>
        </w:rPr>
        <w:t xml:space="preserve"> </w:t>
      </w:r>
      <w:r w:rsidR="003447A5" w:rsidRPr="00477EAB">
        <w:rPr>
          <w:lang w:val="fr-FR"/>
        </w:rPr>
        <w:t xml:space="preserve"> </w:t>
      </w:r>
      <w:r w:rsidRPr="00477EAB">
        <w:rPr>
          <w:lang w:val="fr-FR"/>
        </w:rPr>
        <w:t>La création de versions accessibles d</w:t>
      </w:r>
      <w:r w:rsidR="0064359F">
        <w:rPr>
          <w:lang w:val="fr-FR"/>
        </w:rPr>
        <w:t>’</w:t>
      </w:r>
      <w:r w:rsidR="003447A5" w:rsidRPr="00477EAB">
        <w:rPr>
          <w:lang w:val="fr-FR"/>
        </w:rPr>
        <w:t>œ</w:t>
      </w:r>
      <w:r w:rsidRPr="00477EAB">
        <w:rPr>
          <w:lang w:val="fr-FR"/>
        </w:rPr>
        <w:t>uvres protégées est nécessaire pour garantir que les personnes handicapées puissent participer pleinement à la vie de leur société et y contribuer.</w:t>
      </w:r>
    </w:p>
    <w:p w:rsidR="00EC1FFD" w:rsidRPr="00477EAB" w:rsidRDefault="002E5E4C" w:rsidP="00477EAB">
      <w:pPr>
        <w:pStyle w:val="ONUMFS"/>
        <w:numPr>
          <w:ilvl w:val="0"/>
          <w:numId w:val="0"/>
        </w:numPr>
        <w:rPr>
          <w:lang w:val="fr-FR"/>
        </w:rPr>
      </w:pPr>
      <w:r w:rsidRPr="00477EAB">
        <w:rPr>
          <w:lang w:val="fr-FR"/>
        </w:rPr>
        <w:t>Alors que</w:t>
      </w:r>
      <w:r w:rsidR="003447A5" w:rsidRPr="00477EAB">
        <w:rPr>
          <w:lang w:val="fr-FR"/>
        </w:rPr>
        <w:t xml:space="preserve"> de nouvelles technologies comme la reconnaissance automatique de la parole commencent à se concrétiser, il existe un grand potentiel pour </w:t>
      </w:r>
      <w:r w:rsidRPr="00477EAB">
        <w:rPr>
          <w:lang w:val="fr-FR"/>
        </w:rPr>
        <w:t>améliorer</w:t>
      </w:r>
      <w:r w:rsidR="003447A5" w:rsidRPr="00477EAB">
        <w:rPr>
          <w:lang w:val="fr-FR"/>
        </w:rPr>
        <w:t xml:space="preserve"> l</w:t>
      </w:r>
      <w:r w:rsidR="0064359F">
        <w:rPr>
          <w:lang w:val="fr-FR"/>
        </w:rPr>
        <w:t>’</w:t>
      </w:r>
      <w:r w:rsidR="003447A5" w:rsidRPr="00477EAB">
        <w:rPr>
          <w:lang w:val="fr-FR"/>
        </w:rPr>
        <w:t>accès aux œuvres protégées par le droit d</w:t>
      </w:r>
      <w:r w:rsidR="0064359F">
        <w:rPr>
          <w:lang w:val="fr-FR"/>
        </w:rPr>
        <w:t>’</w:t>
      </w:r>
      <w:r w:rsidR="003447A5" w:rsidRPr="00477EAB">
        <w:rPr>
          <w:lang w:val="fr-FR"/>
        </w:rPr>
        <w:t>auteur et aux œuvres protégées par des droits connexes (</w:t>
      </w:r>
      <w:r w:rsidR="009058D1" w:rsidRPr="00477EAB">
        <w:rPr>
          <w:lang w:val="fr-FR"/>
        </w:rPr>
        <w:t>“</w:t>
      </w:r>
      <w:r w:rsidR="003447A5" w:rsidRPr="00477EAB">
        <w:rPr>
          <w:lang w:val="fr-FR"/>
        </w:rPr>
        <w:t>œuvres protégées</w:t>
      </w:r>
      <w:r w:rsidR="009058D1" w:rsidRPr="00477EAB">
        <w:rPr>
          <w:lang w:val="fr-FR"/>
        </w:rPr>
        <w:t>”</w:t>
      </w:r>
      <w:r w:rsidR="003447A5" w:rsidRPr="00477EAB">
        <w:rPr>
          <w:lang w:val="fr-FR"/>
        </w:rPr>
        <w:t>) en facilitant l</w:t>
      </w:r>
      <w:r w:rsidR="0064359F">
        <w:rPr>
          <w:lang w:val="fr-FR"/>
        </w:rPr>
        <w:t>’</w:t>
      </w:r>
      <w:r w:rsidR="003447A5" w:rsidRPr="00477EAB">
        <w:rPr>
          <w:lang w:val="fr-FR"/>
        </w:rPr>
        <w:t xml:space="preserve">accessibilité des œuvres à </w:t>
      </w:r>
      <w:r w:rsidRPr="00477EAB">
        <w:rPr>
          <w:lang w:val="fr-FR"/>
        </w:rPr>
        <w:t>grande échel</w:t>
      </w:r>
      <w:r w:rsidR="00146784" w:rsidRPr="00477EAB">
        <w:rPr>
          <w:lang w:val="fr-FR"/>
        </w:rPr>
        <w:t>le</w:t>
      </w:r>
      <w:r w:rsidR="00146784">
        <w:rPr>
          <w:lang w:val="fr-FR"/>
        </w:rPr>
        <w:t xml:space="preserve">.  </w:t>
      </w:r>
      <w:r w:rsidR="00146784" w:rsidRPr="00477EAB">
        <w:rPr>
          <w:lang w:val="fr-FR"/>
        </w:rPr>
        <w:t>To</w:t>
      </w:r>
      <w:r w:rsidRPr="00477EAB">
        <w:rPr>
          <w:lang w:val="fr-FR"/>
        </w:rPr>
        <w:t xml:space="preserve">utefois, </w:t>
      </w:r>
      <w:r w:rsidR="003447A5" w:rsidRPr="00477EAB">
        <w:rPr>
          <w:lang w:val="fr-FR"/>
        </w:rPr>
        <w:t>il est nécessaire de réfléchir pr</w:t>
      </w:r>
      <w:r w:rsidRPr="00477EAB">
        <w:rPr>
          <w:lang w:val="fr-FR"/>
        </w:rPr>
        <w:t>éalable</w:t>
      </w:r>
      <w:r w:rsidR="003447A5" w:rsidRPr="00477EAB">
        <w:rPr>
          <w:lang w:val="fr-FR"/>
        </w:rPr>
        <w:t>ment à la manière dont le droit d</w:t>
      </w:r>
      <w:r w:rsidR="0064359F">
        <w:rPr>
          <w:lang w:val="fr-FR"/>
        </w:rPr>
        <w:t>’</w:t>
      </w:r>
      <w:r w:rsidR="003447A5" w:rsidRPr="00477EAB">
        <w:rPr>
          <w:lang w:val="fr-FR"/>
        </w:rPr>
        <w:t>auteur et les droits connexes peuvent faciliter l</w:t>
      </w:r>
      <w:r w:rsidR="0064359F">
        <w:rPr>
          <w:lang w:val="fr-FR"/>
        </w:rPr>
        <w:t>’</w:t>
      </w:r>
      <w:r w:rsidR="003447A5" w:rsidRPr="00477EAB">
        <w:rPr>
          <w:lang w:val="fr-FR"/>
        </w:rPr>
        <w:t>accès des personnes handicapées</w:t>
      </w:r>
      <w:r w:rsidRPr="00477EAB">
        <w:rPr>
          <w:lang w:val="fr-FR"/>
        </w:rPr>
        <w:t xml:space="preserve"> à ces œuvres</w:t>
      </w:r>
      <w:r w:rsidR="00C4000D" w:rsidRPr="00477EAB">
        <w:rPr>
          <w:lang w:val="fr-FR"/>
        </w:rPr>
        <w:t>.</w:t>
      </w:r>
    </w:p>
    <w:p w:rsidR="00EC1FFD" w:rsidRPr="00477EAB" w:rsidRDefault="009E7A53" w:rsidP="00477EAB">
      <w:pPr>
        <w:pStyle w:val="ONUMFS"/>
        <w:numPr>
          <w:ilvl w:val="0"/>
          <w:numId w:val="0"/>
        </w:numPr>
        <w:rPr>
          <w:lang w:val="fr-FR"/>
        </w:rPr>
      </w:pPr>
      <w:bookmarkStart w:id="15" w:name="_3znysh7"/>
      <w:bookmarkEnd w:id="15"/>
      <w:r w:rsidRPr="00477EAB">
        <w:rPr>
          <w:lang w:val="fr-FR"/>
        </w:rPr>
        <w:t xml:space="preserve">Lors de sessions précédentes </w:t>
      </w:r>
      <w:r w:rsidR="006911BE" w:rsidRPr="00477EAB">
        <w:rPr>
          <w:lang w:val="fr-FR"/>
        </w:rPr>
        <w:t>du Comité permanent du droit d</w:t>
      </w:r>
      <w:r w:rsidR="0064359F">
        <w:rPr>
          <w:lang w:val="fr-FR"/>
        </w:rPr>
        <w:t>’</w:t>
      </w:r>
      <w:r w:rsidR="006911BE" w:rsidRPr="00477EAB">
        <w:rPr>
          <w:lang w:val="fr-FR"/>
        </w:rPr>
        <w:t>auteur et des droits connexes (ci</w:t>
      </w:r>
      <w:r w:rsidR="00146784">
        <w:rPr>
          <w:lang w:val="fr-FR"/>
        </w:rPr>
        <w:noBreakHyphen/>
      </w:r>
      <w:r w:rsidR="006911BE" w:rsidRPr="00477EAB">
        <w:rPr>
          <w:lang w:val="fr-FR"/>
        </w:rPr>
        <w:t xml:space="preserve">après dénommé “SCCR”), les États membres ont demandé au </w:t>
      </w:r>
      <w:r w:rsidRPr="00477EAB">
        <w:rPr>
          <w:lang w:val="fr-FR"/>
        </w:rPr>
        <w:t>S</w:t>
      </w:r>
      <w:r w:rsidR="006911BE" w:rsidRPr="00477EAB">
        <w:rPr>
          <w:lang w:val="fr-FR"/>
        </w:rPr>
        <w:t>ecrétariat de l</w:t>
      </w:r>
      <w:r w:rsidR="0064359F">
        <w:rPr>
          <w:lang w:val="fr-FR"/>
        </w:rPr>
        <w:t>’</w:t>
      </w:r>
      <w:r w:rsidR="006911BE" w:rsidRPr="00477EAB">
        <w:rPr>
          <w:lang w:val="fr-FR"/>
        </w:rPr>
        <w:t xml:space="preserve">OMPI de faire établir une étude exploratoire sur les limitations et exceptions applicables aux personnes </w:t>
      </w:r>
      <w:r w:rsidR="006911BE" w:rsidRPr="00477EAB">
        <w:rPr>
          <w:lang w:val="fr-FR"/>
        </w:rPr>
        <w:lastRenderedPageBreak/>
        <w:t>handicap</w:t>
      </w:r>
      <w:r w:rsidRPr="00477EAB">
        <w:rPr>
          <w:lang w:val="fr-FR"/>
        </w:rPr>
        <w:t>ée</w:t>
      </w:r>
      <w:r w:rsidR="006911BE" w:rsidRPr="00477EAB">
        <w:rPr>
          <w:lang w:val="fr-FR"/>
        </w:rPr>
        <w:t>s qui ne seraient actuellement pas couvertes par le Traité de Marrakech visant à faciliter l</w:t>
      </w:r>
      <w:r w:rsidR="0064359F">
        <w:rPr>
          <w:lang w:val="fr-FR"/>
        </w:rPr>
        <w:t>’</w:t>
      </w:r>
      <w:r w:rsidR="006911BE" w:rsidRPr="00477EAB">
        <w:rPr>
          <w:lang w:val="fr-FR"/>
        </w:rPr>
        <w:t>accès des aveugles, des déficients visuels et des personnes ayant d</w:t>
      </w:r>
      <w:r w:rsidR="0064359F">
        <w:rPr>
          <w:lang w:val="fr-FR"/>
        </w:rPr>
        <w:t>’</w:t>
      </w:r>
      <w:r w:rsidR="006911BE" w:rsidRPr="00477EAB">
        <w:rPr>
          <w:lang w:val="fr-FR"/>
        </w:rPr>
        <w:t>autres difficultés de lecture des textes imprimés aux œuvres publiées</w:t>
      </w:r>
      <w:r w:rsidR="006911BE" w:rsidRPr="00477EAB">
        <w:rPr>
          <w:rStyle w:val="FootnoteReference"/>
          <w:lang w:val="fr-FR"/>
        </w:rPr>
        <w:footnoteReference w:id="3"/>
      </w:r>
      <w:r w:rsidR="006911BE" w:rsidRPr="00477EAB">
        <w:rPr>
          <w:lang w:val="fr-FR"/>
        </w:rPr>
        <w:t>.</w:t>
      </w:r>
    </w:p>
    <w:p w:rsidR="00EC5D18" w:rsidRDefault="002E5E4C" w:rsidP="00477EAB">
      <w:pPr>
        <w:pStyle w:val="ONUMFS"/>
        <w:numPr>
          <w:ilvl w:val="0"/>
          <w:numId w:val="0"/>
        </w:numPr>
        <w:rPr>
          <w:lang w:val="fr-FR"/>
        </w:rPr>
      </w:pPr>
      <w:r w:rsidRPr="00477EAB">
        <w:rPr>
          <w:lang w:val="fr-FR"/>
        </w:rPr>
        <w:t>La présente</w:t>
      </w:r>
      <w:r w:rsidR="00343A3F" w:rsidRPr="00477EAB">
        <w:rPr>
          <w:lang w:val="fr-FR"/>
        </w:rPr>
        <w:t xml:space="preserve"> étude s</w:t>
      </w:r>
      <w:r w:rsidR="0064359F">
        <w:rPr>
          <w:lang w:val="fr-FR"/>
        </w:rPr>
        <w:t>’</w:t>
      </w:r>
      <w:r w:rsidR="00343A3F" w:rsidRPr="00477EAB">
        <w:rPr>
          <w:lang w:val="fr-FR"/>
        </w:rPr>
        <w:t>appuie sur l</w:t>
      </w:r>
      <w:r w:rsidR="0064359F">
        <w:rPr>
          <w:lang w:val="fr-FR"/>
        </w:rPr>
        <w:t>’</w:t>
      </w:r>
      <w:r w:rsidR="00343A3F" w:rsidRPr="00477EAB">
        <w:rPr>
          <w:lang w:val="fr-FR"/>
        </w:rPr>
        <w:t>étude réalisée précédemment</w:t>
      </w:r>
      <w:r w:rsidRPr="00477EAB">
        <w:rPr>
          <w:lang w:val="fr-FR"/>
        </w:rPr>
        <w:t>, qui a</w:t>
      </w:r>
      <w:r w:rsidR="00343A3F" w:rsidRPr="00477EAB">
        <w:rPr>
          <w:lang w:val="fr-FR"/>
        </w:rPr>
        <w:t xml:space="preserve"> </w:t>
      </w:r>
      <w:r w:rsidRPr="00477EAB">
        <w:rPr>
          <w:lang w:val="fr-FR"/>
        </w:rPr>
        <w:t xml:space="preserve">été présentée </w:t>
      </w:r>
      <w:r w:rsidR="00343A3F" w:rsidRPr="00477EAB">
        <w:rPr>
          <w:lang w:val="fr-FR"/>
        </w:rPr>
        <w:t>pour la première fois en novembre</w:t>
      </w:r>
      <w:r w:rsidR="009058D1" w:rsidRPr="00477EAB">
        <w:rPr>
          <w:lang w:val="fr-FR"/>
        </w:rPr>
        <w:t> </w:t>
      </w:r>
      <w:r w:rsidR="00343A3F" w:rsidRPr="00477EAB">
        <w:rPr>
          <w:lang w:val="fr-FR"/>
        </w:rPr>
        <w:t>2017</w:t>
      </w:r>
      <w:r w:rsidR="00343A3F" w:rsidRPr="00477EAB">
        <w:rPr>
          <w:rStyle w:val="FootnoteReference"/>
          <w:lang w:val="fr-FR"/>
        </w:rPr>
        <w:footnoteReference w:id="4"/>
      </w:r>
      <w:r w:rsidR="00343A3F" w:rsidRPr="00477EAB">
        <w:rPr>
          <w:lang w:val="fr-FR"/>
        </w:rPr>
        <w:t>.</w:t>
      </w:r>
      <w:r w:rsidR="00C4000D" w:rsidRPr="00477EAB">
        <w:rPr>
          <w:lang w:val="fr-FR"/>
        </w:rPr>
        <w:t xml:space="preserve"> </w:t>
      </w:r>
      <w:r w:rsidRPr="00477EAB">
        <w:rPr>
          <w:lang w:val="fr-FR"/>
        </w:rPr>
        <w:t xml:space="preserve"> </w:t>
      </w:r>
      <w:r w:rsidR="00343A3F" w:rsidRPr="00477EAB">
        <w:rPr>
          <w:lang w:val="fr-FR"/>
        </w:rPr>
        <w:t>Sa méthodologie est toutefois bien différen</w:t>
      </w:r>
      <w:r w:rsidR="00146784" w:rsidRPr="00477EAB">
        <w:rPr>
          <w:lang w:val="fr-FR"/>
        </w:rPr>
        <w:t>te</w:t>
      </w:r>
      <w:r w:rsidR="00146784">
        <w:rPr>
          <w:lang w:val="fr-FR"/>
        </w:rPr>
        <w:t xml:space="preserve">.  </w:t>
      </w:r>
      <w:r w:rsidR="00146784" w:rsidRPr="00477EAB">
        <w:rPr>
          <w:lang w:val="fr-FR"/>
        </w:rPr>
        <w:t>Au</w:t>
      </w:r>
      <w:r w:rsidR="00343A3F" w:rsidRPr="00477EAB">
        <w:rPr>
          <w:lang w:val="fr-FR"/>
        </w:rPr>
        <w:t xml:space="preserve"> lieu de recueillir directement des données auprès des États membres de l</w:t>
      </w:r>
      <w:r w:rsidR="0064359F">
        <w:rPr>
          <w:lang w:val="fr-FR"/>
        </w:rPr>
        <w:t>’</w:t>
      </w:r>
      <w:r w:rsidR="00343A3F" w:rsidRPr="00477EAB">
        <w:rPr>
          <w:lang w:val="fr-FR"/>
        </w:rPr>
        <w:t>OMPI au moyen d</w:t>
      </w:r>
      <w:r w:rsidR="0064359F">
        <w:rPr>
          <w:lang w:val="fr-FR"/>
        </w:rPr>
        <w:t>’</w:t>
      </w:r>
      <w:r w:rsidR="00343A3F" w:rsidRPr="00477EAB">
        <w:rPr>
          <w:lang w:val="fr-FR"/>
        </w:rPr>
        <w:t xml:space="preserve">un questionnaire sur mesure, les auteurs de la présente étude </w:t>
      </w:r>
      <w:r w:rsidRPr="00477EAB">
        <w:rPr>
          <w:lang w:val="fr-FR"/>
        </w:rPr>
        <w:t>se sont penchés</w:t>
      </w:r>
      <w:r w:rsidR="00343A3F" w:rsidRPr="00477EAB">
        <w:rPr>
          <w:lang w:val="fr-FR"/>
        </w:rPr>
        <w:t xml:space="preserve"> de manière indépendante </w:t>
      </w:r>
      <w:r w:rsidRPr="00477EAB">
        <w:rPr>
          <w:lang w:val="fr-FR"/>
        </w:rPr>
        <w:t xml:space="preserve">sur </w:t>
      </w:r>
      <w:r w:rsidR="00343A3F" w:rsidRPr="00477EAB">
        <w:rPr>
          <w:lang w:val="fr-FR"/>
        </w:rPr>
        <w:t>les lois relatives au droit d</w:t>
      </w:r>
      <w:r w:rsidR="0064359F">
        <w:rPr>
          <w:lang w:val="fr-FR"/>
        </w:rPr>
        <w:t>’</w:t>
      </w:r>
      <w:r w:rsidR="00343A3F" w:rsidRPr="00477EAB">
        <w:rPr>
          <w:lang w:val="fr-FR"/>
        </w:rPr>
        <w:t>auteur d</w:t>
      </w:r>
      <w:r w:rsidRPr="00477EAB">
        <w:rPr>
          <w:lang w:val="fr-FR"/>
        </w:rPr>
        <w:t>ans</w:t>
      </w:r>
      <w:r w:rsidR="00343A3F" w:rsidRPr="00477EAB">
        <w:rPr>
          <w:lang w:val="fr-FR"/>
        </w:rPr>
        <w:t xml:space="preserve"> chaque État membre de l</w:t>
      </w:r>
      <w:r w:rsidR="0064359F">
        <w:rPr>
          <w:lang w:val="fr-FR"/>
        </w:rPr>
        <w:t>’</w:t>
      </w:r>
      <w:r w:rsidR="00343A3F" w:rsidRPr="00477EAB">
        <w:rPr>
          <w:lang w:val="fr-FR"/>
        </w:rPr>
        <w:t>OMPI.</w:t>
      </w:r>
      <w:r w:rsidR="00C4000D" w:rsidRPr="00477EAB">
        <w:rPr>
          <w:lang w:val="fr-FR"/>
        </w:rPr>
        <w:t xml:space="preserve"> </w:t>
      </w:r>
      <w:r w:rsidRPr="00477EAB">
        <w:rPr>
          <w:lang w:val="fr-FR"/>
        </w:rPr>
        <w:t xml:space="preserve"> L</w:t>
      </w:r>
      <w:r w:rsidR="0064359F">
        <w:rPr>
          <w:lang w:val="fr-FR"/>
        </w:rPr>
        <w:t>’</w:t>
      </w:r>
      <w:r w:rsidR="00343A3F" w:rsidRPr="00477EAB">
        <w:rPr>
          <w:lang w:val="fr-FR"/>
        </w:rPr>
        <w:t xml:space="preserve">étude présente une analyse plus approfondie de la situation actuelle et </w:t>
      </w:r>
      <w:r w:rsidR="000F3FF6" w:rsidRPr="00477EAB">
        <w:rPr>
          <w:lang w:val="fr-FR"/>
        </w:rPr>
        <w:t xml:space="preserve">indique dans quelle </w:t>
      </w:r>
      <w:r w:rsidR="00343A3F" w:rsidRPr="00477EAB">
        <w:rPr>
          <w:lang w:val="fr-FR"/>
        </w:rPr>
        <w:t xml:space="preserve">mesure les États membres ont adopté ou mis en </w:t>
      </w:r>
      <w:r w:rsidR="0029658A" w:rsidRPr="00477EAB">
        <w:rPr>
          <w:lang w:val="fr-FR"/>
        </w:rPr>
        <w:t>œ</w:t>
      </w:r>
      <w:r w:rsidR="00343A3F" w:rsidRPr="00477EAB">
        <w:rPr>
          <w:lang w:val="fr-FR"/>
        </w:rPr>
        <w:t xml:space="preserve">uvre les </w:t>
      </w:r>
      <w:r w:rsidR="00DD0CFD" w:rsidRPr="00477EAB">
        <w:rPr>
          <w:lang w:val="fr-FR"/>
        </w:rPr>
        <w:t>actions prévues par le</w:t>
      </w:r>
      <w:r w:rsidR="00343A3F" w:rsidRPr="00477EAB">
        <w:rPr>
          <w:lang w:val="fr-FR"/>
        </w:rPr>
        <w:t xml:space="preserve"> Traité de Marrakech.</w:t>
      </w:r>
    </w:p>
    <w:p w:rsidR="00EC1FFD" w:rsidRPr="00477EAB" w:rsidRDefault="00477EAB" w:rsidP="00477EAB">
      <w:pPr>
        <w:pStyle w:val="Heading1"/>
        <w:rPr>
          <w:lang w:val="fr-FR"/>
        </w:rPr>
      </w:pPr>
      <w:bookmarkStart w:id="16" w:name="_3r1peabwkk67"/>
      <w:bookmarkEnd w:id="16"/>
      <w:bookmarkEnd w:id="9"/>
      <w:bookmarkEnd w:id="10"/>
      <w:bookmarkEnd w:id="11"/>
      <w:r w:rsidRPr="00477EAB">
        <w:rPr>
          <w:lang w:val="fr-FR"/>
        </w:rPr>
        <w:t>Rappel</w:t>
      </w:r>
    </w:p>
    <w:p w:rsidR="00477EAB" w:rsidRPr="00477EAB" w:rsidRDefault="00477EAB" w:rsidP="00477EAB">
      <w:pPr>
        <w:rPr>
          <w:lang w:val="fr-FR"/>
        </w:rPr>
      </w:pPr>
    </w:p>
    <w:p w:rsidR="00EC1FFD" w:rsidRPr="00477EAB" w:rsidRDefault="009E7A53" w:rsidP="00477EAB">
      <w:pPr>
        <w:pStyle w:val="ONUMFS"/>
        <w:numPr>
          <w:ilvl w:val="0"/>
          <w:numId w:val="0"/>
        </w:numPr>
        <w:rPr>
          <w:lang w:val="fr-FR"/>
        </w:rPr>
      </w:pPr>
      <w:r w:rsidRPr="00477EAB">
        <w:rPr>
          <w:lang w:val="fr-FR"/>
        </w:rPr>
        <w:t>L</w:t>
      </w:r>
      <w:r w:rsidR="0064359F">
        <w:rPr>
          <w:lang w:val="fr-FR"/>
        </w:rPr>
        <w:t>’</w:t>
      </w:r>
      <w:r w:rsidRPr="00477EAB">
        <w:rPr>
          <w:lang w:val="fr-FR"/>
        </w:rPr>
        <w:t xml:space="preserve">Organisation mondiale de la </w:t>
      </w:r>
      <w:r w:rsidR="00DD0CFD" w:rsidRPr="00477EAB">
        <w:rPr>
          <w:lang w:val="fr-FR"/>
        </w:rPr>
        <w:t>S</w:t>
      </w:r>
      <w:r w:rsidRPr="00477EAB">
        <w:rPr>
          <w:lang w:val="fr-FR"/>
        </w:rPr>
        <w:t>anté (OMS) estime qu</w:t>
      </w:r>
      <w:r w:rsidR="0064359F">
        <w:rPr>
          <w:lang w:val="fr-FR"/>
        </w:rPr>
        <w:t>’</w:t>
      </w:r>
      <w:r w:rsidRPr="00477EAB">
        <w:rPr>
          <w:lang w:val="fr-FR"/>
        </w:rPr>
        <w:t xml:space="preserve">environ 15% </w:t>
      </w:r>
      <w:r w:rsidR="00DD0CFD" w:rsidRPr="00477EAB">
        <w:rPr>
          <w:lang w:val="fr-FR"/>
        </w:rPr>
        <w:t>de la population mondiale présente</w:t>
      </w:r>
      <w:r w:rsidR="00CD3421" w:rsidRPr="00477EAB">
        <w:rPr>
          <w:lang w:val="fr-FR"/>
        </w:rPr>
        <w:t xml:space="preserve"> </w:t>
      </w:r>
      <w:r w:rsidRPr="00477EAB">
        <w:rPr>
          <w:lang w:val="fr-FR"/>
        </w:rPr>
        <w:t>un handicap</w:t>
      </w:r>
      <w:r w:rsidRPr="00477EAB">
        <w:rPr>
          <w:rStyle w:val="FootnoteReference"/>
          <w:lang w:val="fr-FR"/>
        </w:rPr>
        <w:footnoteReference w:id="5"/>
      </w:r>
      <w:r w:rsidRPr="00477EAB">
        <w:rPr>
          <w:lang w:val="fr-FR"/>
        </w:rPr>
        <w:t>.</w:t>
      </w:r>
      <w:r w:rsidR="00C4000D" w:rsidRPr="00477EAB">
        <w:rPr>
          <w:lang w:val="fr-FR"/>
        </w:rPr>
        <w:t xml:space="preserve"> </w:t>
      </w:r>
      <w:r w:rsidR="00CD3421" w:rsidRPr="00477EAB">
        <w:rPr>
          <w:lang w:val="fr-FR"/>
        </w:rPr>
        <w:t xml:space="preserve"> </w:t>
      </w:r>
      <w:r w:rsidRPr="00477EAB">
        <w:rPr>
          <w:lang w:val="fr-FR"/>
        </w:rPr>
        <w:t xml:space="preserve">Les handicaps </w:t>
      </w:r>
      <w:r w:rsidR="00BD166C" w:rsidRPr="00477EAB">
        <w:rPr>
          <w:lang w:val="fr-FR"/>
        </w:rPr>
        <w:t>touchent</w:t>
      </w:r>
      <w:r w:rsidRPr="00477EAB">
        <w:rPr>
          <w:lang w:val="fr-FR"/>
        </w:rPr>
        <w:t xml:space="preserve"> de manière disproportionnée </w:t>
      </w:r>
      <w:r w:rsidR="00CD3421" w:rsidRPr="00477EAB">
        <w:rPr>
          <w:lang w:val="fr-FR"/>
        </w:rPr>
        <w:t>la population</w:t>
      </w:r>
      <w:r w:rsidRPr="00477EAB">
        <w:rPr>
          <w:lang w:val="fr-FR"/>
        </w:rPr>
        <w:t xml:space="preserve"> des pays en développement</w:t>
      </w:r>
      <w:r w:rsidRPr="00477EAB">
        <w:rPr>
          <w:rStyle w:val="FootnoteReference"/>
          <w:lang w:val="fr-FR"/>
        </w:rPr>
        <w:footnoteReference w:id="6"/>
      </w:r>
      <w:r w:rsidRPr="00477EAB">
        <w:rPr>
          <w:lang w:val="fr-FR"/>
        </w:rPr>
        <w:t>.</w:t>
      </w:r>
      <w:r w:rsidR="00C4000D" w:rsidRPr="00477EAB">
        <w:rPr>
          <w:lang w:val="fr-FR"/>
        </w:rPr>
        <w:t xml:space="preserve"> </w:t>
      </w:r>
      <w:r w:rsidR="009058D1" w:rsidRPr="00477EAB">
        <w:rPr>
          <w:lang w:val="fr-FR"/>
        </w:rPr>
        <w:t xml:space="preserve"> </w:t>
      </w:r>
      <w:r w:rsidRPr="00477EAB">
        <w:rPr>
          <w:lang w:val="fr-FR"/>
        </w:rPr>
        <w:t xml:space="preserve">En outre, </w:t>
      </w:r>
      <w:r w:rsidR="00BD166C" w:rsidRPr="00477EAB">
        <w:rPr>
          <w:lang w:val="fr-FR"/>
        </w:rPr>
        <w:t xml:space="preserve">selon </w:t>
      </w:r>
      <w:r w:rsidRPr="00477EAB">
        <w:rPr>
          <w:lang w:val="fr-FR"/>
        </w:rPr>
        <w:t>l</w:t>
      </w:r>
      <w:r w:rsidR="0064359F">
        <w:rPr>
          <w:lang w:val="fr-FR"/>
        </w:rPr>
        <w:t>’</w:t>
      </w:r>
      <w:r w:rsidRPr="00477EAB">
        <w:rPr>
          <w:lang w:val="fr-FR"/>
        </w:rPr>
        <w:t>OMS</w:t>
      </w:r>
      <w:r w:rsidR="00BD166C" w:rsidRPr="00477EAB">
        <w:rPr>
          <w:lang w:val="fr-FR"/>
        </w:rPr>
        <w:t xml:space="preserve">, </w:t>
      </w:r>
      <w:r w:rsidRPr="00477EAB">
        <w:rPr>
          <w:lang w:val="fr-FR"/>
        </w:rPr>
        <w:t xml:space="preserve">le taux </w:t>
      </w:r>
      <w:r w:rsidR="00BD166C" w:rsidRPr="00477EAB">
        <w:rPr>
          <w:lang w:val="fr-FR"/>
        </w:rPr>
        <w:t>de personnes handicapées</w:t>
      </w:r>
      <w:r w:rsidRPr="00477EAB">
        <w:rPr>
          <w:lang w:val="fr-FR"/>
        </w:rPr>
        <w:t xml:space="preserve"> est en hausse</w:t>
      </w:r>
      <w:r w:rsidRPr="00477EAB">
        <w:rPr>
          <w:rStyle w:val="FootnoteReference"/>
          <w:lang w:val="fr-FR"/>
        </w:rPr>
        <w:footnoteReference w:id="7"/>
      </w:r>
      <w:r w:rsidRPr="00477EAB">
        <w:rPr>
          <w:lang w:val="fr-FR"/>
        </w:rPr>
        <w:t>.</w:t>
      </w:r>
      <w:r w:rsidR="00C4000D" w:rsidRPr="00477EAB">
        <w:rPr>
          <w:lang w:val="fr-FR"/>
        </w:rPr>
        <w:t xml:space="preserve"> </w:t>
      </w:r>
      <w:r w:rsidR="00BD166C" w:rsidRPr="00477EAB">
        <w:rPr>
          <w:lang w:val="fr-FR"/>
        </w:rPr>
        <w:t xml:space="preserve"> Dans son préambule, la Convention </w:t>
      </w:r>
      <w:r w:rsidR="00C33543" w:rsidRPr="00477EAB">
        <w:rPr>
          <w:lang w:val="fr-FR"/>
        </w:rPr>
        <w:t xml:space="preserve">des </w:t>
      </w:r>
      <w:r w:rsidR="0064359F">
        <w:rPr>
          <w:lang w:val="fr-FR"/>
        </w:rPr>
        <w:t>Nations Unies</w:t>
      </w:r>
      <w:r w:rsidR="00C33543" w:rsidRPr="00477EAB">
        <w:rPr>
          <w:lang w:val="fr-FR"/>
        </w:rPr>
        <w:t xml:space="preserve"> relative aux droits des personnes handicapées </w:t>
      </w:r>
      <w:r w:rsidR="00C4000D" w:rsidRPr="00477EAB">
        <w:rPr>
          <w:lang w:val="fr-FR"/>
        </w:rPr>
        <w:t>conceptuali</w:t>
      </w:r>
      <w:r w:rsidR="00C33543" w:rsidRPr="00477EAB">
        <w:rPr>
          <w:lang w:val="fr-FR"/>
        </w:rPr>
        <w:t>se le handicap de façon générale</w:t>
      </w:r>
      <w:r w:rsidR="0064359F">
        <w:rPr>
          <w:lang w:val="fr-FR"/>
        </w:rPr>
        <w:t> :</w:t>
      </w:r>
    </w:p>
    <w:p w:rsidR="00EC5D18" w:rsidRDefault="00C33543" w:rsidP="00477EAB">
      <w:pPr>
        <w:pStyle w:val="ONUMFS"/>
        <w:numPr>
          <w:ilvl w:val="0"/>
          <w:numId w:val="0"/>
        </w:numPr>
        <w:ind w:left="567"/>
        <w:rPr>
          <w:lang w:val="fr-FR"/>
        </w:rPr>
      </w:pPr>
      <w:r w:rsidRPr="00477EAB">
        <w:rPr>
          <w:lang w:val="fr-FR"/>
        </w:rPr>
        <w:t>Le handicap résulte de l</w:t>
      </w:r>
      <w:r w:rsidR="0064359F">
        <w:rPr>
          <w:lang w:val="fr-FR"/>
        </w:rPr>
        <w:t>’</w:t>
      </w:r>
      <w:r w:rsidRPr="00477EAB">
        <w:rPr>
          <w:lang w:val="fr-FR"/>
        </w:rPr>
        <w:t>interaction entre des personnes présentant des incapacités et les barrières comportementales et environnementales qui font obstacle à leur pleine et effective participation à la société sur la base de l</w:t>
      </w:r>
      <w:r w:rsidR="0064359F">
        <w:rPr>
          <w:lang w:val="fr-FR"/>
        </w:rPr>
        <w:t>’</w:t>
      </w:r>
      <w:r w:rsidRPr="00477EAB">
        <w:rPr>
          <w:lang w:val="fr-FR"/>
        </w:rPr>
        <w:t>égalité avec les autres</w:t>
      </w:r>
      <w:r w:rsidR="00C4000D" w:rsidRPr="00477EAB">
        <w:rPr>
          <w:rStyle w:val="FootnoteReference"/>
          <w:lang w:val="fr-FR"/>
        </w:rPr>
        <w:footnoteReference w:id="8"/>
      </w:r>
      <w:r w:rsidRPr="00477EAB">
        <w:rPr>
          <w:lang w:val="fr-FR"/>
        </w:rPr>
        <w:t>.</w:t>
      </w:r>
    </w:p>
    <w:p w:rsidR="00EC1FFD" w:rsidRPr="00477EAB" w:rsidRDefault="005E1E2D" w:rsidP="00477EAB">
      <w:pPr>
        <w:pStyle w:val="ONUMFS"/>
        <w:numPr>
          <w:ilvl w:val="0"/>
          <w:numId w:val="0"/>
        </w:numPr>
        <w:rPr>
          <w:lang w:val="fr-FR"/>
        </w:rPr>
      </w:pPr>
      <w:r w:rsidRPr="00477EAB">
        <w:rPr>
          <w:lang w:val="fr-FR"/>
        </w:rPr>
        <w:t>Cette conception du handicap fondée sur les droits de l</w:t>
      </w:r>
      <w:r w:rsidR="0064359F">
        <w:rPr>
          <w:lang w:val="fr-FR"/>
        </w:rPr>
        <w:t>’</w:t>
      </w:r>
      <w:r w:rsidRPr="00477EAB">
        <w:rPr>
          <w:lang w:val="fr-FR"/>
        </w:rPr>
        <w:t xml:space="preserve">homme </w:t>
      </w:r>
      <w:r w:rsidR="002F3303" w:rsidRPr="00477EAB">
        <w:rPr>
          <w:lang w:val="fr-FR"/>
        </w:rPr>
        <w:t>constitue une évolution</w:t>
      </w:r>
      <w:r w:rsidRPr="00477EAB">
        <w:rPr>
          <w:lang w:val="fr-FR"/>
        </w:rPr>
        <w:t xml:space="preserve"> par rapport aux modèles médicaux qui sont considérés comme une limitation des droits des personnes handicapées et qui empêchent leur pleine participation à la société</w:t>
      </w:r>
      <w:r w:rsidR="00C4000D" w:rsidRPr="00477EAB">
        <w:rPr>
          <w:rStyle w:val="FootnoteReference"/>
          <w:lang w:val="fr-FR"/>
        </w:rPr>
        <w:footnoteReference w:id="9"/>
      </w:r>
      <w:r w:rsidRPr="00477EAB">
        <w:rPr>
          <w:lang w:val="fr-FR"/>
        </w:rPr>
        <w:t>.  Comme nous l</w:t>
      </w:r>
      <w:r w:rsidR="0064359F">
        <w:rPr>
          <w:lang w:val="fr-FR"/>
        </w:rPr>
        <w:t>’</w:t>
      </w:r>
      <w:r w:rsidRPr="00477EAB">
        <w:rPr>
          <w:lang w:val="fr-FR"/>
        </w:rPr>
        <w:t>avons mentionné dans l</w:t>
      </w:r>
      <w:r w:rsidR="0064359F">
        <w:rPr>
          <w:lang w:val="fr-FR"/>
        </w:rPr>
        <w:t>’</w:t>
      </w:r>
      <w:r w:rsidRPr="00477EAB">
        <w:rPr>
          <w:lang w:val="fr-FR"/>
        </w:rPr>
        <w:t xml:space="preserve">étude précédente, même si chaque personne handicapée fait face à des défis uniques, il est utile de définir plusieurs grandes catégories distinctes de handicaps afin de </w:t>
      </w:r>
      <w:r w:rsidR="007802D9" w:rsidRPr="00477EAB">
        <w:rPr>
          <w:lang w:val="fr-FR"/>
        </w:rPr>
        <w:t>pouvoir déterminer l</w:t>
      </w:r>
      <w:r w:rsidRPr="00477EAB">
        <w:rPr>
          <w:lang w:val="fr-FR"/>
        </w:rPr>
        <w:t>es besoins communs de ces populations</w:t>
      </w:r>
      <w:r w:rsidR="00C4000D" w:rsidRPr="00477EAB">
        <w:rPr>
          <w:rStyle w:val="FootnoteReference"/>
          <w:lang w:val="fr-FR"/>
        </w:rPr>
        <w:footnoteReference w:id="10"/>
      </w:r>
      <w:r w:rsidR="002F3303" w:rsidRPr="00477EAB">
        <w:rPr>
          <w:lang w:val="fr-FR"/>
        </w:rPr>
        <w:t xml:space="preserve">. </w:t>
      </w:r>
      <w:r w:rsidR="00C4000D" w:rsidRPr="00477EAB">
        <w:rPr>
          <w:lang w:val="fr-FR"/>
        </w:rPr>
        <w:t xml:space="preserve"> </w:t>
      </w:r>
      <w:r w:rsidR="002F3303" w:rsidRPr="00477EAB">
        <w:rPr>
          <w:lang w:val="fr-FR"/>
        </w:rPr>
        <w:t xml:space="preserve">Cette étude a permis </w:t>
      </w:r>
      <w:r w:rsidR="00B93888" w:rsidRPr="00477EAB">
        <w:rPr>
          <w:lang w:val="fr-FR"/>
        </w:rPr>
        <w:t>de recenser plusieurs</w:t>
      </w:r>
      <w:r w:rsidR="002F3303" w:rsidRPr="00477EAB">
        <w:rPr>
          <w:lang w:val="fr-FR"/>
        </w:rPr>
        <w:t xml:space="preserve"> catégories de handicaps, </w:t>
      </w:r>
      <w:r w:rsidR="0072714A" w:rsidRPr="00477EAB">
        <w:rPr>
          <w:lang w:val="fr-FR"/>
        </w:rPr>
        <w:t xml:space="preserve">en sus des </w:t>
      </w:r>
      <w:r w:rsidR="002F3303" w:rsidRPr="00477EAB">
        <w:rPr>
          <w:lang w:val="fr-FR"/>
        </w:rPr>
        <w:t>difficultés de lecture des textes imprimés</w:t>
      </w:r>
      <w:r w:rsidR="00F47BC8" w:rsidRPr="00477EAB">
        <w:rPr>
          <w:lang w:val="fr-FR"/>
        </w:rPr>
        <w:t xml:space="preserve"> </w:t>
      </w:r>
      <w:r w:rsidR="002F3303" w:rsidRPr="00477EAB">
        <w:rPr>
          <w:lang w:val="fr-FR"/>
        </w:rPr>
        <w:t xml:space="preserve">couvertes par le Traité de Marrakech, qui </w:t>
      </w:r>
      <w:r w:rsidR="007802D9" w:rsidRPr="00477EAB">
        <w:rPr>
          <w:lang w:val="fr-FR"/>
        </w:rPr>
        <w:t>rendent difficile l</w:t>
      </w:r>
      <w:r w:rsidR="0064359F">
        <w:rPr>
          <w:lang w:val="fr-FR"/>
        </w:rPr>
        <w:t>’</w:t>
      </w:r>
      <w:r w:rsidR="002F3303" w:rsidRPr="00477EAB">
        <w:rPr>
          <w:lang w:val="fr-FR"/>
        </w:rPr>
        <w:t>accès aux documents</w:t>
      </w:r>
      <w:r w:rsidR="00B93888" w:rsidRPr="00477EAB">
        <w:rPr>
          <w:lang w:val="fr-FR"/>
        </w:rPr>
        <w:t xml:space="preserve"> protégés par le droit d</w:t>
      </w:r>
      <w:r w:rsidR="0064359F">
        <w:rPr>
          <w:lang w:val="fr-FR"/>
        </w:rPr>
        <w:t>’</w:t>
      </w:r>
      <w:r w:rsidR="00B93888" w:rsidRPr="00477EAB">
        <w:rPr>
          <w:lang w:val="fr-FR"/>
        </w:rPr>
        <w:t>auteur</w:t>
      </w:r>
      <w:r w:rsidR="00C4000D" w:rsidRPr="00477EAB">
        <w:rPr>
          <w:lang w:val="fr-FR"/>
        </w:rPr>
        <w:t>.</w:t>
      </w:r>
    </w:p>
    <w:p w:rsidR="00EC5D18" w:rsidRDefault="00F47BC8" w:rsidP="00477EAB">
      <w:pPr>
        <w:pStyle w:val="ONUMFS"/>
        <w:numPr>
          <w:ilvl w:val="0"/>
          <w:numId w:val="16"/>
        </w:numPr>
        <w:ind w:left="1134" w:hanging="567"/>
        <w:rPr>
          <w:lang w:val="fr-FR"/>
        </w:rPr>
      </w:pPr>
      <w:bookmarkStart w:id="17" w:name="_Hlk2068821"/>
      <w:r w:rsidRPr="00477EAB">
        <w:rPr>
          <w:i/>
          <w:lang w:val="fr-FR"/>
        </w:rPr>
        <w:t>Handicap auditif</w:t>
      </w:r>
      <w:r w:rsidR="0064359F">
        <w:rPr>
          <w:i/>
          <w:lang w:val="fr-FR"/>
        </w:rPr>
        <w:t> :</w:t>
      </w:r>
      <w:r w:rsidR="00C4000D" w:rsidRPr="00477EAB">
        <w:rPr>
          <w:lang w:val="fr-FR"/>
        </w:rPr>
        <w:t xml:space="preserve"> </w:t>
      </w:r>
      <w:r w:rsidR="00317C8B" w:rsidRPr="00477EAB">
        <w:rPr>
          <w:lang w:val="fr-FR"/>
        </w:rPr>
        <w:t>les personnes souffrant d</w:t>
      </w:r>
      <w:r w:rsidR="0064359F">
        <w:rPr>
          <w:lang w:val="fr-FR"/>
        </w:rPr>
        <w:t>’</w:t>
      </w:r>
      <w:r w:rsidR="00317C8B" w:rsidRPr="00477EAB">
        <w:rPr>
          <w:lang w:val="fr-FR"/>
        </w:rPr>
        <w:t>une déficience auditive totale ou partielle ont des difficultés à accéder aux œuvres audio ou audiovisuelles</w:t>
      </w:r>
      <w:r w:rsidR="00C4000D" w:rsidRPr="00477EAB">
        <w:rPr>
          <w:lang w:val="fr-FR"/>
        </w:rPr>
        <w:t>.</w:t>
      </w:r>
    </w:p>
    <w:p w:rsidR="00EC5D18" w:rsidRDefault="00317C8B" w:rsidP="00477EAB">
      <w:pPr>
        <w:pStyle w:val="ONUMFS"/>
        <w:numPr>
          <w:ilvl w:val="0"/>
          <w:numId w:val="16"/>
        </w:numPr>
        <w:ind w:left="1134" w:hanging="567"/>
        <w:rPr>
          <w:rFonts w:eastAsia="Cambria"/>
          <w:lang w:val="fr-FR"/>
        </w:rPr>
      </w:pPr>
      <w:r w:rsidRPr="00477EAB">
        <w:rPr>
          <w:i/>
          <w:lang w:val="fr-FR"/>
        </w:rPr>
        <w:t xml:space="preserve">Handicap </w:t>
      </w:r>
      <w:r w:rsidR="00606DE2" w:rsidRPr="00477EAB">
        <w:rPr>
          <w:i/>
          <w:lang w:val="fr-FR"/>
        </w:rPr>
        <w:t>visuel</w:t>
      </w:r>
      <w:r w:rsidR="0064359F">
        <w:rPr>
          <w:i/>
          <w:lang w:val="fr-FR"/>
        </w:rPr>
        <w:t> :</w:t>
      </w:r>
      <w:r w:rsidR="00606DE2" w:rsidRPr="00477EAB">
        <w:rPr>
          <w:i/>
          <w:lang w:val="fr-FR"/>
        </w:rPr>
        <w:t xml:space="preserve"> </w:t>
      </w:r>
      <w:r w:rsidR="00606DE2" w:rsidRPr="00477EAB">
        <w:rPr>
          <w:lang w:val="fr-FR"/>
        </w:rPr>
        <w:t xml:space="preserve">les </w:t>
      </w:r>
      <w:r w:rsidR="0072714A" w:rsidRPr="00477EAB">
        <w:rPr>
          <w:lang w:val="fr-FR"/>
        </w:rPr>
        <w:t>sourds</w:t>
      </w:r>
      <w:r w:rsidR="00146784">
        <w:rPr>
          <w:lang w:val="fr-FR"/>
        </w:rPr>
        <w:noBreakHyphen/>
      </w:r>
      <w:r w:rsidR="0072714A" w:rsidRPr="00477EAB">
        <w:rPr>
          <w:lang w:val="fr-FR"/>
        </w:rPr>
        <w:t>aveugles, les personnes souffrant d</w:t>
      </w:r>
      <w:r w:rsidR="0064359F">
        <w:rPr>
          <w:lang w:val="fr-FR"/>
        </w:rPr>
        <w:t>’</w:t>
      </w:r>
      <w:r w:rsidR="0072714A" w:rsidRPr="00477EAB">
        <w:rPr>
          <w:lang w:val="fr-FR"/>
        </w:rPr>
        <w:t>autres troubles de la vue ou de l</w:t>
      </w:r>
      <w:r w:rsidR="0064359F">
        <w:rPr>
          <w:lang w:val="fr-FR"/>
        </w:rPr>
        <w:t>’</w:t>
      </w:r>
      <w:r w:rsidR="0072714A" w:rsidRPr="00477EAB">
        <w:rPr>
          <w:lang w:val="fr-FR"/>
        </w:rPr>
        <w:t>audition, les sourds ou les malvoyants ont des difficultés à accéder aux œuvres visuelles, audio et audiovisuelles.</w:t>
      </w:r>
    </w:p>
    <w:p w:rsidR="00EC1FFD" w:rsidRPr="00477EAB" w:rsidRDefault="005B3F09" w:rsidP="00477EAB">
      <w:pPr>
        <w:pStyle w:val="ONUMFS"/>
        <w:numPr>
          <w:ilvl w:val="0"/>
          <w:numId w:val="16"/>
        </w:numPr>
        <w:ind w:left="1134" w:hanging="567"/>
        <w:rPr>
          <w:rFonts w:eastAsia="Cambria"/>
          <w:lang w:val="fr-FR"/>
        </w:rPr>
      </w:pPr>
      <w:r w:rsidRPr="00477EAB">
        <w:rPr>
          <w:i/>
          <w:lang w:val="fr-FR"/>
        </w:rPr>
        <w:lastRenderedPageBreak/>
        <w:t>Handicap cognitif</w:t>
      </w:r>
      <w:r w:rsidR="0064359F">
        <w:rPr>
          <w:i/>
          <w:lang w:val="fr-FR"/>
        </w:rPr>
        <w:t> :</w:t>
      </w:r>
      <w:r w:rsidR="00C4000D" w:rsidRPr="00477EAB">
        <w:rPr>
          <w:lang w:val="fr-FR"/>
        </w:rPr>
        <w:t xml:space="preserve"> </w:t>
      </w:r>
      <w:r w:rsidR="00596A61" w:rsidRPr="00477EAB">
        <w:rPr>
          <w:lang w:val="fr-FR"/>
        </w:rPr>
        <w:t>les personnes ayant des déficiences cognitives et intellectuelles sont confrontées à un éventail de difficultés pour accéder à toute une série de médias protégés, notamment les œuvres visuelles, audio et audiovisuelles.</w:t>
      </w:r>
    </w:p>
    <w:p w:rsidR="00EC1FFD" w:rsidRPr="00477EAB" w:rsidRDefault="00596A61" w:rsidP="00477EAB">
      <w:pPr>
        <w:pStyle w:val="ONUMFS"/>
        <w:numPr>
          <w:ilvl w:val="0"/>
          <w:numId w:val="16"/>
        </w:numPr>
        <w:ind w:left="1134" w:hanging="567"/>
        <w:rPr>
          <w:rFonts w:eastAsia="Cambria"/>
          <w:lang w:val="fr-FR"/>
        </w:rPr>
      </w:pPr>
      <w:r w:rsidRPr="00477EAB">
        <w:rPr>
          <w:rFonts w:eastAsia="Cambria"/>
          <w:i/>
          <w:lang w:val="fr-FR"/>
        </w:rPr>
        <w:t>Handicap physique</w:t>
      </w:r>
      <w:r w:rsidR="0064359F">
        <w:rPr>
          <w:rFonts w:eastAsia="Cambria"/>
          <w:lang w:val="fr-FR"/>
        </w:rPr>
        <w:t> :</w:t>
      </w:r>
      <w:r w:rsidRPr="00477EAB">
        <w:rPr>
          <w:rFonts w:eastAsia="Cambria"/>
          <w:lang w:val="fr-FR"/>
        </w:rPr>
        <w:t xml:space="preserve"> les personnes souffrant d</w:t>
      </w:r>
      <w:r w:rsidR="0064359F">
        <w:rPr>
          <w:rFonts w:eastAsia="Cambria"/>
          <w:lang w:val="fr-FR"/>
        </w:rPr>
        <w:t>’</w:t>
      </w:r>
      <w:r w:rsidRPr="00477EAB">
        <w:rPr>
          <w:rFonts w:eastAsia="Cambria"/>
          <w:lang w:val="fr-FR"/>
        </w:rPr>
        <w:t>un handicap physique ou moteur ne sont pas en mesure d</w:t>
      </w:r>
      <w:r w:rsidR="0064359F">
        <w:rPr>
          <w:rFonts w:eastAsia="Cambria"/>
          <w:lang w:val="fr-FR"/>
        </w:rPr>
        <w:t>’</w:t>
      </w:r>
      <w:r w:rsidRPr="00477EAB">
        <w:rPr>
          <w:rFonts w:eastAsia="Cambria"/>
          <w:lang w:val="fr-FR"/>
        </w:rPr>
        <w:t>interagir physiquement avec le matériel protégé par le droit d</w:t>
      </w:r>
      <w:r w:rsidR="0064359F">
        <w:rPr>
          <w:rFonts w:eastAsia="Cambria"/>
          <w:lang w:val="fr-FR"/>
        </w:rPr>
        <w:t>’</w:t>
      </w:r>
      <w:r w:rsidRPr="00477EAB">
        <w:rPr>
          <w:rFonts w:eastAsia="Cambria"/>
          <w:lang w:val="fr-FR"/>
        </w:rPr>
        <w:t>auteur, ce qui les empêche d</w:t>
      </w:r>
      <w:r w:rsidR="0064359F">
        <w:rPr>
          <w:rFonts w:eastAsia="Cambria"/>
          <w:lang w:val="fr-FR"/>
        </w:rPr>
        <w:t>’</w:t>
      </w:r>
      <w:r w:rsidRPr="00477EAB">
        <w:rPr>
          <w:rFonts w:eastAsia="Cambria"/>
          <w:lang w:val="fr-FR"/>
        </w:rPr>
        <w:t xml:space="preserve">accéder à son contenu, </w:t>
      </w:r>
      <w:r w:rsidR="0064359F">
        <w:rPr>
          <w:rFonts w:eastAsia="Cambria"/>
          <w:lang w:val="fr-FR"/>
        </w:rPr>
        <w:t>y compris</w:t>
      </w:r>
      <w:r w:rsidRPr="00477EAB">
        <w:rPr>
          <w:rFonts w:eastAsia="Cambria"/>
          <w:lang w:val="fr-FR"/>
        </w:rPr>
        <w:t xml:space="preserve"> aux œuvres visuelles, audio et audiovisuelles.</w:t>
      </w:r>
    </w:p>
    <w:bookmarkEnd w:id="17"/>
    <w:p w:rsidR="00EC1FFD" w:rsidRPr="00477EAB" w:rsidRDefault="001D70EE" w:rsidP="00477EAB">
      <w:pPr>
        <w:pStyle w:val="ONUMFS"/>
        <w:numPr>
          <w:ilvl w:val="0"/>
          <w:numId w:val="16"/>
        </w:numPr>
        <w:ind w:left="1134" w:hanging="567"/>
        <w:rPr>
          <w:rFonts w:eastAsia="Cambria"/>
          <w:lang w:val="fr-FR"/>
        </w:rPr>
      </w:pPr>
      <w:r w:rsidRPr="00477EAB">
        <w:rPr>
          <w:rFonts w:eastAsia="Cambria"/>
          <w:i/>
          <w:lang w:val="fr-FR"/>
        </w:rPr>
        <w:t>Handicaps multiples</w:t>
      </w:r>
      <w:r w:rsidR="0064359F">
        <w:rPr>
          <w:rFonts w:eastAsia="Cambria"/>
          <w:lang w:val="fr-FR"/>
        </w:rPr>
        <w:t> :</w:t>
      </w:r>
      <w:r w:rsidRPr="00477EAB">
        <w:rPr>
          <w:rFonts w:eastAsia="Cambria"/>
          <w:lang w:val="fr-FR"/>
        </w:rPr>
        <w:t xml:space="preserve"> les personnes souffrant de handicaps multiples sont confrontées à des difficultés particulières dans la mesure où des transformations différentes ou multiples sont nécessaires pour qu</w:t>
      </w:r>
      <w:r w:rsidR="0064359F">
        <w:rPr>
          <w:rFonts w:eastAsia="Cambria"/>
          <w:lang w:val="fr-FR"/>
        </w:rPr>
        <w:t>’</w:t>
      </w:r>
      <w:r w:rsidRPr="00477EAB">
        <w:rPr>
          <w:rFonts w:eastAsia="Cambria"/>
          <w:lang w:val="fr-FR"/>
        </w:rPr>
        <w:t>elles puissent accéder au contenu.</w:t>
      </w:r>
    </w:p>
    <w:p w:rsidR="00EC5D18" w:rsidRDefault="001D70EE" w:rsidP="00477EAB">
      <w:pPr>
        <w:pStyle w:val="ONUMFS"/>
        <w:numPr>
          <w:ilvl w:val="0"/>
          <w:numId w:val="0"/>
        </w:numPr>
        <w:rPr>
          <w:lang w:val="fr-FR"/>
        </w:rPr>
      </w:pPr>
      <w:r w:rsidRPr="00477EAB">
        <w:rPr>
          <w:lang w:val="fr-FR"/>
        </w:rPr>
        <w:t>Les personnes ayant des difficultés de lecture des textes imprimés visées par le Traité de Marrakech sont prises en considération dans le cadre de la présente étude au regard des œuvres qui ne sont pas couvertes par le trai</w:t>
      </w:r>
      <w:r w:rsidR="00146784" w:rsidRPr="00477EAB">
        <w:rPr>
          <w:lang w:val="fr-FR"/>
        </w:rPr>
        <w:t>té</w:t>
      </w:r>
      <w:r w:rsidR="00146784">
        <w:rPr>
          <w:lang w:val="fr-FR"/>
        </w:rPr>
        <w:t xml:space="preserve">.  </w:t>
      </w:r>
      <w:r w:rsidR="00146784" w:rsidRPr="00477EAB">
        <w:rPr>
          <w:lang w:val="fr-FR"/>
        </w:rPr>
        <w:t>Ce</w:t>
      </w:r>
      <w:r w:rsidRPr="00477EAB">
        <w:rPr>
          <w:lang w:val="fr-FR"/>
        </w:rPr>
        <w:t>lles qui sont protégées au titre de la définition du Traité de Marrakech peuvent bénéficier de l</w:t>
      </w:r>
      <w:r w:rsidR="0064359F">
        <w:rPr>
          <w:lang w:val="fr-FR"/>
        </w:rPr>
        <w:t>’</w:t>
      </w:r>
      <w:r w:rsidRPr="00477EAB">
        <w:rPr>
          <w:lang w:val="fr-FR"/>
        </w:rPr>
        <w:t>accès aux matériels protégés autres que les textes imprim</w:t>
      </w:r>
      <w:r w:rsidR="00146784" w:rsidRPr="00477EAB">
        <w:rPr>
          <w:lang w:val="fr-FR"/>
        </w:rPr>
        <w:t>és</w:t>
      </w:r>
      <w:r w:rsidR="00146784">
        <w:rPr>
          <w:lang w:val="fr-FR"/>
        </w:rPr>
        <w:t xml:space="preserve">.  </w:t>
      </w:r>
      <w:r w:rsidR="00146784" w:rsidRPr="00477EAB">
        <w:rPr>
          <w:lang w:val="fr-FR"/>
        </w:rPr>
        <w:t>Le</w:t>
      </w:r>
      <w:r w:rsidRPr="00477EAB">
        <w:rPr>
          <w:lang w:val="fr-FR"/>
        </w:rPr>
        <w:t>s textes imprimés ne représentent qu</w:t>
      </w:r>
      <w:r w:rsidR="0064359F">
        <w:rPr>
          <w:lang w:val="fr-FR"/>
        </w:rPr>
        <w:t>’</w:t>
      </w:r>
      <w:r w:rsidRPr="00477EAB">
        <w:rPr>
          <w:lang w:val="fr-FR"/>
        </w:rPr>
        <w:t>une partie des supports culturels auxquels une personne handicapée doit avoir accès pour participer sur un pied d</w:t>
      </w:r>
      <w:r w:rsidR="0064359F">
        <w:rPr>
          <w:lang w:val="fr-FR"/>
        </w:rPr>
        <w:t>’</w:t>
      </w:r>
      <w:r w:rsidRPr="00477EAB">
        <w:rPr>
          <w:lang w:val="fr-FR"/>
        </w:rPr>
        <w:t>égalité à la vie de sa communau</w:t>
      </w:r>
      <w:r w:rsidR="00146784" w:rsidRPr="00477EAB">
        <w:rPr>
          <w:lang w:val="fr-FR"/>
        </w:rPr>
        <w:t>té</w:t>
      </w:r>
      <w:r w:rsidR="00146784">
        <w:rPr>
          <w:lang w:val="fr-FR"/>
        </w:rPr>
        <w:t xml:space="preserve">.  </w:t>
      </w:r>
      <w:r w:rsidR="00146784" w:rsidRPr="00477EAB">
        <w:rPr>
          <w:lang w:val="fr-FR"/>
        </w:rPr>
        <w:t>Le</w:t>
      </w:r>
      <w:r w:rsidR="0002043B" w:rsidRPr="00477EAB">
        <w:rPr>
          <w:lang w:val="fr-FR"/>
        </w:rPr>
        <w:t>s personnes qui remplissent les conditions requises pour être considérées comme des bénéficiaires en vertu du Traité de Marrakech peuvent néanmoins être empêchées par leur handicap d</w:t>
      </w:r>
      <w:r w:rsidR="0064359F">
        <w:rPr>
          <w:lang w:val="fr-FR"/>
        </w:rPr>
        <w:t>’</w:t>
      </w:r>
      <w:r w:rsidR="0002043B" w:rsidRPr="00477EAB">
        <w:rPr>
          <w:lang w:val="fr-FR"/>
        </w:rPr>
        <w:t>accéder à d</w:t>
      </w:r>
      <w:r w:rsidR="0064359F">
        <w:rPr>
          <w:lang w:val="fr-FR"/>
        </w:rPr>
        <w:t>’</w:t>
      </w:r>
      <w:r w:rsidR="0002043B" w:rsidRPr="00477EAB">
        <w:rPr>
          <w:lang w:val="fr-FR"/>
        </w:rPr>
        <w:t xml:space="preserve">autres </w:t>
      </w:r>
      <w:r w:rsidR="007802D9" w:rsidRPr="00477EAB">
        <w:rPr>
          <w:lang w:val="fr-FR"/>
        </w:rPr>
        <w:t>œ</w:t>
      </w:r>
      <w:r w:rsidR="0002043B" w:rsidRPr="00477EAB">
        <w:rPr>
          <w:lang w:val="fr-FR"/>
        </w:rPr>
        <w:t>uvres protégé</w:t>
      </w:r>
      <w:r w:rsidR="00146784" w:rsidRPr="00477EAB">
        <w:rPr>
          <w:lang w:val="fr-FR"/>
        </w:rPr>
        <w:t>es</w:t>
      </w:r>
      <w:r w:rsidR="00146784">
        <w:rPr>
          <w:lang w:val="fr-FR"/>
        </w:rPr>
        <w:t xml:space="preserve">.  </w:t>
      </w:r>
      <w:r w:rsidR="00146784" w:rsidRPr="00477EAB">
        <w:rPr>
          <w:lang w:val="fr-FR"/>
        </w:rPr>
        <w:t>Pa</w:t>
      </w:r>
      <w:r w:rsidR="0002043B" w:rsidRPr="00477EAB">
        <w:rPr>
          <w:lang w:val="fr-FR"/>
        </w:rPr>
        <w:t xml:space="preserve">rallèlement, les </w:t>
      </w:r>
      <w:r w:rsidR="004D1638" w:rsidRPr="00477EAB">
        <w:rPr>
          <w:lang w:val="fr-FR"/>
        </w:rPr>
        <w:t>œ</w:t>
      </w:r>
      <w:r w:rsidR="0002043B" w:rsidRPr="00477EAB">
        <w:rPr>
          <w:lang w:val="fr-FR"/>
        </w:rPr>
        <w:t>uvres sous forme de texte sont également prises en considération pour les personnes handicapées qui ne sont pas couvertes par la définition du Traité de Marrakech.</w:t>
      </w:r>
    </w:p>
    <w:p w:rsidR="00EC1FFD" w:rsidRPr="00477EAB" w:rsidRDefault="0002043B" w:rsidP="00477EAB">
      <w:pPr>
        <w:pStyle w:val="Heading3"/>
        <w:rPr>
          <w:lang w:val="fr-FR"/>
        </w:rPr>
      </w:pPr>
      <w:bookmarkStart w:id="18" w:name="_3dy6vkm"/>
      <w:bookmarkEnd w:id="18"/>
      <w:r w:rsidRPr="00477EAB">
        <w:rPr>
          <w:lang w:val="fr-FR"/>
        </w:rPr>
        <w:t>Catégories d</w:t>
      </w:r>
      <w:r w:rsidR="0064359F">
        <w:rPr>
          <w:lang w:val="fr-FR"/>
        </w:rPr>
        <w:t>’</w:t>
      </w:r>
      <w:r w:rsidR="004D1638" w:rsidRPr="00477EAB">
        <w:rPr>
          <w:lang w:val="fr-FR"/>
        </w:rPr>
        <w:t>œ</w:t>
      </w:r>
      <w:r w:rsidRPr="00477EAB">
        <w:rPr>
          <w:lang w:val="fr-FR"/>
        </w:rPr>
        <w:t>uvres protégées et de handicaps</w:t>
      </w:r>
    </w:p>
    <w:p w:rsidR="00477EAB" w:rsidRPr="00477EAB" w:rsidRDefault="00477EAB" w:rsidP="00477EAB">
      <w:pPr>
        <w:rPr>
          <w:lang w:val="fr-FR"/>
        </w:rPr>
      </w:pPr>
    </w:p>
    <w:p w:rsidR="00EC1FFD" w:rsidRPr="00477EAB" w:rsidRDefault="003141B0" w:rsidP="00477EAB">
      <w:pPr>
        <w:pStyle w:val="ONUMFS"/>
        <w:numPr>
          <w:ilvl w:val="0"/>
          <w:numId w:val="0"/>
        </w:numPr>
        <w:rPr>
          <w:lang w:val="fr-FR"/>
        </w:rPr>
      </w:pPr>
      <w:bookmarkStart w:id="19" w:name="_1t3h5sf"/>
      <w:bookmarkEnd w:id="19"/>
      <w:r w:rsidRPr="00477EAB">
        <w:rPr>
          <w:lang w:val="fr-FR"/>
        </w:rPr>
        <w:t>La protection au titre du droit d</w:t>
      </w:r>
      <w:r w:rsidR="0064359F">
        <w:rPr>
          <w:lang w:val="fr-FR"/>
        </w:rPr>
        <w:t>’</w:t>
      </w:r>
      <w:r w:rsidRPr="00477EAB">
        <w:rPr>
          <w:lang w:val="fr-FR"/>
        </w:rPr>
        <w:t>auteur et des droits connexes dans chaque pays membre est généralement é</w:t>
      </w:r>
      <w:r w:rsidR="007802D9" w:rsidRPr="00477EAB">
        <w:rPr>
          <w:lang w:val="fr-FR"/>
        </w:rPr>
        <w:t>tablie</w:t>
      </w:r>
      <w:r w:rsidRPr="00477EAB">
        <w:rPr>
          <w:lang w:val="fr-FR"/>
        </w:rPr>
        <w:t xml:space="preserve"> dans la législation nationa</w:t>
      </w:r>
      <w:r w:rsidR="00146784" w:rsidRPr="00477EAB">
        <w:rPr>
          <w:lang w:val="fr-FR"/>
        </w:rPr>
        <w:t>le</w:t>
      </w:r>
      <w:r w:rsidR="00146784">
        <w:rPr>
          <w:lang w:val="fr-FR"/>
        </w:rPr>
        <w:t xml:space="preserve">.  </w:t>
      </w:r>
      <w:r w:rsidR="00146784" w:rsidRPr="00477EAB">
        <w:rPr>
          <w:lang w:val="fr-FR"/>
        </w:rPr>
        <w:t>To</w:t>
      </w:r>
      <w:r w:rsidR="00281842" w:rsidRPr="00477EAB">
        <w:rPr>
          <w:lang w:val="fr-FR"/>
        </w:rPr>
        <w:t>utefois, la législation nationale s</w:t>
      </w:r>
      <w:r w:rsidR="0064359F">
        <w:rPr>
          <w:lang w:val="fr-FR"/>
        </w:rPr>
        <w:t>’</w:t>
      </w:r>
      <w:r w:rsidR="00281842" w:rsidRPr="00477EAB">
        <w:rPr>
          <w:lang w:val="fr-FR"/>
        </w:rPr>
        <w:t>appuie sur les engagements du pays concernant le niveau minimum de protection, comme convenu dans les traités internationaux qui le lient</w:t>
      </w:r>
      <w:r w:rsidR="00281842" w:rsidRPr="00477EAB">
        <w:rPr>
          <w:rStyle w:val="FootnoteReference"/>
          <w:lang w:val="fr-FR"/>
        </w:rPr>
        <w:footnoteReference w:id="11"/>
      </w:r>
      <w:r w:rsidR="00281842" w:rsidRPr="00477EAB">
        <w:rPr>
          <w:lang w:val="fr-FR"/>
        </w:rPr>
        <w:t>.</w:t>
      </w:r>
      <w:r w:rsidR="00C4000D" w:rsidRPr="00477EAB">
        <w:rPr>
          <w:lang w:val="fr-FR"/>
        </w:rPr>
        <w:t xml:space="preserve"> </w:t>
      </w:r>
      <w:r w:rsidR="004D1638" w:rsidRPr="00477EAB">
        <w:rPr>
          <w:lang w:val="fr-FR"/>
        </w:rPr>
        <w:t xml:space="preserve"> </w:t>
      </w:r>
      <w:r w:rsidR="00281842" w:rsidRPr="00477EAB">
        <w:rPr>
          <w:lang w:val="fr-FR"/>
        </w:rPr>
        <w:t>La législation nationale sur le droit d</w:t>
      </w:r>
      <w:r w:rsidR="0064359F">
        <w:rPr>
          <w:lang w:val="fr-FR"/>
        </w:rPr>
        <w:t>’</w:t>
      </w:r>
      <w:r w:rsidR="00281842" w:rsidRPr="00477EAB">
        <w:rPr>
          <w:lang w:val="fr-FR"/>
        </w:rPr>
        <w:t>auteur protège certaines catégories d</w:t>
      </w:r>
      <w:r w:rsidR="0064359F">
        <w:rPr>
          <w:lang w:val="fr-FR"/>
        </w:rPr>
        <w:t>’</w:t>
      </w:r>
      <w:r w:rsidR="004D1638" w:rsidRPr="00477EAB">
        <w:rPr>
          <w:lang w:val="fr-FR"/>
        </w:rPr>
        <w:t>œ</w:t>
      </w:r>
      <w:r w:rsidR="00281842" w:rsidRPr="00477EAB">
        <w:rPr>
          <w:lang w:val="fr-FR"/>
        </w:rPr>
        <w:t>uvres originales qui sont réduites au format matériel</w:t>
      </w:r>
      <w:r w:rsidR="0064359F">
        <w:rPr>
          <w:lang w:val="fr-FR"/>
        </w:rPr>
        <w:t> :</w:t>
      </w:r>
    </w:p>
    <w:p w:rsidR="00EC5D18" w:rsidRDefault="00281842" w:rsidP="00477EAB">
      <w:pPr>
        <w:pStyle w:val="ONUMFS"/>
        <w:numPr>
          <w:ilvl w:val="0"/>
          <w:numId w:val="17"/>
        </w:numPr>
        <w:ind w:left="1134" w:hanging="567"/>
        <w:rPr>
          <w:lang w:val="fr-FR"/>
        </w:rPr>
      </w:pPr>
      <w:r w:rsidRPr="00477EAB">
        <w:rPr>
          <w:lang w:val="fr-FR"/>
        </w:rPr>
        <w:t>œuvres littéraires</w:t>
      </w:r>
    </w:p>
    <w:p w:rsidR="00EC5D18" w:rsidRDefault="00281842" w:rsidP="00477EAB">
      <w:pPr>
        <w:pStyle w:val="ONUMFS"/>
        <w:numPr>
          <w:ilvl w:val="0"/>
          <w:numId w:val="17"/>
        </w:numPr>
        <w:ind w:left="1134" w:hanging="567"/>
        <w:rPr>
          <w:lang w:val="fr-FR"/>
        </w:rPr>
      </w:pPr>
      <w:r w:rsidRPr="00477EAB">
        <w:rPr>
          <w:lang w:val="fr-FR"/>
        </w:rPr>
        <w:t>œuvres musicales</w:t>
      </w:r>
    </w:p>
    <w:p w:rsidR="00EC1FFD" w:rsidRPr="00477EAB" w:rsidRDefault="009058D1" w:rsidP="00477EAB">
      <w:pPr>
        <w:pStyle w:val="ONUMFS"/>
        <w:numPr>
          <w:ilvl w:val="0"/>
          <w:numId w:val="17"/>
        </w:numPr>
        <w:ind w:left="1134" w:hanging="567"/>
        <w:rPr>
          <w:rFonts w:eastAsia="Cambria"/>
          <w:lang w:val="fr-FR"/>
        </w:rPr>
      </w:pPr>
      <w:r w:rsidRPr="00477EAB">
        <w:rPr>
          <w:rFonts w:eastAsia="Cambria"/>
          <w:lang w:val="fr-FR"/>
        </w:rPr>
        <w:t>œ</w:t>
      </w:r>
      <w:r w:rsidR="00281842" w:rsidRPr="00477EAB">
        <w:rPr>
          <w:rFonts w:eastAsia="Cambria"/>
          <w:lang w:val="fr-FR"/>
        </w:rPr>
        <w:t>uvres artistiques</w:t>
      </w:r>
    </w:p>
    <w:p w:rsidR="00EC1FFD" w:rsidRPr="00477EAB" w:rsidRDefault="00281842" w:rsidP="00477EAB">
      <w:pPr>
        <w:pStyle w:val="ONUMFS"/>
        <w:numPr>
          <w:ilvl w:val="0"/>
          <w:numId w:val="17"/>
        </w:numPr>
        <w:ind w:left="1134" w:hanging="567"/>
        <w:rPr>
          <w:rFonts w:eastAsia="Cambria"/>
          <w:lang w:val="fr-FR"/>
        </w:rPr>
      </w:pPr>
      <w:r w:rsidRPr="00477EAB">
        <w:rPr>
          <w:rFonts w:eastAsia="Cambria"/>
          <w:lang w:val="fr-FR"/>
        </w:rPr>
        <w:t>œuvres dramatiques</w:t>
      </w:r>
    </w:p>
    <w:p w:rsidR="00EC5D18" w:rsidRDefault="009058D1" w:rsidP="00477EAB">
      <w:pPr>
        <w:pStyle w:val="ONUMFS"/>
        <w:numPr>
          <w:ilvl w:val="0"/>
          <w:numId w:val="17"/>
        </w:numPr>
        <w:ind w:left="1134" w:hanging="567"/>
        <w:rPr>
          <w:lang w:val="fr-FR"/>
        </w:rPr>
      </w:pPr>
      <w:r w:rsidRPr="00477EAB">
        <w:rPr>
          <w:lang w:val="fr-FR"/>
        </w:rPr>
        <w:t>œ</w:t>
      </w:r>
      <w:r w:rsidR="00281842" w:rsidRPr="00477EAB">
        <w:rPr>
          <w:lang w:val="fr-FR"/>
        </w:rPr>
        <w:t>uvres cinématographiques</w:t>
      </w:r>
    </w:p>
    <w:p w:rsidR="00EC5D18" w:rsidRDefault="00281842" w:rsidP="00477EAB">
      <w:pPr>
        <w:pStyle w:val="ONUMFS"/>
        <w:numPr>
          <w:ilvl w:val="0"/>
          <w:numId w:val="17"/>
        </w:numPr>
        <w:ind w:left="1134" w:hanging="567"/>
        <w:rPr>
          <w:lang w:val="fr-FR"/>
        </w:rPr>
      </w:pPr>
      <w:r w:rsidRPr="00477EAB">
        <w:rPr>
          <w:lang w:val="fr-FR"/>
        </w:rPr>
        <w:t xml:space="preserve">enregistrements sonores; </w:t>
      </w:r>
      <w:r w:rsidR="002E22BD">
        <w:rPr>
          <w:lang w:val="fr-FR"/>
        </w:rPr>
        <w:t xml:space="preserve"> </w:t>
      </w:r>
      <w:r w:rsidRPr="00477EAB">
        <w:rPr>
          <w:lang w:val="fr-FR"/>
        </w:rPr>
        <w:t>et</w:t>
      </w:r>
    </w:p>
    <w:p w:rsidR="00EC1FFD" w:rsidRPr="00477EAB" w:rsidRDefault="00281842" w:rsidP="00477EAB">
      <w:pPr>
        <w:pStyle w:val="ONUMFS"/>
        <w:numPr>
          <w:ilvl w:val="0"/>
          <w:numId w:val="17"/>
        </w:numPr>
        <w:ind w:left="1134" w:hanging="567"/>
        <w:rPr>
          <w:rFonts w:eastAsia="Cambria"/>
          <w:lang w:val="fr-FR"/>
        </w:rPr>
      </w:pPr>
      <w:r w:rsidRPr="00477EAB">
        <w:rPr>
          <w:rFonts w:eastAsia="Cambria"/>
          <w:lang w:val="fr-FR"/>
        </w:rPr>
        <w:t>émissions (généralement protégées par des droits connexes).</w:t>
      </w:r>
    </w:p>
    <w:p w:rsidR="00EC1FFD" w:rsidRPr="00477EAB" w:rsidRDefault="004D1638" w:rsidP="00477EAB">
      <w:pPr>
        <w:pStyle w:val="ONUMFS"/>
        <w:numPr>
          <w:ilvl w:val="0"/>
          <w:numId w:val="0"/>
        </w:numPr>
        <w:rPr>
          <w:lang w:val="fr-FR"/>
        </w:rPr>
      </w:pPr>
      <w:r w:rsidRPr="00477EAB">
        <w:rPr>
          <w:lang w:val="fr-FR"/>
        </w:rPr>
        <w:t>Les droits exclusifs dont les titulaires de droits jouissent sur ces œuvres sont les suivants</w:t>
      </w:r>
      <w:r w:rsidR="0064359F">
        <w:rPr>
          <w:lang w:val="fr-FR"/>
        </w:rPr>
        <w:t> :</w:t>
      </w:r>
    </w:p>
    <w:p w:rsidR="00EC1FFD" w:rsidRPr="00477EAB" w:rsidRDefault="004D1638" w:rsidP="00477EAB">
      <w:pPr>
        <w:pStyle w:val="ONUMFS"/>
        <w:numPr>
          <w:ilvl w:val="0"/>
          <w:numId w:val="18"/>
        </w:numPr>
        <w:ind w:left="1134" w:hanging="567"/>
        <w:rPr>
          <w:rFonts w:eastAsia="Cambria"/>
          <w:lang w:val="fr-FR"/>
        </w:rPr>
      </w:pPr>
      <w:r w:rsidRPr="00477EAB">
        <w:rPr>
          <w:lang w:val="fr-FR"/>
        </w:rPr>
        <w:t>droit de r</w:t>
      </w:r>
      <w:r w:rsidR="00C4000D" w:rsidRPr="00477EAB">
        <w:rPr>
          <w:lang w:val="fr-FR"/>
        </w:rPr>
        <w:t>eproduction;</w:t>
      </w:r>
    </w:p>
    <w:p w:rsidR="00EC1FFD" w:rsidRPr="00477EAB" w:rsidRDefault="004D1638" w:rsidP="00477EAB">
      <w:pPr>
        <w:pStyle w:val="ONUMFS"/>
        <w:numPr>
          <w:ilvl w:val="0"/>
          <w:numId w:val="18"/>
        </w:numPr>
        <w:ind w:left="1134" w:hanging="567"/>
        <w:rPr>
          <w:rFonts w:eastAsia="Cambria"/>
          <w:lang w:val="fr-FR"/>
        </w:rPr>
      </w:pPr>
      <w:r w:rsidRPr="00477EAB">
        <w:rPr>
          <w:lang w:val="fr-FR"/>
        </w:rPr>
        <w:t>droit d</w:t>
      </w:r>
      <w:r w:rsidR="0064359F">
        <w:rPr>
          <w:lang w:val="fr-FR"/>
        </w:rPr>
        <w:t>’</w:t>
      </w:r>
      <w:r w:rsidRPr="00477EAB">
        <w:rPr>
          <w:lang w:val="fr-FR"/>
        </w:rPr>
        <w:t>a</w:t>
      </w:r>
      <w:r w:rsidR="00C4000D" w:rsidRPr="00477EAB">
        <w:rPr>
          <w:lang w:val="fr-FR"/>
        </w:rPr>
        <w:t>daptation</w:t>
      </w:r>
    </w:p>
    <w:p w:rsidR="00EC1FFD" w:rsidRPr="00477EAB" w:rsidRDefault="004D1638" w:rsidP="00477EAB">
      <w:pPr>
        <w:pStyle w:val="ONUMFS"/>
        <w:numPr>
          <w:ilvl w:val="0"/>
          <w:numId w:val="18"/>
        </w:numPr>
        <w:ind w:left="1134" w:hanging="567"/>
        <w:rPr>
          <w:rFonts w:eastAsia="Cambria"/>
          <w:lang w:val="fr-FR"/>
        </w:rPr>
      </w:pPr>
      <w:r w:rsidRPr="00477EAB">
        <w:rPr>
          <w:lang w:val="fr-FR"/>
        </w:rPr>
        <w:lastRenderedPageBreak/>
        <w:t>droit de d</w:t>
      </w:r>
      <w:r w:rsidR="00C4000D" w:rsidRPr="00477EAB">
        <w:rPr>
          <w:lang w:val="fr-FR"/>
        </w:rPr>
        <w:t>istribution (</w:t>
      </w:r>
      <w:r w:rsidR="0064359F">
        <w:rPr>
          <w:lang w:val="fr-FR"/>
        </w:rPr>
        <w:t>y compris</w:t>
      </w:r>
      <w:r w:rsidRPr="00477EAB">
        <w:rPr>
          <w:lang w:val="fr-FR"/>
        </w:rPr>
        <w:t xml:space="preserve"> la location et le prêt</w:t>
      </w:r>
      <w:r w:rsidR="00C4000D" w:rsidRPr="00477EAB">
        <w:rPr>
          <w:lang w:val="fr-FR"/>
        </w:rPr>
        <w:t>)</w:t>
      </w:r>
    </w:p>
    <w:p w:rsidR="00EC1FFD" w:rsidRPr="00477EAB" w:rsidRDefault="00435AED" w:rsidP="00477EAB">
      <w:pPr>
        <w:pStyle w:val="ONUMFS"/>
        <w:numPr>
          <w:ilvl w:val="0"/>
          <w:numId w:val="18"/>
        </w:numPr>
        <w:ind w:left="1134" w:hanging="567"/>
        <w:rPr>
          <w:rFonts w:eastAsia="Cambria"/>
          <w:lang w:val="fr-FR"/>
        </w:rPr>
      </w:pPr>
      <w:r w:rsidRPr="00477EAB">
        <w:rPr>
          <w:lang w:val="fr-FR"/>
        </w:rPr>
        <w:t>radiodiffusion sans fil</w:t>
      </w:r>
      <w:r w:rsidR="00C4000D" w:rsidRPr="00477EAB">
        <w:rPr>
          <w:lang w:val="fr-FR"/>
        </w:rPr>
        <w:t>;</w:t>
      </w:r>
    </w:p>
    <w:p w:rsidR="00EC5D18" w:rsidRDefault="00435AED" w:rsidP="00477EAB">
      <w:pPr>
        <w:pStyle w:val="ONUMFS"/>
        <w:numPr>
          <w:ilvl w:val="0"/>
          <w:numId w:val="18"/>
        </w:numPr>
        <w:ind w:left="1134" w:hanging="567"/>
        <w:rPr>
          <w:rFonts w:eastAsia="Cambria"/>
          <w:vertAlign w:val="superscript"/>
          <w:lang w:val="fr-FR"/>
        </w:rPr>
      </w:pPr>
      <w:r w:rsidRPr="00477EAB">
        <w:rPr>
          <w:lang w:val="fr-FR"/>
        </w:rPr>
        <w:t>autres modes de communication au public par transmission par voie électronique</w:t>
      </w:r>
      <w:r w:rsidR="00C4000D" w:rsidRPr="00477EAB">
        <w:rPr>
          <w:lang w:val="fr-FR"/>
        </w:rPr>
        <w:t>;</w:t>
      </w:r>
    </w:p>
    <w:p w:rsidR="00EC5D18" w:rsidRDefault="00552181" w:rsidP="00477EAB">
      <w:pPr>
        <w:pStyle w:val="ONUMFS"/>
        <w:numPr>
          <w:ilvl w:val="0"/>
          <w:numId w:val="18"/>
        </w:numPr>
        <w:ind w:left="1134" w:hanging="567"/>
        <w:rPr>
          <w:lang w:val="fr-FR"/>
        </w:rPr>
      </w:pPr>
      <w:r w:rsidRPr="00477EAB">
        <w:rPr>
          <w:lang w:val="fr-FR"/>
        </w:rPr>
        <w:t>possibilité de faire respecter des restrictions à l</w:t>
      </w:r>
      <w:r w:rsidR="0064359F">
        <w:rPr>
          <w:lang w:val="fr-FR"/>
        </w:rPr>
        <w:t>’</w:t>
      </w:r>
      <w:r w:rsidRPr="00477EAB">
        <w:rPr>
          <w:lang w:val="fr-FR"/>
        </w:rPr>
        <w:t>importation ou à l</w:t>
      </w:r>
      <w:r w:rsidR="0064359F">
        <w:rPr>
          <w:lang w:val="fr-FR"/>
        </w:rPr>
        <w:t>’</w:t>
      </w:r>
      <w:r w:rsidRPr="00477EAB">
        <w:rPr>
          <w:lang w:val="fr-FR"/>
        </w:rPr>
        <w:t>exportation;  et</w:t>
      </w:r>
    </w:p>
    <w:p w:rsidR="00EC5D18" w:rsidRDefault="00552181" w:rsidP="00477EAB">
      <w:pPr>
        <w:pStyle w:val="ONUMFS"/>
        <w:numPr>
          <w:ilvl w:val="0"/>
          <w:numId w:val="18"/>
        </w:numPr>
        <w:ind w:left="1134" w:hanging="567"/>
        <w:rPr>
          <w:lang w:val="fr-FR"/>
        </w:rPr>
      </w:pPr>
      <w:r w:rsidRPr="00477EAB">
        <w:rPr>
          <w:lang w:val="fr-FR"/>
        </w:rPr>
        <w:t>mise en œuvre des mesures antineutralisation</w:t>
      </w:r>
      <w:r w:rsidR="00C4000D" w:rsidRPr="00477EAB">
        <w:rPr>
          <w:vertAlign w:val="superscript"/>
          <w:lang w:val="fr-FR"/>
        </w:rPr>
        <w:footnoteReference w:id="12"/>
      </w:r>
      <w:r w:rsidRPr="00477EAB">
        <w:rPr>
          <w:lang w:val="fr-FR"/>
        </w:rPr>
        <w:t>.</w:t>
      </w:r>
    </w:p>
    <w:p w:rsidR="00EC1FFD" w:rsidRPr="00477EAB" w:rsidRDefault="00477EAB" w:rsidP="00477EAB">
      <w:pPr>
        <w:pStyle w:val="Heading2"/>
        <w:rPr>
          <w:lang w:val="fr-FR"/>
        </w:rPr>
      </w:pPr>
      <w:r w:rsidRPr="00477EAB">
        <w:rPr>
          <w:lang w:val="fr-FR"/>
        </w:rPr>
        <w:t>Technologies visant à favoriser l</w:t>
      </w:r>
      <w:r w:rsidR="0064359F">
        <w:rPr>
          <w:lang w:val="fr-FR"/>
        </w:rPr>
        <w:t>’</w:t>
      </w:r>
      <w:r w:rsidRPr="00477EAB">
        <w:rPr>
          <w:lang w:val="fr-FR"/>
        </w:rPr>
        <w:t>accessibilité et intelligence artificielle</w:t>
      </w:r>
    </w:p>
    <w:p w:rsidR="00477EAB" w:rsidRPr="00477EAB" w:rsidRDefault="00477EAB" w:rsidP="00477EAB">
      <w:pPr>
        <w:rPr>
          <w:lang w:val="fr-FR"/>
        </w:rPr>
      </w:pPr>
    </w:p>
    <w:p w:rsidR="00EC1FFD" w:rsidRPr="00477EAB" w:rsidRDefault="00D108F2" w:rsidP="00477EAB">
      <w:pPr>
        <w:pStyle w:val="ONUMFS"/>
        <w:numPr>
          <w:ilvl w:val="0"/>
          <w:numId w:val="0"/>
        </w:numPr>
        <w:rPr>
          <w:lang w:val="fr-FR"/>
        </w:rPr>
      </w:pPr>
      <w:r w:rsidRPr="00477EAB">
        <w:rPr>
          <w:lang w:val="fr-FR"/>
        </w:rPr>
        <w:t>Le sous</w:t>
      </w:r>
      <w:r w:rsidR="00146784">
        <w:rPr>
          <w:lang w:val="fr-FR"/>
        </w:rPr>
        <w:noBreakHyphen/>
      </w:r>
      <w:r w:rsidRPr="00477EAB">
        <w:rPr>
          <w:lang w:val="fr-FR"/>
        </w:rPr>
        <w:t>titrage et l</w:t>
      </w:r>
      <w:r w:rsidR="0064359F">
        <w:rPr>
          <w:lang w:val="fr-FR"/>
        </w:rPr>
        <w:t>’</w:t>
      </w:r>
      <w:r w:rsidRPr="00477EAB">
        <w:rPr>
          <w:lang w:val="fr-FR"/>
        </w:rPr>
        <w:t>audiodescription constituent des exemples de technologies permettant aux personnes handicapées d</w:t>
      </w:r>
      <w:r w:rsidR="0064359F">
        <w:rPr>
          <w:lang w:val="fr-FR"/>
        </w:rPr>
        <w:t>’</w:t>
      </w:r>
      <w:r w:rsidRPr="00477EAB">
        <w:rPr>
          <w:lang w:val="fr-FR"/>
        </w:rPr>
        <w:t>accéder aux œuvres protégées par le droit d</w:t>
      </w:r>
      <w:r w:rsidR="0064359F">
        <w:rPr>
          <w:lang w:val="fr-FR"/>
        </w:rPr>
        <w:t>’</w:t>
      </w:r>
      <w:r w:rsidRPr="00477EAB">
        <w:rPr>
          <w:lang w:val="fr-FR"/>
        </w:rPr>
        <w:t>auteur à des fins pédagogiques, de divertissement et à d</w:t>
      </w:r>
      <w:r w:rsidR="0064359F">
        <w:rPr>
          <w:lang w:val="fr-FR"/>
        </w:rPr>
        <w:t>’</w:t>
      </w:r>
      <w:r w:rsidRPr="00477EAB">
        <w:rPr>
          <w:lang w:val="fr-FR"/>
        </w:rPr>
        <w:t>autres fi</w:t>
      </w:r>
      <w:r w:rsidR="00146784" w:rsidRPr="00477EAB">
        <w:rPr>
          <w:lang w:val="fr-FR"/>
        </w:rPr>
        <w:t>ns</w:t>
      </w:r>
      <w:r w:rsidR="00146784">
        <w:rPr>
          <w:lang w:val="fr-FR"/>
        </w:rPr>
        <w:t xml:space="preserve">.  </w:t>
      </w:r>
      <w:r w:rsidR="00146784" w:rsidRPr="00477EAB">
        <w:rPr>
          <w:lang w:val="fr-FR"/>
        </w:rPr>
        <w:t>Le</w:t>
      </w:r>
      <w:r w:rsidRPr="00477EAB">
        <w:rPr>
          <w:lang w:val="fr-FR"/>
        </w:rPr>
        <w:t>s technologies favorisant l</w:t>
      </w:r>
      <w:r w:rsidR="0064359F">
        <w:rPr>
          <w:lang w:val="fr-FR"/>
        </w:rPr>
        <w:t>’</w:t>
      </w:r>
      <w:r w:rsidRPr="00477EAB">
        <w:rPr>
          <w:lang w:val="fr-FR"/>
        </w:rPr>
        <w:t>accessibilité comme celles</w:t>
      </w:r>
      <w:r w:rsidR="00146784">
        <w:rPr>
          <w:rFonts w:ascii="Cambria Math" w:hAnsi="Cambria Math" w:cs="Cambria Math"/>
          <w:lang w:val="fr-FR"/>
        </w:rPr>
        <w:noBreakHyphen/>
      </w:r>
      <w:r w:rsidRPr="00477EAB">
        <w:rPr>
          <w:lang w:val="fr-FR"/>
        </w:rPr>
        <w:t>ci sont au cœur de la création d</w:t>
      </w:r>
      <w:r w:rsidR="0064359F">
        <w:rPr>
          <w:lang w:val="fr-FR"/>
        </w:rPr>
        <w:t>’</w:t>
      </w:r>
      <w:r w:rsidRPr="00477EAB">
        <w:rPr>
          <w:lang w:val="fr-FR"/>
        </w:rPr>
        <w:t>œuvres accessibles pour les personnes handicapées, mais les aspects économiques des efforts déployés pour rendre accessibles les œuvres protégées par le droit d</w:t>
      </w:r>
      <w:r w:rsidR="0064359F">
        <w:rPr>
          <w:lang w:val="fr-FR"/>
        </w:rPr>
        <w:t>’</w:t>
      </w:r>
      <w:r w:rsidRPr="00477EAB">
        <w:rPr>
          <w:lang w:val="fr-FR"/>
        </w:rPr>
        <w:t>auteur sont complex</w:t>
      </w:r>
      <w:r w:rsidR="00146784" w:rsidRPr="00477EAB">
        <w:rPr>
          <w:lang w:val="fr-FR"/>
        </w:rPr>
        <w:t>es</w:t>
      </w:r>
      <w:r w:rsidR="00146784">
        <w:rPr>
          <w:lang w:val="fr-FR"/>
        </w:rPr>
        <w:t xml:space="preserve">.  </w:t>
      </w:r>
      <w:r w:rsidR="00146784" w:rsidRPr="00477EAB">
        <w:rPr>
          <w:lang w:val="fr-FR"/>
        </w:rPr>
        <w:t>La</w:t>
      </w:r>
      <w:r w:rsidR="00DA33ED" w:rsidRPr="00477EAB">
        <w:rPr>
          <w:lang w:val="fr-FR"/>
        </w:rPr>
        <w:t xml:space="preserve"> conversion de certains types d</w:t>
      </w:r>
      <w:r w:rsidR="0064359F">
        <w:rPr>
          <w:lang w:val="fr-FR"/>
        </w:rPr>
        <w:t>’</w:t>
      </w:r>
      <w:r w:rsidR="0085441F" w:rsidRPr="00477EAB">
        <w:rPr>
          <w:lang w:val="fr-FR"/>
        </w:rPr>
        <w:t>œ</w:t>
      </w:r>
      <w:r w:rsidR="00DA33ED" w:rsidRPr="00477EAB">
        <w:rPr>
          <w:lang w:val="fr-FR"/>
        </w:rPr>
        <w:t>uvres protégées par le droit d</w:t>
      </w:r>
      <w:r w:rsidR="0064359F">
        <w:rPr>
          <w:lang w:val="fr-FR"/>
        </w:rPr>
        <w:t>’</w:t>
      </w:r>
      <w:r w:rsidR="00DA33ED" w:rsidRPr="00477EAB">
        <w:rPr>
          <w:lang w:val="fr-FR"/>
        </w:rPr>
        <w:t xml:space="preserve">auteur en format accessible nécessite souvent beaucoup de travail et les techniques actuelles de </w:t>
      </w:r>
      <w:r w:rsidR="00246774" w:rsidRPr="00477EAB">
        <w:rPr>
          <w:lang w:val="fr-FR"/>
        </w:rPr>
        <w:t>conversion</w:t>
      </w:r>
      <w:r w:rsidR="00DA33ED" w:rsidRPr="00477EAB">
        <w:rPr>
          <w:lang w:val="fr-FR"/>
        </w:rPr>
        <w:t xml:space="preserve"> des </w:t>
      </w:r>
      <w:r w:rsidR="0085441F" w:rsidRPr="00477EAB">
        <w:rPr>
          <w:lang w:val="fr-FR"/>
        </w:rPr>
        <w:t>œ</w:t>
      </w:r>
      <w:r w:rsidR="00DA33ED" w:rsidRPr="00477EAB">
        <w:rPr>
          <w:lang w:val="fr-FR"/>
        </w:rPr>
        <w:t>uvres protégées par le droit d</w:t>
      </w:r>
      <w:r w:rsidR="0064359F">
        <w:rPr>
          <w:lang w:val="fr-FR"/>
        </w:rPr>
        <w:t>’</w:t>
      </w:r>
      <w:r w:rsidR="00DA33ED" w:rsidRPr="00477EAB">
        <w:rPr>
          <w:lang w:val="fr-FR"/>
        </w:rPr>
        <w:t>auteur peuvent aussi être coûteus</w:t>
      </w:r>
      <w:r w:rsidR="00146784" w:rsidRPr="00477EAB">
        <w:rPr>
          <w:lang w:val="fr-FR"/>
        </w:rPr>
        <w:t>es</w:t>
      </w:r>
      <w:r w:rsidR="00146784">
        <w:rPr>
          <w:lang w:val="fr-FR"/>
        </w:rPr>
        <w:t xml:space="preserve">.  </w:t>
      </w:r>
      <w:r w:rsidR="00146784" w:rsidRPr="00477EAB">
        <w:rPr>
          <w:lang w:val="fr-FR"/>
        </w:rPr>
        <w:t>Le</w:t>
      </w:r>
      <w:r w:rsidR="00DA33ED" w:rsidRPr="00477EAB">
        <w:rPr>
          <w:lang w:val="fr-FR"/>
        </w:rPr>
        <w:t>s différences entre la vidéo et le texte et les différences entre handicaps auditif, visuel et cognitif signifient que la conversion à petite échelle peut ne pas être un moyen viable d</w:t>
      </w:r>
      <w:r w:rsidR="0064359F">
        <w:rPr>
          <w:lang w:val="fr-FR"/>
        </w:rPr>
        <w:t>’</w:t>
      </w:r>
      <w:r w:rsidR="00DA33ED" w:rsidRPr="00477EAB">
        <w:rPr>
          <w:lang w:val="fr-FR"/>
        </w:rPr>
        <w:t>atteindre l</w:t>
      </w:r>
      <w:r w:rsidR="0064359F">
        <w:rPr>
          <w:lang w:val="fr-FR"/>
        </w:rPr>
        <w:t>’</w:t>
      </w:r>
      <w:r w:rsidR="00DA33ED" w:rsidRPr="00477EAB">
        <w:rPr>
          <w:lang w:val="fr-FR"/>
        </w:rPr>
        <w:t>objectif d</w:t>
      </w:r>
      <w:r w:rsidR="0064359F">
        <w:rPr>
          <w:lang w:val="fr-FR"/>
        </w:rPr>
        <w:t>’</w:t>
      </w:r>
      <w:r w:rsidR="00DA33ED" w:rsidRPr="00477EAB">
        <w:rPr>
          <w:lang w:val="fr-FR"/>
        </w:rPr>
        <w:t xml:space="preserve">un large accès aux </w:t>
      </w:r>
      <w:r w:rsidR="00246774" w:rsidRPr="00477EAB">
        <w:rPr>
          <w:lang w:val="fr-FR"/>
        </w:rPr>
        <w:t>œ</w:t>
      </w:r>
      <w:r w:rsidR="00DA33ED" w:rsidRPr="00477EAB">
        <w:rPr>
          <w:lang w:val="fr-FR"/>
        </w:rPr>
        <w:t>uvres protégées par le droit d</w:t>
      </w:r>
      <w:r w:rsidR="0064359F">
        <w:rPr>
          <w:lang w:val="fr-FR"/>
        </w:rPr>
        <w:t>’</w:t>
      </w:r>
      <w:r w:rsidR="00DA33ED" w:rsidRPr="00477EAB">
        <w:rPr>
          <w:lang w:val="fr-FR"/>
        </w:rPr>
        <w:t>auteur.</w:t>
      </w:r>
    </w:p>
    <w:p w:rsidR="00EC5D18" w:rsidRDefault="00E47022" w:rsidP="00477EAB">
      <w:pPr>
        <w:pStyle w:val="ONUMFS"/>
        <w:numPr>
          <w:ilvl w:val="0"/>
          <w:numId w:val="0"/>
        </w:numPr>
        <w:rPr>
          <w:lang w:val="fr-FR"/>
        </w:rPr>
      </w:pPr>
      <w:r w:rsidRPr="00477EAB">
        <w:rPr>
          <w:lang w:val="fr-FR"/>
        </w:rPr>
        <w:t>L</w:t>
      </w:r>
      <w:r w:rsidR="0064359F">
        <w:rPr>
          <w:lang w:val="fr-FR"/>
        </w:rPr>
        <w:t>’</w:t>
      </w:r>
      <w:r w:rsidRPr="00477EAB">
        <w:rPr>
          <w:lang w:val="fr-FR"/>
        </w:rPr>
        <w:t>essor de l</w:t>
      </w:r>
      <w:r w:rsidR="0064359F">
        <w:rPr>
          <w:lang w:val="fr-FR"/>
        </w:rPr>
        <w:t>’</w:t>
      </w:r>
      <w:r w:rsidRPr="00477EAB">
        <w:rPr>
          <w:lang w:val="fr-FR"/>
        </w:rPr>
        <w:t>intelligence artificielle et de l</w:t>
      </w:r>
      <w:r w:rsidR="0064359F">
        <w:rPr>
          <w:lang w:val="fr-FR"/>
        </w:rPr>
        <w:t>’</w:t>
      </w:r>
      <w:r w:rsidRPr="00477EAB">
        <w:rPr>
          <w:lang w:val="fr-FR"/>
        </w:rPr>
        <w:t>apprentissage automatique revêt donc une importance croissante pour les technologies visant à favoriser l</w:t>
      </w:r>
      <w:r w:rsidR="0064359F">
        <w:rPr>
          <w:lang w:val="fr-FR"/>
        </w:rPr>
        <w:t>’</w:t>
      </w:r>
      <w:r w:rsidRPr="00477EAB">
        <w:rPr>
          <w:lang w:val="fr-FR"/>
        </w:rPr>
        <w:t>accessibili</w:t>
      </w:r>
      <w:r w:rsidR="00146784" w:rsidRPr="00477EAB">
        <w:rPr>
          <w:lang w:val="fr-FR"/>
        </w:rPr>
        <w:t>té</w:t>
      </w:r>
      <w:r w:rsidR="00146784">
        <w:rPr>
          <w:lang w:val="fr-FR"/>
        </w:rPr>
        <w:t xml:space="preserve">.  </w:t>
      </w:r>
      <w:r w:rsidR="00146784" w:rsidRPr="00477EAB">
        <w:rPr>
          <w:lang w:val="fr-FR"/>
        </w:rPr>
        <w:t>L</w:t>
      </w:r>
      <w:r w:rsidR="00146784">
        <w:rPr>
          <w:lang w:val="fr-FR"/>
        </w:rPr>
        <w:t>’</w:t>
      </w:r>
      <w:r w:rsidR="00146784" w:rsidRPr="00477EAB">
        <w:rPr>
          <w:lang w:val="fr-FR"/>
        </w:rPr>
        <w:t>a</w:t>
      </w:r>
      <w:r w:rsidRPr="00477EAB">
        <w:rPr>
          <w:lang w:val="fr-FR"/>
        </w:rPr>
        <w:t>pprentissage automatique, par exemple, peut faciliter le recours à des technologies susceptibles de faciliter la compréhension du texte p</w:t>
      </w:r>
      <w:r w:rsidR="00322A7E" w:rsidRPr="00477EAB">
        <w:rPr>
          <w:lang w:val="fr-FR"/>
        </w:rPr>
        <w:t>ar</w:t>
      </w:r>
      <w:r w:rsidRPr="00477EAB">
        <w:rPr>
          <w:lang w:val="fr-FR"/>
        </w:rPr>
        <w:t xml:space="preserve"> les personnes présentant un handicap cognitif en produisant automatiquement des versions plus compréhensibles de texte, sans l</w:t>
      </w:r>
      <w:r w:rsidR="0064359F">
        <w:rPr>
          <w:lang w:val="fr-FR"/>
        </w:rPr>
        <w:t>’</w:t>
      </w:r>
      <w:r w:rsidRPr="00477EAB">
        <w:rPr>
          <w:lang w:val="fr-FR"/>
        </w:rPr>
        <w:t>aide d</w:t>
      </w:r>
      <w:r w:rsidR="0064359F">
        <w:rPr>
          <w:lang w:val="fr-FR"/>
        </w:rPr>
        <w:t>’</w:t>
      </w:r>
      <w:r w:rsidRPr="00477EAB">
        <w:rPr>
          <w:lang w:val="fr-FR"/>
        </w:rPr>
        <w:t>éditeurs humai</w:t>
      </w:r>
      <w:r w:rsidR="00146784" w:rsidRPr="00477EAB">
        <w:rPr>
          <w:lang w:val="fr-FR"/>
        </w:rPr>
        <w:t>ns</w:t>
      </w:r>
      <w:r w:rsidR="00146784">
        <w:rPr>
          <w:lang w:val="fr-FR"/>
        </w:rPr>
        <w:t xml:space="preserve">.  </w:t>
      </w:r>
      <w:r w:rsidR="00146784" w:rsidRPr="00477EAB">
        <w:rPr>
          <w:lang w:val="fr-FR"/>
        </w:rPr>
        <w:t>De</w:t>
      </w:r>
      <w:r w:rsidR="0085441F" w:rsidRPr="00477EAB">
        <w:rPr>
          <w:lang w:val="fr-FR"/>
        </w:rPr>
        <w:t>s chercheurs d</w:t>
      </w:r>
      <w:r w:rsidR="0064359F">
        <w:rPr>
          <w:lang w:val="fr-FR"/>
        </w:rPr>
        <w:t>’</w:t>
      </w:r>
      <w:r w:rsidR="0085441F" w:rsidRPr="00477EAB">
        <w:rPr>
          <w:lang w:val="fr-FR"/>
        </w:rPr>
        <w:t xml:space="preserve">IBM travaillent sur un logiciel de traitement du langage qui remplacerait des figures du langage telles que </w:t>
      </w:r>
      <w:r w:rsidR="009058D1" w:rsidRPr="00477EAB">
        <w:rPr>
          <w:lang w:val="fr-FR"/>
        </w:rPr>
        <w:t>“</w:t>
      </w:r>
      <w:r w:rsidR="0085441F" w:rsidRPr="00477EAB">
        <w:rPr>
          <w:lang w:val="fr-FR"/>
        </w:rPr>
        <w:t>pleuvoir à verse</w:t>
      </w:r>
      <w:r w:rsidR="009058D1" w:rsidRPr="00477EAB">
        <w:rPr>
          <w:lang w:val="fr-FR"/>
        </w:rPr>
        <w:t>”</w:t>
      </w:r>
      <w:r w:rsidR="0085441F" w:rsidRPr="00477EAB">
        <w:rPr>
          <w:lang w:val="fr-FR"/>
        </w:rPr>
        <w:t xml:space="preserve"> par des termes plus simples tels que </w:t>
      </w:r>
      <w:r w:rsidR="009058D1" w:rsidRPr="00477EAB">
        <w:rPr>
          <w:lang w:val="fr-FR"/>
        </w:rPr>
        <w:t>“</w:t>
      </w:r>
      <w:r w:rsidR="0085441F" w:rsidRPr="00477EAB">
        <w:rPr>
          <w:lang w:val="fr-FR"/>
        </w:rPr>
        <w:t>pleuvoir fort</w:t>
      </w:r>
      <w:r w:rsidR="009058D1" w:rsidRPr="00477EAB">
        <w:rPr>
          <w:lang w:val="fr-FR"/>
        </w:rPr>
        <w:t>”</w:t>
      </w:r>
      <w:r w:rsidR="0085441F" w:rsidRPr="00477EAB">
        <w:rPr>
          <w:lang w:val="fr-FR"/>
        </w:rPr>
        <w:t xml:space="preserve"> ou couperait des phrases longues comportant des clauses multiples formulées dans un langage indirect</w:t>
      </w:r>
      <w:r w:rsidR="0085441F" w:rsidRPr="00477EAB">
        <w:rPr>
          <w:rStyle w:val="FootnoteReference"/>
          <w:lang w:val="fr-FR"/>
        </w:rPr>
        <w:footnoteReference w:id="13"/>
      </w:r>
      <w:r w:rsidR="0085441F" w:rsidRPr="00477EAB">
        <w:rPr>
          <w:lang w:val="fr-FR"/>
        </w:rPr>
        <w:t>.</w:t>
      </w:r>
      <w:r w:rsidR="00C4000D" w:rsidRPr="00477EAB">
        <w:rPr>
          <w:lang w:val="fr-FR"/>
        </w:rPr>
        <w:t xml:space="preserve"> </w:t>
      </w:r>
      <w:r w:rsidR="006351E1" w:rsidRPr="00477EAB">
        <w:rPr>
          <w:lang w:val="fr-FR"/>
        </w:rPr>
        <w:t xml:space="preserve"> </w:t>
      </w:r>
      <w:r w:rsidR="0085441F" w:rsidRPr="00477EAB">
        <w:rPr>
          <w:lang w:val="fr-FR"/>
        </w:rPr>
        <w:t>Google a également eu recours à l</w:t>
      </w:r>
      <w:r w:rsidR="0064359F">
        <w:rPr>
          <w:lang w:val="fr-FR"/>
        </w:rPr>
        <w:t>’</w:t>
      </w:r>
      <w:r w:rsidR="0085441F" w:rsidRPr="00477EAB">
        <w:rPr>
          <w:lang w:val="fr-FR"/>
        </w:rPr>
        <w:t>apprentissage automatique pour développer son Cloud Vision API, qui s</w:t>
      </w:r>
      <w:r w:rsidR="0064359F">
        <w:rPr>
          <w:lang w:val="fr-FR"/>
        </w:rPr>
        <w:t>’</w:t>
      </w:r>
      <w:r w:rsidR="0085441F" w:rsidRPr="00477EAB">
        <w:rPr>
          <w:lang w:val="fr-FR"/>
        </w:rPr>
        <w:t>appuie sur des réseaux neuronaux pour classer les images et extraire des informations textuelles à l</w:t>
      </w:r>
      <w:r w:rsidR="0064359F">
        <w:rPr>
          <w:lang w:val="fr-FR"/>
        </w:rPr>
        <w:t>’</w:t>
      </w:r>
      <w:r w:rsidR="0085441F" w:rsidRPr="00477EAB">
        <w:rPr>
          <w:lang w:val="fr-FR"/>
        </w:rPr>
        <w:t>intention des personnes souffrant d</w:t>
      </w:r>
      <w:r w:rsidR="0064359F">
        <w:rPr>
          <w:lang w:val="fr-FR"/>
        </w:rPr>
        <w:t>’</w:t>
      </w:r>
      <w:r w:rsidR="0085441F" w:rsidRPr="00477EAB">
        <w:rPr>
          <w:lang w:val="fr-FR"/>
        </w:rPr>
        <w:t>une déficience visuelle</w:t>
      </w:r>
      <w:r w:rsidR="0085441F" w:rsidRPr="00477EAB">
        <w:rPr>
          <w:rStyle w:val="FootnoteReference"/>
          <w:lang w:val="fr-FR"/>
        </w:rPr>
        <w:footnoteReference w:id="14"/>
      </w:r>
      <w:r w:rsidR="0085441F" w:rsidRPr="00477EAB">
        <w:rPr>
          <w:lang w:val="fr-FR"/>
        </w:rPr>
        <w:t>.</w:t>
      </w:r>
    </w:p>
    <w:p w:rsidR="00EC5D18" w:rsidRDefault="00892EE4" w:rsidP="00477EAB">
      <w:pPr>
        <w:pStyle w:val="ONUMFS"/>
        <w:numPr>
          <w:ilvl w:val="0"/>
          <w:numId w:val="0"/>
        </w:numPr>
        <w:rPr>
          <w:lang w:val="fr-FR"/>
        </w:rPr>
      </w:pPr>
      <w:r w:rsidRPr="00477EAB">
        <w:rPr>
          <w:lang w:val="fr-FR"/>
        </w:rPr>
        <w:t>Il est également possible d</w:t>
      </w:r>
      <w:r w:rsidR="0064359F">
        <w:rPr>
          <w:lang w:val="fr-FR"/>
        </w:rPr>
        <w:t>’</w:t>
      </w:r>
      <w:r w:rsidRPr="00477EAB">
        <w:rPr>
          <w:lang w:val="fr-FR"/>
        </w:rPr>
        <w:t>élargir les fonctions des dispositifs d</w:t>
      </w:r>
      <w:r w:rsidR="0064359F">
        <w:rPr>
          <w:lang w:val="fr-FR"/>
        </w:rPr>
        <w:t>’</w:t>
      </w:r>
      <w:r w:rsidR="006351E1" w:rsidRPr="00477EAB">
        <w:rPr>
          <w:lang w:val="fr-FR"/>
        </w:rPr>
        <w:t>apprentissage automatique déjà utilisé</w:t>
      </w:r>
      <w:r w:rsidRPr="00477EAB">
        <w:rPr>
          <w:lang w:val="fr-FR"/>
        </w:rPr>
        <w:t>s</w:t>
      </w:r>
      <w:r w:rsidR="006351E1" w:rsidRPr="00477EAB">
        <w:rPr>
          <w:lang w:val="fr-FR"/>
        </w:rPr>
        <w:t>, tel</w:t>
      </w:r>
      <w:r w:rsidRPr="00477EAB">
        <w:rPr>
          <w:lang w:val="fr-FR"/>
        </w:rPr>
        <w:t>s</w:t>
      </w:r>
      <w:r w:rsidR="006351E1" w:rsidRPr="00477EAB">
        <w:rPr>
          <w:lang w:val="fr-FR"/>
        </w:rPr>
        <w:t xml:space="preserve"> que Amazon Alexa ou Google</w:t>
      </w:r>
      <w:r w:rsidRPr="00477EAB">
        <w:rPr>
          <w:lang w:val="fr-FR"/>
        </w:rPr>
        <w:t> </w:t>
      </w:r>
      <w:r w:rsidR="006351E1" w:rsidRPr="00477EAB">
        <w:rPr>
          <w:lang w:val="fr-FR"/>
        </w:rPr>
        <w:t xml:space="preserve">Home, </w:t>
      </w:r>
      <w:r w:rsidRPr="00477EAB">
        <w:rPr>
          <w:lang w:val="fr-FR"/>
        </w:rPr>
        <w:t>afin d</w:t>
      </w:r>
      <w:r w:rsidR="0064359F">
        <w:rPr>
          <w:lang w:val="fr-FR"/>
        </w:rPr>
        <w:t>’</w:t>
      </w:r>
      <w:r w:rsidRPr="00477EAB">
        <w:rPr>
          <w:lang w:val="fr-FR"/>
        </w:rPr>
        <w:t>apporter une assistance aux</w:t>
      </w:r>
      <w:r w:rsidR="006351E1" w:rsidRPr="00477EAB">
        <w:rPr>
          <w:lang w:val="fr-FR"/>
        </w:rPr>
        <w:t xml:space="preserve"> personnes souffrant de troubles de la parole et du langage</w:t>
      </w:r>
      <w:r w:rsidR="00C4000D" w:rsidRPr="00477EAB">
        <w:rPr>
          <w:rStyle w:val="FootnoteReference"/>
          <w:lang w:val="fr-FR"/>
        </w:rPr>
        <w:footnoteReference w:id="15"/>
      </w:r>
      <w:r w:rsidR="006351E1" w:rsidRPr="00477EAB">
        <w:rPr>
          <w:lang w:val="fr-FR"/>
        </w:rPr>
        <w:t>.  Ces technologies, appelées aides cognitives artificielles, pourraient un jour être utilisées dans le cadre d</w:t>
      </w:r>
      <w:r w:rsidR="0064359F">
        <w:rPr>
          <w:lang w:val="fr-FR"/>
        </w:rPr>
        <w:t>’</w:t>
      </w:r>
      <w:r w:rsidR="006351E1" w:rsidRPr="00477EAB">
        <w:rPr>
          <w:lang w:val="fr-FR"/>
        </w:rPr>
        <w:t xml:space="preserve">un service de soins à distance qui </w:t>
      </w:r>
      <w:r w:rsidR="006351E1" w:rsidRPr="00477EAB">
        <w:rPr>
          <w:lang w:val="fr-FR"/>
        </w:rPr>
        <w:lastRenderedPageBreak/>
        <w:t>pourrait alerter les hôpitaux et les infirmières lorsqu</w:t>
      </w:r>
      <w:r w:rsidR="0064359F">
        <w:rPr>
          <w:lang w:val="fr-FR"/>
        </w:rPr>
        <w:t>’</w:t>
      </w:r>
      <w:r w:rsidR="006351E1" w:rsidRPr="00477EAB">
        <w:rPr>
          <w:lang w:val="fr-FR"/>
        </w:rPr>
        <w:t>une personne montre des signes de danger ou de détresse</w:t>
      </w:r>
      <w:r w:rsidR="00C4000D" w:rsidRPr="00477EAB">
        <w:rPr>
          <w:rStyle w:val="FootnoteReference"/>
          <w:lang w:val="fr-FR"/>
        </w:rPr>
        <w:footnoteReference w:id="16"/>
      </w:r>
      <w:r w:rsidRPr="00477EAB">
        <w:rPr>
          <w:lang w:val="fr-FR"/>
        </w:rPr>
        <w:t>.</w:t>
      </w:r>
    </w:p>
    <w:p w:rsidR="00EC5D18" w:rsidRDefault="00680D79" w:rsidP="00477EAB">
      <w:pPr>
        <w:pStyle w:val="ONUMFS"/>
        <w:numPr>
          <w:ilvl w:val="0"/>
          <w:numId w:val="0"/>
        </w:numPr>
        <w:rPr>
          <w:lang w:val="fr-FR"/>
        </w:rPr>
      </w:pPr>
      <w:r w:rsidRPr="00477EAB">
        <w:rPr>
          <w:lang w:val="fr-FR"/>
        </w:rPr>
        <w:t>Les technologies visant à favoriser l</w:t>
      </w:r>
      <w:r w:rsidR="0064359F">
        <w:rPr>
          <w:lang w:val="fr-FR"/>
        </w:rPr>
        <w:t>’</w:t>
      </w:r>
      <w:r w:rsidRPr="00477EAB">
        <w:rPr>
          <w:lang w:val="fr-FR"/>
        </w:rPr>
        <w:t>accessibilité dont l</w:t>
      </w:r>
      <w:r w:rsidR="0064359F">
        <w:rPr>
          <w:lang w:val="fr-FR"/>
        </w:rPr>
        <w:t>’</w:t>
      </w:r>
      <w:r w:rsidRPr="00477EAB">
        <w:rPr>
          <w:lang w:val="fr-FR"/>
        </w:rPr>
        <w:t>application a été rendue possible par l</w:t>
      </w:r>
      <w:r w:rsidR="0064359F">
        <w:rPr>
          <w:lang w:val="fr-FR"/>
        </w:rPr>
        <w:t>’</w:t>
      </w:r>
      <w:r w:rsidRPr="00477EAB">
        <w:rPr>
          <w:lang w:val="fr-FR"/>
        </w:rPr>
        <w:t>apprentissage automatique peuvent permettre de surmonter l</w:t>
      </w:r>
      <w:r w:rsidR="00C55B16" w:rsidRPr="00477EAB">
        <w:rPr>
          <w:lang w:val="fr-FR"/>
        </w:rPr>
        <w:t>e manque d</w:t>
      </w:r>
      <w:r w:rsidR="0064359F">
        <w:rPr>
          <w:lang w:val="fr-FR"/>
        </w:rPr>
        <w:t>’</w:t>
      </w:r>
      <w:r w:rsidR="00C55B16" w:rsidRPr="00477EAB">
        <w:rPr>
          <w:lang w:val="fr-FR"/>
        </w:rPr>
        <w:t>e</w:t>
      </w:r>
      <w:r w:rsidRPr="00477EAB">
        <w:rPr>
          <w:lang w:val="fr-FR"/>
        </w:rPr>
        <w:t xml:space="preserve">fficacité de la </w:t>
      </w:r>
      <w:r w:rsidR="00C55B16" w:rsidRPr="00477EAB">
        <w:rPr>
          <w:lang w:val="fr-FR"/>
        </w:rPr>
        <w:t>conversion</w:t>
      </w:r>
      <w:r w:rsidRPr="00477EAB">
        <w:rPr>
          <w:lang w:val="fr-FR"/>
        </w:rPr>
        <w:t xml:space="preserve"> individuelle en automatisant </w:t>
      </w:r>
      <w:r w:rsidR="00C55B16" w:rsidRPr="00477EAB">
        <w:rPr>
          <w:lang w:val="fr-FR"/>
        </w:rPr>
        <w:t>l</w:t>
      </w:r>
      <w:r w:rsidRPr="00477EAB">
        <w:rPr>
          <w:lang w:val="fr-FR"/>
        </w:rPr>
        <w:t xml:space="preserve">es </w:t>
      </w:r>
      <w:r w:rsidR="008F1A4A" w:rsidRPr="00477EAB">
        <w:rPr>
          <w:lang w:val="fr-FR"/>
        </w:rPr>
        <w:t>actions menées en vue d</w:t>
      </w:r>
      <w:r w:rsidR="0064359F">
        <w:rPr>
          <w:lang w:val="fr-FR"/>
        </w:rPr>
        <w:t>’</w:t>
      </w:r>
      <w:r w:rsidR="008F1A4A" w:rsidRPr="00477EAB">
        <w:rPr>
          <w:lang w:val="fr-FR"/>
        </w:rPr>
        <w:t>assurer l</w:t>
      </w:r>
      <w:r w:rsidR="0064359F">
        <w:rPr>
          <w:lang w:val="fr-FR"/>
        </w:rPr>
        <w:t>’</w:t>
      </w:r>
      <w:r w:rsidRPr="00477EAB">
        <w:rPr>
          <w:lang w:val="fr-FR"/>
        </w:rPr>
        <w:t>accessibilité</w:t>
      </w:r>
      <w:r w:rsidR="008F1A4A" w:rsidRPr="00477EAB">
        <w:rPr>
          <w:lang w:val="fr-FR"/>
        </w:rPr>
        <w:t xml:space="preserve"> qui,</w:t>
      </w:r>
      <w:r w:rsidRPr="00477EAB">
        <w:rPr>
          <w:lang w:val="fr-FR"/>
        </w:rPr>
        <w:t xml:space="preserve"> autrement</w:t>
      </w:r>
      <w:r w:rsidR="004B0797" w:rsidRPr="00477EAB">
        <w:rPr>
          <w:lang w:val="fr-FR"/>
        </w:rPr>
        <w:t>,</w:t>
      </w:r>
      <w:r w:rsidRPr="00477EAB">
        <w:rPr>
          <w:lang w:val="fr-FR"/>
        </w:rPr>
        <w:t xml:space="preserve"> </w:t>
      </w:r>
      <w:r w:rsidR="008F1A4A" w:rsidRPr="00477EAB">
        <w:rPr>
          <w:lang w:val="fr-FR"/>
        </w:rPr>
        <w:t xml:space="preserve">auraient été </w:t>
      </w:r>
      <w:r w:rsidRPr="00477EAB">
        <w:rPr>
          <w:lang w:val="fr-FR"/>
        </w:rPr>
        <w:t>coûteu</w:t>
      </w:r>
      <w:r w:rsidR="008F1A4A" w:rsidRPr="00477EAB">
        <w:rPr>
          <w:lang w:val="fr-FR"/>
        </w:rPr>
        <w:t xml:space="preserve">ses, </w:t>
      </w:r>
      <w:r w:rsidRPr="00477EAB">
        <w:rPr>
          <w:lang w:val="fr-FR"/>
        </w:rPr>
        <w:t xml:space="preserve">et en permettant de </w:t>
      </w:r>
      <w:r w:rsidR="00C55B16" w:rsidRPr="00477EAB">
        <w:rPr>
          <w:lang w:val="fr-FR"/>
        </w:rPr>
        <w:t xml:space="preserve">convertir des œuvres </w:t>
      </w:r>
      <w:r w:rsidRPr="00477EAB">
        <w:rPr>
          <w:lang w:val="fr-FR"/>
        </w:rPr>
        <w:t xml:space="preserve">à </w:t>
      </w:r>
      <w:r w:rsidR="00C55B16" w:rsidRPr="00477EAB">
        <w:rPr>
          <w:lang w:val="fr-FR"/>
        </w:rPr>
        <w:t xml:space="preserve">grande </w:t>
      </w:r>
      <w:r w:rsidRPr="00477EAB">
        <w:rPr>
          <w:lang w:val="fr-FR"/>
        </w:rPr>
        <w:t>échel</w:t>
      </w:r>
      <w:r w:rsidR="00146784" w:rsidRPr="00477EAB">
        <w:rPr>
          <w:lang w:val="fr-FR"/>
        </w:rPr>
        <w:t>le</w:t>
      </w:r>
      <w:r w:rsidR="00146784">
        <w:rPr>
          <w:lang w:val="fr-FR"/>
        </w:rPr>
        <w:t xml:space="preserve">.  </w:t>
      </w:r>
      <w:r w:rsidR="00146784" w:rsidRPr="00477EAB">
        <w:rPr>
          <w:lang w:val="fr-FR"/>
        </w:rPr>
        <w:t>L</w:t>
      </w:r>
      <w:r w:rsidR="00146784">
        <w:rPr>
          <w:lang w:val="fr-FR"/>
        </w:rPr>
        <w:t>’</w:t>
      </w:r>
      <w:r w:rsidR="00146784" w:rsidRPr="00477EAB">
        <w:rPr>
          <w:lang w:val="fr-FR"/>
        </w:rPr>
        <w:t>a</w:t>
      </w:r>
      <w:r w:rsidRPr="00477EAB">
        <w:rPr>
          <w:lang w:val="fr-FR"/>
        </w:rPr>
        <w:t xml:space="preserve">pprentissage </w:t>
      </w:r>
      <w:r w:rsidR="008F1A4A" w:rsidRPr="00477EAB">
        <w:rPr>
          <w:lang w:val="fr-FR"/>
        </w:rPr>
        <w:t xml:space="preserve">automatique revêt donc une importance décisive dans la réalisation de </w:t>
      </w:r>
      <w:r w:rsidRPr="00477EAB">
        <w:rPr>
          <w:lang w:val="fr-FR"/>
        </w:rPr>
        <w:t>l</w:t>
      </w:r>
      <w:r w:rsidR="0064359F">
        <w:rPr>
          <w:lang w:val="fr-FR"/>
        </w:rPr>
        <w:t>’</w:t>
      </w:r>
      <w:r w:rsidRPr="00477EAB">
        <w:rPr>
          <w:lang w:val="fr-FR"/>
        </w:rPr>
        <w:t xml:space="preserve">objectif </w:t>
      </w:r>
      <w:r w:rsidR="008F1A4A" w:rsidRPr="00477EAB">
        <w:rPr>
          <w:lang w:val="fr-FR"/>
        </w:rPr>
        <w:t xml:space="preserve">visant à </w:t>
      </w:r>
      <w:r w:rsidRPr="00477EAB">
        <w:rPr>
          <w:lang w:val="fr-FR"/>
        </w:rPr>
        <w:t>élargir l</w:t>
      </w:r>
      <w:r w:rsidR="0064359F">
        <w:rPr>
          <w:lang w:val="fr-FR"/>
        </w:rPr>
        <w:t>’</w:t>
      </w:r>
      <w:r w:rsidRPr="00477EAB">
        <w:rPr>
          <w:lang w:val="fr-FR"/>
        </w:rPr>
        <w:t xml:space="preserve">accès des personnes handicapées aux </w:t>
      </w:r>
      <w:r w:rsidR="008F1A4A" w:rsidRPr="00477EAB">
        <w:rPr>
          <w:lang w:val="fr-FR"/>
        </w:rPr>
        <w:t>œuvres</w:t>
      </w:r>
      <w:r w:rsidR="00C4000D" w:rsidRPr="00477EAB">
        <w:rPr>
          <w:lang w:val="fr-FR"/>
        </w:rPr>
        <w:t>.</w:t>
      </w:r>
    </w:p>
    <w:p w:rsidR="00EC1FFD" w:rsidRPr="00477EAB" w:rsidRDefault="00477EAB" w:rsidP="00477EAB">
      <w:pPr>
        <w:pStyle w:val="Heading1"/>
        <w:rPr>
          <w:lang w:val="fr-FR"/>
        </w:rPr>
      </w:pPr>
      <w:bookmarkStart w:id="22" w:name="_Toc3361678"/>
      <w:bookmarkStart w:id="23" w:name="_Toc2872893"/>
      <w:bookmarkStart w:id="24" w:name="_Toc2872245"/>
      <w:r w:rsidRPr="00477EAB">
        <w:rPr>
          <w:lang w:val="fr-FR"/>
        </w:rPr>
        <w:t>Méthodologie</w:t>
      </w:r>
      <w:bookmarkEnd w:id="22"/>
      <w:bookmarkEnd w:id="23"/>
      <w:bookmarkEnd w:id="24"/>
    </w:p>
    <w:p w:rsidR="00477EAB" w:rsidRPr="00477EAB" w:rsidRDefault="00477EAB" w:rsidP="00477EAB">
      <w:pPr>
        <w:rPr>
          <w:lang w:val="fr-FR"/>
        </w:rPr>
      </w:pPr>
    </w:p>
    <w:p w:rsidR="00EC5D18" w:rsidRDefault="00EC1FFD" w:rsidP="00477EAB">
      <w:pPr>
        <w:pStyle w:val="ONUMFS"/>
        <w:numPr>
          <w:ilvl w:val="0"/>
          <w:numId w:val="0"/>
        </w:numPr>
        <w:rPr>
          <w:lang w:val="fr-FR"/>
        </w:rPr>
      </w:pPr>
      <w:r w:rsidRPr="00477EAB">
        <w:rPr>
          <w:lang w:val="fr-FR"/>
        </w:rPr>
        <w:t>L</w:t>
      </w:r>
      <w:r w:rsidR="0064359F">
        <w:rPr>
          <w:lang w:val="fr-FR"/>
        </w:rPr>
        <w:t>’</w:t>
      </w:r>
      <w:r w:rsidRPr="00477EAB">
        <w:rPr>
          <w:lang w:val="fr-FR"/>
        </w:rPr>
        <w:t>étude de l</w:t>
      </w:r>
      <w:r w:rsidR="0064359F">
        <w:rPr>
          <w:lang w:val="fr-FR"/>
        </w:rPr>
        <w:t>’</w:t>
      </w:r>
      <w:r w:rsidRPr="00477EAB">
        <w:rPr>
          <w:lang w:val="fr-FR"/>
        </w:rPr>
        <w:t xml:space="preserve">OMPI </w:t>
      </w:r>
      <w:r w:rsidR="008001C9" w:rsidRPr="00477EAB">
        <w:rPr>
          <w:lang w:val="fr-FR"/>
        </w:rPr>
        <w:t xml:space="preserve">réalisée </w:t>
      </w:r>
      <w:r w:rsidR="0064359F" w:rsidRPr="00477EAB">
        <w:rPr>
          <w:lang w:val="fr-FR"/>
        </w:rPr>
        <w:t>en</w:t>
      </w:r>
      <w:r w:rsidR="0064359F">
        <w:rPr>
          <w:lang w:val="fr-FR"/>
        </w:rPr>
        <w:t> </w:t>
      </w:r>
      <w:r w:rsidR="0064359F" w:rsidRPr="00477EAB">
        <w:rPr>
          <w:lang w:val="fr-FR"/>
        </w:rPr>
        <w:t>2017</w:t>
      </w:r>
      <w:r w:rsidRPr="00477EAB">
        <w:rPr>
          <w:lang w:val="fr-FR"/>
        </w:rPr>
        <w:t xml:space="preserve"> comprenait des questionnaires envoyés aux États membres </w:t>
      </w:r>
      <w:r w:rsidR="008001C9" w:rsidRPr="00477EAB">
        <w:rPr>
          <w:lang w:val="fr-FR"/>
        </w:rPr>
        <w:t>qui les ont</w:t>
      </w:r>
      <w:r w:rsidRPr="00477EAB">
        <w:rPr>
          <w:lang w:val="fr-FR"/>
        </w:rPr>
        <w:t xml:space="preserve"> remplis, tandis que les auteurs de la présente étude effectuaient des recherches indépendantes sur les régimes de droit d</w:t>
      </w:r>
      <w:r w:rsidR="0064359F">
        <w:rPr>
          <w:lang w:val="fr-FR"/>
        </w:rPr>
        <w:t>’</w:t>
      </w:r>
      <w:r w:rsidRPr="00477EAB">
        <w:rPr>
          <w:lang w:val="fr-FR"/>
        </w:rPr>
        <w:t>auteur des États membres de l</w:t>
      </w:r>
      <w:r w:rsidR="0064359F">
        <w:rPr>
          <w:lang w:val="fr-FR"/>
        </w:rPr>
        <w:t>’</w:t>
      </w:r>
      <w:r w:rsidRPr="00477EAB">
        <w:rPr>
          <w:lang w:val="fr-FR"/>
        </w:rPr>
        <w:t xml:space="preserve">OMPI, </w:t>
      </w:r>
      <w:r w:rsidR="008001C9" w:rsidRPr="00477EAB">
        <w:rPr>
          <w:lang w:val="fr-FR"/>
        </w:rPr>
        <w:t>complétant</w:t>
      </w:r>
      <w:r w:rsidRPr="00477EAB">
        <w:rPr>
          <w:lang w:val="fr-FR"/>
        </w:rPr>
        <w:t xml:space="preserve"> l</w:t>
      </w:r>
      <w:r w:rsidR="0064359F">
        <w:rPr>
          <w:lang w:val="fr-FR"/>
        </w:rPr>
        <w:t>’</w:t>
      </w:r>
      <w:r w:rsidRPr="00477EAB">
        <w:rPr>
          <w:lang w:val="fr-FR"/>
        </w:rPr>
        <w:t>étude précédente par des recherche</w:t>
      </w:r>
      <w:r w:rsidR="008001C9" w:rsidRPr="00477EAB">
        <w:rPr>
          <w:lang w:val="fr-FR"/>
        </w:rPr>
        <w:t>s</w:t>
      </w:r>
      <w:r w:rsidRPr="00477EAB">
        <w:rPr>
          <w:lang w:val="fr-FR"/>
        </w:rPr>
        <w:t xml:space="preserve"> adapté</w:t>
      </w:r>
      <w:r w:rsidR="008001C9" w:rsidRPr="00477EAB">
        <w:rPr>
          <w:lang w:val="fr-FR"/>
        </w:rPr>
        <w:t>e</w:t>
      </w:r>
      <w:r w:rsidRPr="00477EAB">
        <w:rPr>
          <w:lang w:val="fr-FR"/>
        </w:rPr>
        <w:t xml:space="preserve">s à des questions spécifiques </w:t>
      </w:r>
      <w:r w:rsidR="008001C9" w:rsidRPr="00477EAB">
        <w:rPr>
          <w:lang w:val="fr-FR"/>
        </w:rPr>
        <w:t>sur</w:t>
      </w:r>
      <w:r w:rsidRPr="00477EAB">
        <w:rPr>
          <w:lang w:val="fr-FR"/>
        </w:rPr>
        <w:t xml:space="preserve"> les dispositions relatives au handicap dans les régimes de droit d</w:t>
      </w:r>
      <w:r w:rsidR="0064359F">
        <w:rPr>
          <w:lang w:val="fr-FR"/>
        </w:rPr>
        <w:t>’</w:t>
      </w:r>
      <w:r w:rsidRPr="00477EAB">
        <w:rPr>
          <w:lang w:val="fr-FR"/>
        </w:rPr>
        <w:t>auteur.</w:t>
      </w:r>
    </w:p>
    <w:p w:rsidR="00EC1FFD" w:rsidRPr="00477EAB" w:rsidRDefault="008001C9" w:rsidP="00477EAB">
      <w:pPr>
        <w:pStyle w:val="ONUMFS"/>
        <w:numPr>
          <w:ilvl w:val="0"/>
          <w:numId w:val="0"/>
        </w:numPr>
        <w:rPr>
          <w:lang w:val="fr-FR"/>
        </w:rPr>
      </w:pPr>
      <w:r w:rsidRPr="00477EAB">
        <w:rPr>
          <w:lang w:val="fr-FR"/>
        </w:rPr>
        <w:t>L</w:t>
      </w:r>
      <w:r w:rsidR="00322A7E" w:rsidRPr="00477EAB">
        <w:rPr>
          <w:lang w:val="fr-FR"/>
        </w:rPr>
        <w:t xml:space="preserve">a présente </w:t>
      </w:r>
      <w:r w:rsidRPr="00477EAB">
        <w:rPr>
          <w:lang w:val="fr-FR"/>
        </w:rPr>
        <w:t xml:space="preserve">étude incorpore à la fois les données du questionnaire </w:t>
      </w:r>
      <w:r w:rsidR="0064359F" w:rsidRPr="00477EAB">
        <w:rPr>
          <w:lang w:val="fr-FR"/>
        </w:rPr>
        <w:t>de</w:t>
      </w:r>
      <w:r w:rsidR="0064359F">
        <w:rPr>
          <w:lang w:val="fr-FR"/>
        </w:rPr>
        <w:t> </w:t>
      </w:r>
      <w:r w:rsidR="0064359F" w:rsidRPr="00477EAB">
        <w:rPr>
          <w:lang w:val="fr-FR"/>
        </w:rPr>
        <w:t>2017</w:t>
      </w:r>
      <w:r w:rsidRPr="00477EAB">
        <w:rPr>
          <w:lang w:val="fr-FR"/>
        </w:rPr>
        <w:t xml:space="preserve"> et des recherches indépendantes menées par des étudiants diplômés de l</w:t>
      </w:r>
      <w:r w:rsidR="0064359F">
        <w:rPr>
          <w:lang w:val="fr-FR"/>
        </w:rPr>
        <w:t>’</w:t>
      </w:r>
      <w:r w:rsidRPr="00477EAB">
        <w:rPr>
          <w:lang w:val="fr-FR"/>
        </w:rPr>
        <w:t xml:space="preserve">Université du Cap et des étudiants </w:t>
      </w:r>
      <w:r w:rsidR="007568E4" w:rsidRPr="00477EAB">
        <w:rPr>
          <w:lang w:val="fr-FR"/>
        </w:rPr>
        <w:t xml:space="preserve">en droit </w:t>
      </w:r>
      <w:r w:rsidRPr="00477EAB">
        <w:rPr>
          <w:lang w:val="fr-FR"/>
        </w:rPr>
        <w:t>de la Samuelson</w:t>
      </w:r>
      <w:r w:rsidR="00146784">
        <w:rPr>
          <w:lang w:val="fr-FR"/>
        </w:rPr>
        <w:noBreakHyphen/>
      </w:r>
      <w:r w:rsidRPr="00477EAB">
        <w:rPr>
          <w:lang w:val="fr-FR"/>
        </w:rPr>
        <w:t xml:space="preserve">Glushko Technology Law &amp; Policy Clinic </w:t>
      </w:r>
      <w:r w:rsidR="007568E4" w:rsidRPr="00477EAB">
        <w:rPr>
          <w:lang w:val="fr-FR"/>
        </w:rPr>
        <w:t>de la faculté de droit de l</w:t>
      </w:r>
      <w:r w:rsidR="0064359F">
        <w:rPr>
          <w:lang w:val="fr-FR"/>
        </w:rPr>
        <w:t>’</w:t>
      </w:r>
      <w:r w:rsidR="007568E4" w:rsidRPr="00477EAB">
        <w:rPr>
          <w:lang w:val="fr-FR"/>
        </w:rPr>
        <w:t>Université du Colora</w:t>
      </w:r>
      <w:r w:rsidR="00146784" w:rsidRPr="00477EAB">
        <w:rPr>
          <w:lang w:val="fr-FR"/>
        </w:rPr>
        <w:t>do</w:t>
      </w:r>
      <w:r w:rsidR="00146784">
        <w:rPr>
          <w:lang w:val="fr-FR"/>
        </w:rPr>
        <w:t xml:space="preserve">.  </w:t>
      </w:r>
      <w:r w:rsidR="00146784" w:rsidRPr="00477EAB">
        <w:rPr>
          <w:lang w:val="fr-FR"/>
        </w:rPr>
        <w:t>Co</w:t>
      </w:r>
      <w:r w:rsidRPr="00477EAB">
        <w:rPr>
          <w:lang w:val="fr-FR"/>
        </w:rPr>
        <w:t>llectivement, les auteurs ont fait des recherches sur les diverses lois sur le droit d</w:t>
      </w:r>
      <w:r w:rsidR="0064359F">
        <w:rPr>
          <w:lang w:val="fr-FR"/>
        </w:rPr>
        <w:t>’</w:t>
      </w:r>
      <w:r w:rsidRPr="00477EAB">
        <w:rPr>
          <w:lang w:val="fr-FR"/>
        </w:rPr>
        <w:t>auteur de tous les États membres de l</w:t>
      </w:r>
      <w:r w:rsidR="0064359F">
        <w:rPr>
          <w:lang w:val="fr-FR"/>
        </w:rPr>
        <w:t>’</w:t>
      </w:r>
      <w:r w:rsidRPr="00477EAB">
        <w:rPr>
          <w:lang w:val="fr-FR"/>
        </w:rPr>
        <w:t>OMPI et sur toute disposition de ces lois prévoyant l</w:t>
      </w:r>
      <w:r w:rsidR="0064359F">
        <w:rPr>
          <w:lang w:val="fr-FR"/>
        </w:rPr>
        <w:t>’</w:t>
      </w:r>
      <w:r w:rsidRPr="00477EAB">
        <w:rPr>
          <w:lang w:val="fr-FR"/>
        </w:rPr>
        <w:t xml:space="preserve">utilisation </w:t>
      </w:r>
      <w:r w:rsidR="007568E4" w:rsidRPr="00477EAB">
        <w:rPr>
          <w:lang w:val="fr-FR"/>
        </w:rPr>
        <w:t xml:space="preserve">par les personnes handicapées </w:t>
      </w:r>
      <w:r w:rsidRPr="00477EAB">
        <w:rPr>
          <w:lang w:val="fr-FR"/>
        </w:rPr>
        <w:t>des œuvres protégées par le droit d</w:t>
      </w:r>
      <w:r w:rsidR="0064359F">
        <w:rPr>
          <w:lang w:val="fr-FR"/>
        </w:rPr>
        <w:t>’</w:t>
      </w:r>
      <w:r w:rsidRPr="00477EAB">
        <w:rPr>
          <w:lang w:val="fr-FR"/>
        </w:rPr>
        <w:t>auteur</w:t>
      </w:r>
      <w:r w:rsidR="00C4000D" w:rsidRPr="00477EAB">
        <w:rPr>
          <w:lang w:val="fr-FR"/>
        </w:rPr>
        <w:t>.</w:t>
      </w:r>
    </w:p>
    <w:p w:rsidR="00EC1FFD" w:rsidRPr="00477EAB" w:rsidRDefault="00477EAB" w:rsidP="00477EAB">
      <w:pPr>
        <w:pStyle w:val="Heading1"/>
        <w:rPr>
          <w:lang w:val="fr-FR"/>
        </w:rPr>
      </w:pPr>
      <w:bookmarkStart w:id="25" w:name="_sg8c27ed2ot5"/>
      <w:bookmarkStart w:id="26" w:name="_Toc2872248"/>
      <w:bookmarkStart w:id="27" w:name="_Toc2872896"/>
      <w:bookmarkStart w:id="28" w:name="_Toc3361681"/>
      <w:bookmarkEnd w:id="25"/>
      <w:r w:rsidRPr="00477EAB">
        <w:rPr>
          <w:lang w:val="fr-FR"/>
        </w:rPr>
        <w:t>Analyse</w:t>
      </w:r>
      <w:bookmarkEnd w:id="26"/>
      <w:bookmarkEnd w:id="27"/>
      <w:bookmarkEnd w:id="28"/>
    </w:p>
    <w:p w:rsidR="00477EAB" w:rsidRPr="00477EAB" w:rsidRDefault="00477EAB" w:rsidP="00477EAB">
      <w:pPr>
        <w:rPr>
          <w:lang w:val="fr-FR"/>
        </w:rPr>
      </w:pPr>
    </w:p>
    <w:p w:rsidR="00EC1FFD" w:rsidRPr="00477EAB" w:rsidRDefault="00F416A1" w:rsidP="00477EAB">
      <w:pPr>
        <w:pStyle w:val="ONUMFS"/>
        <w:numPr>
          <w:ilvl w:val="0"/>
          <w:numId w:val="0"/>
        </w:numPr>
        <w:rPr>
          <w:lang w:val="fr-FR"/>
        </w:rPr>
      </w:pPr>
      <w:r w:rsidRPr="00477EAB">
        <w:rPr>
          <w:lang w:val="fr-FR"/>
        </w:rPr>
        <w:t>La présente étude va au</w:t>
      </w:r>
      <w:r w:rsidR="00146784">
        <w:rPr>
          <w:lang w:val="fr-FR"/>
        </w:rPr>
        <w:noBreakHyphen/>
      </w:r>
      <w:r w:rsidRPr="00477EAB">
        <w:rPr>
          <w:lang w:val="fr-FR"/>
        </w:rPr>
        <w:t>delà du Traité de Marrakech en prenant en considération des handicaps autres que les difficultés de lecture des textes imprimés, et des œuvres autres que les œuvres littéraires et artistiques sous la forme de textes et d</w:t>
      </w:r>
      <w:r w:rsidR="0064359F">
        <w:rPr>
          <w:lang w:val="fr-FR"/>
        </w:rPr>
        <w:t>’</w:t>
      </w:r>
      <w:r w:rsidRPr="00477EAB">
        <w:rPr>
          <w:lang w:val="fr-FR"/>
        </w:rPr>
        <w:t>images connex</w:t>
      </w:r>
      <w:r w:rsidR="00146784" w:rsidRPr="00477EAB">
        <w:rPr>
          <w:lang w:val="fr-FR"/>
        </w:rPr>
        <w:t>es</w:t>
      </w:r>
      <w:r w:rsidR="00146784">
        <w:rPr>
          <w:lang w:val="fr-FR"/>
        </w:rPr>
        <w:t xml:space="preserve">.  </w:t>
      </w:r>
      <w:r w:rsidR="00146784" w:rsidRPr="00477EAB">
        <w:rPr>
          <w:lang w:val="fr-FR"/>
        </w:rPr>
        <w:t>Ce</w:t>
      </w:r>
      <w:r w:rsidRPr="00477EAB">
        <w:rPr>
          <w:lang w:val="fr-FR"/>
        </w:rPr>
        <w:t>pendant, il est essentiel de noter, dès le départ, que la définition du Traité de Marrakech concernant les difficultés de lecture des textes imprimés inclut les déficiences visuelles, mais aussi, dans une certaine mesure, les déficiences cognitives</w:t>
      </w:r>
      <w:r w:rsidR="00322A7E" w:rsidRPr="00477EAB">
        <w:rPr>
          <w:lang w:val="fr-FR"/>
        </w:rPr>
        <w:t xml:space="preserve"> ou </w:t>
      </w:r>
      <w:r w:rsidRPr="00477EAB">
        <w:rPr>
          <w:lang w:val="fr-FR"/>
        </w:rPr>
        <w:t xml:space="preserve">intellectuelles et </w:t>
      </w:r>
      <w:r w:rsidR="00322A7E" w:rsidRPr="00477EAB">
        <w:rPr>
          <w:lang w:val="fr-FR"/>
        </w:rPr>
        <w:t xml:space="preserve">les déficiences </w:t>
      </w:r>
      <w:r w:rsidRPr="00477EAB">
        <w:rPr>
          <w:lang w:val="fr-FR"/>
        </w:rPr>
        <w:t>physiques</w:t>
      </w:r>
      <w:r w:rsidR="00322A7E" w:rsidRPr="00477EAB">
        <w:rPr>
          <w:lang w:val="fr-FR"/>
        </w:rPr>
        <w:t xml:space="preserve"> ou </w:t>
      </w:r>
      <w:r w:rsidRPr="00477EAB">
        <w:rPr>
          <w:lang w:val="fr-FR"/>
        </w:rPr>
        <w:t>motrices</w:t>
      </w:r>
      <w:r w:rsidR="00C4000D" w:rsidRPr="00477EAB">
        <w:rPr>
          <w:lang w:val="fr-FR"/>
        </w:rPr>
        <w:t>.</w:t>
      </w:r>
    </w:p>
    <w:p w:rsidR="00EC1FFD" w:rsidRPr="00477EAB" w:rsidRDefault="00477EAB" w:rsidP="00477EAB">
      <w:pPr>
        <w:pStyle w:val="Heading2"/>
        <w:rPr>
          <w:lang w:val="fr-FR"/>
        </w:rPr>
      </w:pPr>
      <w:bookmarkStart w:id="29" w:name="_3sgt2jfyu1sj"/>
      <w:bookmarkStart w:id="30" w:name="_Toc2872249"/>
      <w:bookmarkStart w:id="31" w:name="_Toc2872897"/>
      <w:bookmarkStart w:id="32" w:name="_Toc3361682"/>
      <w:bookmarkEnd w:id="29"/>
      <w:r w:rsidRPr="00477EAB">
        <w:rPr>
          <w:lang w:val="fr-FR"/>
        </w:rPr>
        <w:t>Conclusions</w:t>
      </w:r>
      <w:bookmarkEnd w:id="30"/>
      <w:bookmarkEnd w:id="31"/>
      <w:bookmarkEnd w:id="32"/>
    </w:p>
    <w:p w:rsidR="00477EAB" w:rsidRPr="00477EAB" w:rsidRDefault="00477EAB" w:rsidP="00477EAB">
      <w:pPr>
        <w:rPr>
          <w:lang w:val="fr-FR"/>
        </w:rPr>
      </w:pPr>
    </w:p>
    <w:p w:rsidR="00EC5D18" w:rsidRDefault="005C7EAD" w:rsidP="00477EAB">
      <w:pPr>
        <w:pStyle w:val="ONUMFS"/>
        <w:numPr>
          <w:ilvl w:val="0"/>
          <w:numId w:val="0"/>
        </w:numPr>
        <w:rPr>
          <w:lang w:val="fr-FR"/>
        </w:rPr>
      </w:pPr>
      <w:r w:rsidRPr="00477EAB">
        <w:rPr>
          <w:lang w:val="fr-FR"/>
        </w:rPr>
        <w:t>L</w:t>
      </w:r>
      <w:r w:rsidR="0064359F">
        <w:rPr>
          <w:lang w:val="fr-FR"/>
        </w:rPr>
        <w:t>’</w:t>
      </w:r>
      <w:r w:rsidRPr="00477EAB">
        <w:rPr>
          <w:lang w:val="fr-FR"/>
        </w:rPr>
        <w:t>étude a établi qu</w:t>
      </w:r>
      <w:r w:rsidR="0064359F">
        <w:rPr>
          <w:lang w:val="fr-FR"/>
        </w:rPr>
        <w:t>’</w:t>
      </w:r>
      <w:r w:rsidRPr="00477EAB">
        <w:rPr>
          <w:lang w:val="fr-FR"/>
        </w:rPr>
        <w:t>il existe deux</w:t>
      </w:r>
      <w:r w:rsidR="002E22BD">
        <w:rPr>
          <w:lang w:val="fr-FR"/>
        </w:rPr>
        <w:t> </w:t>
      </w:r>
      <w:r w:rsidRPr="00477EAB">
        <w:rPr>
          <w:lang w:val="fr-FR"/>
        </w:rPr>
        <w:t>grandes catégories d</w:t>
      </w:r>
      <w:r w:rsidR="0064359F">
        <w:rPr>
          <w:lang w:val="fr-FR"/>
        </w:rPr>
        <w:t>’</w:t>
      </w:r>
      <w:r w:rsidRPr="00477EAB">
        <w:rPr>
          <w:lang w:val="fr-FR"/>
        </w:rPr>
        <w:t>exceptions et de limitations applicables</w:t>
      </w:r>
      <w:r w:rsidR="0064359F">
        <w:rPr>
          <w:lang w:val="fr-FR"/>
        </w:rPr>
        <w:t> :</w:t>
      </w:r>
      <w:r w:rsidRPr="00477EAB">
        <w:rPr>
          <w:lang w:val="fr-FR"/>
        </w:rPr>
        <w:t xml:space="preserve"> les dispositions particulières et les dispositions général</w:t>
      </w:r>
      <w:r w:rsidR="00146784" w:rsidRPr="00477EAB">
        <w:rPr>
          <w:lang w:val="fr-FR"/>
        </w:rPr>
        <w:t>es</w:t>
      </w:r>
      <w:r w:rsidR="00146784">
        <w:rPr>
          <w:lang w:val="fr-FR"/>
        </w:rPr>
        <w:t xml:space="preserve">.  </w:t>
      </w:r>
      <w:r w:rsidR="00146784" w:rsidRPr="00477EAB">
        <w:rPr>
          <w:lang w:val="fr-FR"/>
        </w:rPr>
        <w:t>Ce</w:t>
      </w:r>
      <w:r w:rsidRPr="00477EAB">
        <w:rPr>
          <w:lang w:val="fr-FR"/>
        </w:rPr>
        <w:t>s dispositions sont appliquées selon une approche unique ou une approche mixte</w:t>
      </w:r>
      <w:r w:rsidR="002716F5" w:rsidRPr="00477EAB">
        <w:rPr>
          <w:lang w:val="fr-FR"/>
        </w:rPr>
        <w:t xml:space="preserve"> ou </w:t>
      </w:r>
      <w:r w:rsidRPr="00477EAB">
        <w:rPr>
          <w:lang w:val="fr-FR"/>
        </w:rPr>
        <w:t>hybri</w:t>
      </w:r>
      <w:r w:rsidR="00146784" w:rsidRPr="00477EAB">
        <w:rPr>
          <w:lang w:val="fr-FR"/>
        </w:rPr>
        <w:t>de</w:t>
      </w:r>
      <w:r w:rsidR="00146784">
        <w:rPr>
          <w:lang w:val="fr-FR"/>
        </w:rPr>
        <w:t xml:space="preserve">.  </w:t>
      </w:r>
      <w:r w:rsidR="00146784" w:rsidRPr="00477EAB">
        <w:rPr>
          <w:lang w:val="fr-FR"/>
        </w:rPr>
        <w:t>Da</w:t>
      </w:r>
      <w:r w:rsidRPr="00477EAB">
        <w:rPr>
          <w:lang w:val="fr-FR"/>
        </w:rPr>
        <w:t xml:space="preserve">ns </w:t>
      </w:r>
      <w:r w:rsidR="002716F5" w:rsidRPr="00477EAB">
        <w:rPr>
          <w:lang w:val="fr-FR"/>
        </w:rPr>
        <w:t>l</w:t>
      </w:r>
      <w:r w:rsidR="0064359F">
        <w:rPr>
          <w:lang w:val="fr-FR"/>
        </w:rPr>
        <w:t>’</w:t>
      </w:r>
      <w:r w:rsidRPr="00477EAB">
        <w:rPr>
          <w:lang w:val="fr-FR"/>
        </w:rPr>
        <w:t xml:space="preserve">approche unique, seules des dispositions générales ou </w:t>
      </w:r>
      <w:r w:rsidR="002716F5" w:rsidRPr="00477EAB">
        <w:rPr>
          <w:lang w:val="fr-FR"/>
        </w:rPr>
        <w:t>des dispositions particulières</w:t>
      </w:r>
      <w:r w:rsidRPr="00477EAB">
        <w:rPr>
          <w:lang w:val="fr-FR"/>
        </w:rPr>
        <w:t xml:space="preserve"> sont </w:t>
      </w:r>
      <w:r w:rsidR="002716F5" w:rsidRPr="00477EAB">
        <w:rPr>
          <w:lang w:val="fr-FR"/>
        </w:rPr>
        <w:t>appliqué</w:t>
      </w:r>
      <w:r w:rsidR="00146784" w:rsidRPr="00477EAB">
        <w:rPr>
          <w:lang w:val="fr-FR"/>
        </w:rPr>
        <w:t>es</w:t>
      </w:r>
      <w:r w:rsidR="00146784">
        <w:rPr>
          <w:lang w:val="fr-FR"/>
        </w:rPr>
        <w:t xml:space="preserve">.  </w:t>
      </w:r>
      <w:r w:rsidR="00146784" w:rsidRPr="00477EAB">
        <w:rPr>
          <w:lang w:val="fr-FR"/>
        </w:rPr>
        <w:t>Da</w:t>
      </w:r>
      <w:r w:rsidRPr="00477EAB">
        <w:rPr>
          <w:lang w:val="fr-FR"/>
        </w:rPr>
        <w:t xml:space="preserve">ns </w:t>
      </w:r>
      <w:r w:rsidR="002716F5" w:rsidRPr="00477EAB">
        <w:rPr>
          <w:lang w:val="fr-FR"/>
        </w:rPr>
        <w:t>l</w:t>
      </w:r>
      <w:r w:rsidR="0064359F">
        <w:rPr>
          <w:lang w:val="fr-FR"/>
        </w:rPr>
        <w:t>’</w:t>
      </w:r>
      <w:r w:rsidRPr="00477EAB">
        <w:rPr>
          <w:lang w:val="fr-FR"/>
        </w:rPr>
        <w:t>approche mixte</w:t>
      </w:r>
      <w:r w:rsidR="002716F5" w:rsidRPr="00477EAB">
        <w:rPr>
          <w:lang w:val="fr-FR"/>
        </w:rPr>
        <w:t xml:space="preserve"> ou </w:t>
      </w:r>
      <w:r w:rsidRPr="00477EAB">
        <w:rPr>
          <w:lang w:val="fr-FR"/>
        </w:rPr>
        <w:t>hybride, la législation sur le droit d</w:t>
      </w:r>
      <w:r w:rsidR="0064359F">
        <w:rPr>
          <w:lang w:val="fr-FR"/>
        </w:rPr>
        <w:t>’</w:t>
      </w:r>
      <w:r w:rsidRPr="00477EAB">
        <w:rPr>
          <w:lang w:val="fr-FR"/>
        </w:rPr>
        <w:t xml:space="preserve">auteur contient </w:t>
      </w:r>
      <w:r w:rsidR="002716F5" w:rsidRPr="00477EAB">
        <w:rPr>
          <w:lang w:val="fr-FR"/>
        </w:rPr>
        <w:t xml:space="preserve">aussi bien </w:t>
      </w:r>
      <w:r w:rsidRPr="00477EAB">
        <w:rPr>
          <w:lang w:val="fr-FR"/>
        </w:rPr>
        <w:t xml:space="preserve">des dispositions </w:t>
      </w:r>
      <w:r w:rsidR="002716F5" w:rsidRPr="00477EAB">
        <w:rPr>
          <w:lang w:val="fr-FR"/>
        </w:rPr>
        <w:t>particulières que des dispositions</w:t>
      </w:r>
      <w:r w:rsidRPr="00477EAB">
        <w:rPr>
          <w:lang w:val="fr-FR"/>
        </w:rPr>
        <w:t xml:space="preserve"> générales</w:t>
      </w:r>
      <w:r w:rsidR="00C4000D" w:rsidRPr="00477EAB">
        <w:rPr>
          <w:lang w:val="fr-FR"/>
        </w:rPr>
        <w:t>.</w:t>
      </w:r>
    </w:p>
    <w:p w:rsidR="00EC1FFD" w:rsidRPr="00477EAB" w:rsidRDefault="002716F5" w:rsidP="00477EAB">
      <w:pPr>
        <w:pStyle w:val="ONUMFS"/>
        <w:numPr>
          <w:ilvl w:val="0"/>
          <w:numId w:val="0"/>
        </w:numPr>
        <w:rPr>
          <w:lang w:val="fr-FR"/>
        </w:rPr>
      </w:pPr>
      <w:r w:rsidRPr="00477EAB">
        <w:rPr>
          <w:lang w:val="fr-FR"/>
        </w:rPr>
        <w:t>La législation des États membres comportant des dispositions particulières définit les handicaps pris en considération (auditifs, visuels, cognitifs ou physiqu</w:t>
      </w:r>
      <w:r w:rsidR="00146784" w:rsidRPr="00477EAB">
        <w:rPr>
          <w:lang w:val="fr-FR"/>
        </w:rPr>
        <w:t>es)</w:t>
      </w:r>
      <w:r w:rsidR="00146784">
        <w:rPr>
          <w:lang w:val="fr-FR"/>
        </w:rPr>
        <w:t xml:space="preserve">.  </w:t>
      </w:r>
      <w:r w:rsidR="00146784" w:rsidRPr="00477EAB">
        <w:rPr>
          <w:lang w:val="fr-FR"/>
        </w:rPr>
        <w:t>El</w:t>
      </w:r>
      <w:r w:rsidRPr="00477EAB">
        <w:rPr>
          <w:lang w:val="fr-FR"/>
        </w:rPr>
        <w:t xml:space="preserve">le précise ensuite qui peut réaliser les </w:t>
      </w:r>
      <w:r w:rsidR="00AB78B3" w:rsidRPr="00477EAB">
        <w:rPr>
          <w:lang w:val="fr-FR"/>
        </w:rPr>
        <w:t>exemplaires</w:t>
      </w:r>
      <w:r w:rsidRPr="00477EAB">
        <w:rPr>
          <w:lang w:val="fr-FR"/>
        </w:rPr>
        <w:t xml:space="preserve"> en format accessible, quels types d</w:t>
      </w:r>
      <w:r w:rsidR="0064359F">
        <w:rPr>
          <w:lang w:val="fr-FR"/>
        </w:rPr>
        <w:t>’</w:t>
      </w:r>
      <w:r w:rsidRPr="00477EAB">
        <w:rPr>
          <w:lang w:val="fr-FR"/>
        </w:rPr>
        <w:t>œuvres et de droits font l</w:t>
      </w:r>
      <w:r w:rsidR="0064359F">
        <w:rPr>
          <w:lang w:val="fr-FR"/>
        </w:rPr>
        <w:t>’</w:t>
      </w:r>
      <w:r w:rsidRPr="00477EAB">
        <w:rPr>
          <w:lang w:val="fr-FR"/>
        </w:rPr>
        <w:t>objet d</w:t>
      </w:r>
      <w:r w:rsidR="0064359F">
        <w:rPr>
          <w:lang w:val="fr-FR"/>
        </w:rPr>
        <w:t>’</w:t>
      </w:r>
      <w:r w:rsidRPr="00477EAB">
        <w:rPr>
          <w:lang w:val="fr-FR"/>
        </w:rPr>
        <w:t>une exception et quelles sont les conditions à rempl</w:t>
      </w:r>
      <w:r w:rsidR="00146784" w:rsidRPr="00477EAB">
        <w:rPr>
          <w:lang w:val="fr-FR"/>
        </w:rPr>
        <w:t>ir</w:t>
      </w:r>
      <w:r w:rsidR="00146784">
        <w:rPr>
          <w:lang w:val="fr-FR"/>
        </w:rPr>
        <w:t xml:space="preserve">.  </w:t>
      </w:r>
      <w:r w:rsidR="00146784" w:rsidRPr="00477EAB">
        <w:rPr>
          <w:lang w:val="fr-FR"/>
        </w:rPr>
        <w:t>Ce</w:t>
      </w:r>
      <w:r w:rsidRPr="00477EAB">
        <w:rPr>
          <w:lang w:val="fr-FR"/>
        </w:rPr>
        <w:t xml:space="preserve">rtains pays ont également </w:t>
      </w:r>
      <w:r w:rsidR="00F74AF3" w:rsidRPr="00477EAB">
        <w:rPr>
          <w:lang w:val="fr-FR"/>
        </w:rPr>
        <w:t xml:space="preserve">adopté </w:t>
      </w:r>
      <w:r w:rsidRPr="00477EAB">
        <w:rPr>
          <w:lang w:val="fr-FR"/>
        </w:rPr>
        <w:t xml:space="preserve">des dispositions </w:t>
      </w:r>
      <w:r w:rsidR="00F74AF3" w:rsidRPr="00477EAB">
        <w:rPr>
          <w:lang w:val="fr-FR"/>
        </w:rPr>
        <w:t>relatives à l</w:t>
      </w:r>
      <w:r w:rsidR="0064359F">
        <w:rPr>
          <w:lang w:val="fr-FR"/>
        </w:rPr>
        <w:t>’</w:t>
      </w:r>
      <w:r w:rsidRPr="00477EAB">
        <w:rPr>
          <w:lang w:val="fr-FR"/>
        </w:rPr>
        <w:t>importation</w:t>
      </w:r>
      <w:r w:rsidR="00F74AF3" w:rsidRPr="00477EAB">
        <w:rPr>
          <w:lang w:val="fr-FR"/>
        </w:rPr>
        <w:t xml:space="preserve"> ou à l</w:t>
      </w:r>
      <w:r w:rsidR="0064359F">
        <w:rPr>
          <w:lang w:val="fr-FR"/>
        </w:rPr>
        <w:t>’</w:t>
      </w:r>
      <w:r w:rsidR="00F74AF3" w:rsidRPr="00477EAB">
        <w:rPr>
          <w:lang w:val="fr-FR"/>
        </w:rPr>
        <w:t>e</w:t>
      </w:r>
      <w:r w:rsidRPr="00477EAB">
        <w:rPr>
          <w:lang w:val="fr-FR"/>
        </w:rPr>
        <w:t xml:space="preserve">xportation et des dispositions </w:t>
      </w:r>
      <w:r w:rsidR="00F74AF3" w:rsidRPr="00477EAB">
        <w:rPr>
          <w:lang w:val="fr-FR"/>
        </w:rPr>
        <w:t>antineutralisation</w:t>
      </w:r>
      <w:r w:rsidRPr="00477EAB">
        <w:rPr>
          <w:lang w:val="fr-FR"/>
        </w:rPr>
        <w:t xml:space="preserve"> </w:t>
      </w:r>
      <w:r w:rsidRPr="00477EAB">
        <w:rPr>
          <w:lang w:val="fr-FR"/>
        </w:rPr>
        <w:lastRenderedPageBreak/>
        <w:t xml:space="preserve">qui permettent également </w:t>
      </w:r>
      <w:r w:rsidR="00AB78B3" w:rsidRPr="00477EAB">
        <w:rPr>
          <w:lang w:val="fr-FR"/>
        </w:rPr>
        <w:t>d</w:t>
      </w:r>
      <w:r w:rsidR="0064359F">
        <w:rPr>
          <w:lang w:val="fr-FR"/>
        </w:rPr>
        <w:t>’</w:t>
      </w:r>
      <w:r w:rsidR="00AB78B3" w:rsidRPr="00477EAB">
        <w:rPr>
          <w:lang w:val="fr-FR"/>
        </w:rPr>
        <w:t>invoquer</w:t>
      </w:r>
      <w:r w:rsidRPr="00477EAB">
        <w:rPr>
          <w:lang w:val="fr-FR"/>
        </w:rPr>
        <w:t xml:space="preserve"> </w:t>
      </w:r>
      <w:r w:rsidR="00F74AF3" w:rsidRPr="00477EAB">
        <w:rPr>
          <w:lang w:val="fr-FR"/>
        </w:rPr>
        <w:t>l</w:t>
      </w:r>
      <w:r w:rsidR="0064359F">
        <w:rPr>
          <w:lang w:val="fr-FR"/>
        </w:rPr>
        <w:t>’</w:t>
      </w:r>
      <w:r w:rsidR="00F74AF3" w:rsidRPr="00477EAB">
        <w:rPr>
          <w:lang w:val="fr-FR"/>
        </w:rPr>
        <w:t>argument selon lequel</w:t>
      </w:r>
      <w:r w:rsidRPr="00477EAB">
        <w:rPr>
          <w:lang w:val="fr-FR"/>
        </w:rPr>
        <w:t xml:space="preserve"> </w:t>
      </w:r>
      <w:r w:rsidR="00F74AF3" w:rsidRPr="00477EAB">
        <w:rPr>
          <w:lang w:val="fr-FR"/>
        </w:rPr>
        <w:t>la neutralisation</w:t>
      </w:r>
      <w:r w:rsidRPr="00477EAB">
        <w:rPr>
          <w:lang w:val="fr-FR"/>
        </w:rPr>
        <w:t xml:space="preserve"> </w:t>
      </w:r>
      <w:r w:rsidR="00AB78B3" w:rsidRPr="00477EAB">
        <w:rPr>
          <w:lang w:val="fr-FR"/>
        </w:rPr>
        <w:t>a été effectuée en vue de</w:t>
      </w:r>
      <w:r w:rsidRPr="00477EAB">
        <w:rPr>
          <w:lang w:val="fr-FR"/>
        </w:rPr>
        <w:t xml:space="preserve"> faciliter la réalisation </w:t>
      </w:r>
      <w:r w:rsidR="00AB78B3" w:rsidRPr="00477EAB">
        <w:rPr>
          <w:lang w:val="fr-FR"/>
        </w:rPr>
        <w:t>d</w:t>
      </w:r>
      <w:r w:rsidR="0064359F">
        <w:rPr>
          <w:lang w:val="fr-FR"/>
        </w:rPr>
        <w:t>’</w:t>
      </w:r>
      <w:r w:rsidR="00AB78B3" w:rsidRPr="00477EAB">
        <w:rPr>
          <w:lang w:val="fr-FR"/>
        </w:rPr>
        <w:t>exemplaires</w:t>
      </w:r>
      <w:r w:rsidRPr="00477EAB">
        <w:rPr>
          <w:lang w:val="fr-FR"/>
        </w:rPr>
        <w:t xml:space="preserve"> </w:t>
      </w:r>
      <w:r w:rsidR="00F74AF3" w:rsidRPr="00477EAB">
        <w:rPr>
          <w:lang w:val="fr-FR"/>
        </w:rPr>
        <w:t>en format</w:t>
      </w:r>
      <w:r w:rsidRPr="00477EAB">
        <w:rPr>
          <w:lang w:val="fr-FR"/>
        </w:rPr>
        <w:t xml:space="preserve"> accessible au</w:t>
      </w:r>
      <w:r w:rsidR="00AB78B3" w:rsidRPr="00477EAB">
        <w:rPr>
          <w:lang w:val="fr-FR"/>
        </w:rPr>
        <w:t xml:space="preserve"> titre des </w:t>
      </w:r>
      <w:r w:rsidRPr="00477EAB">
        <w:rPr>
          <w:lang w:val="fr-FR"/>
        </w:rPr>
        <w:t xml:space="preserve">exceptions pertinentes </w:t>
      </w:r>
      <w:r w:rsidR="00AB78B3" w:rsidRPr="00477EAB">
        <w:rPr>
          <w:lang w:val="fr-FR"/>
        </w:rPr>
        <w:t>prévues dans</w:t>
      </w:r>
      <w:r w:rsidRPr="00477EAB">
        <w:rPr>
          <w:lang w:val="fr-FR"/>
        </w:rPr>
        <w:t xml:space="preserve"> la législation sur le droit d</w:t>
      </w:r>
      <w:r w:rsidR="0064359F">
        <w:rPr>
          <w:lang w:val="fr-FR"/>
        </w:rPr>
        <w:t>’</w:t>
      </w:r>
      <w:r w:rsidRPr="00477EAB">
        <w:rPr>
          <w:lang w:val="fr-FR"/>
        </w:rPr>
        <w:t>auteur (</w:t>
      </w:r>
      <w:r w:rsidR="009058D1" w:rsidRPr="00477EAB">
        <w:rPr>
          <w:lang w:val="fr-FR"/>
        </w:rPr>
        <w:t>“</w:t>
      </w:r>
      <w:r w:rsidRPr="00477EAB">
        <w:rPr>
          <w:lang w:val="fr-FR"/>
        </w:rPr>
        <w:t xml:space="preserve">exceptions </w:t>
      </w:r>
      <w:r w:rsidR="00F74AF3" w:rsidRPr="00477EAB">
        <w:rPr>
          <w:lang w:val="fr-FR"/>
        </w:rPr>
        <w:t xml:space="preserve">en faveur des personnes </w:t>
      </w:r>
      <w:r w:rsidRPr="00477EAB">
        <w:rPr>
          <w:lang w:val="fr-FR"/>
        </w:rPr>
        <w:t>handicapé</w:t>
      </w:r>
      <w:r w:rsidR="00AB78B3" w:rsidRPr="00477EAB">
        <w:rPr>
          <w:lang w:val="fr-FR"/>
        </w:rPr>
        <w:t>e</w:t>
      </w:r>
      <w:r w:rsidRPr="00477EAB">
        <w:rPr>
          <w:lang w:val="fr-FR"/>
        </w:rPr>
        <w:t>s</w:t>
      </w:r>
      <w:r w:rsidR="009058D1" w:rsidRPr="00477EAB">
        <w:rPr>
          <w:lang w:val="fr-FR"/>
        </w:rPr>
        <w:t>”</w:t>
      </w:r>
      <w:r w:rsidRPr="00477EAB">
        <w:rPr>
          <w:lang w:val="fr-FR"/>
        </w:rPr>
        <w:t xml:space="preserve">). </w:t>
      </w:r>
      <w:r w:rsidR="00AB78B3" w:rsidRPr="00477EAB">
        <w:rPr>
          <w:lang w:val="fr-FR"/>
        </w:rPr>
        <w:t xml:space="preserve"> </w:t>
      </w:r>
      <w:r w:rsidRPr="00477EAB">
        <w:rPr>
          <w:lang w:val="fr-FR"/>
        </w:rPr>
        <w:t>Lorsque de telles dispositions n</w:t>
      </w:r>
      <w:r w:rsidR="0064359F">
        <w:rPr>
          <w:lang w:val="fr-FR"/>
        </w:rPr>
        <w:t>’</w:t>
      </w:r>
      <w:r w:rsidRPr="00477EAB">
        <w:rPr>
          <w:lang w:val="fr-FR"/>
        </w:rPr>
        <w:t>existent pas dans la législation, les dispositions anti</w:t>
      </w:r>
      <w:r w:rsidR="00AB78B3" w:rsidRPr="00477EAB">
        <w:rPr>
          <w:lang w:val="fr-FR"/>
        </w:rPr>
        <w:t>neutralisation</w:t>
      </w:r>
      <w:r w:rsidRPr="00477EAB">
        <w:rPr>
          <w:lang w:val="fr-FR"/>
        </w:rPr>
        <w:t xml:space="preserve"> e</w:t>
      </w:r>
      <w:r w:rsidR="00AB78B3" w:rsidRPr="00477EAB">
        <w:rPr>
          <w:lang w:val="fr-FR"/>
        </w:rPr>
        <w:t xml:space="preserve">mpêchent </w:t>
      </w:r>
      <w:r w:rsidRPr="00477EAB">
        <w:rPr>
          <w:lang w:val="fr-FR"/>
        </w:rPr>
        <w:t xml:space="preserve">la réalisation </w:t>
      </w:r>
      <w:r w:rsidR="00AB78B3" w:rsidRPr="00477EAB">
        <w:rPr>
          <w:lang w:val="fr-FR"/>
        </w:rPr>
        <w:t>d</w:t>
      </w:r>
      <w:r w:rsidR="0064359F">
        <w:rPr>
          <w:lang w:val="fr-FR"/>
        </w:rPr>
        <w:t>’</w:t>
      </w:r>
      <w:r w:rsidR="00AB78B3" w:rsidRPr="00477EAB">
        <w:rPr>
          <w:lang w:val="fr-FR"/>
        </w:rPr>
        <w:t>exemplaires</w:t>
      </w:r>
      <w:r w:rsidRPr="00477EAB">
        <w:rPr>
          <w:lang w:val="fr-FR"/>
        </w:rPr>
        <w:t xml:space="preserve"> </w:t>
      </w:r>
      <w:r w:rsidR="00AB78B3" w:rsidRPr="00477EAB">
        <w:rPr>
          <w:lang w:val="fr-FR"/>
        </w:rPr>
        <w:t>en format</w:t>
      </w:r>
      <w:r w:rsidRPr="00477EAB">
        <w:rPr>
          <w:lang w:val="fr-FR"/>
        </w:rPr>
        <w:t xml:space="preserve"> accessib</w:t>
      </w:r>
      <w:r w:rsidR="00146784" w:rsidRPr="00477EAB">
        <w:rPr>
          <w:lang w:val="fr-FR"/>
        </w:rPr>
        <w:t>le</w:t>
      </w:r>
      <w:r w:rsidR="00146784">
        <w:rPr>
          <w:lang w:val="fr-FR"/>
        </w:rPr>
        <w:t xml:space="preserve">.  </w:t>
      </w:r>
      <w:r w:rsidR="00146784" w:rsidRPr="00477EAB">
        <w:rPr>
          <w:lang w:val="fr-FR"/>
        </w:rPr>
        <w:t>Le</w:t>
      </w:r>
      <w:r w:rsidRPr="00477EAB">
        <w:rPr>
          <w:lang w:val="fr-FR"/>
        </w:rPr>
        <w:t xml:space="preserve">s dispositions générales ne mentionnent pas expressément le handicap, mais elles sont rédigées en </w:t>
      </w:r>
      <w:r w:rsidR="00AB78B3" w:rsidRPr="00477EAB">
        <w:rPr>
          <w:lang w:val="fr-FR"/>
        </w:rPr>
        <w:t xml:space="preserve">des </w:t>
      </w:r>
      <w:r w:rsidRPr="00477EAB">
        <w:rPr>
          <w:lang w:val="fr-FR"/>
        </w:rPr>
        <w:t>termes si généraux qu</w:t>
      </w:r>
      <w:r w:rsidR="0064359F">
        <w:rPr>
          <w:lang w:val="fr-FR"/>
        </w:rPr>
        <w:t>’</w:t>
      </w:r>
      <w:r w:rsidRPr="00477EAB">
        <w:rPr>
          <w:lang w:val="fr-FR"/>
        </w:rPr>
        <w:t xml:space="preserve">elles </w:t>
      </w:r>
      <w:r w:rsidR="00AB78B3" w:rsidRPr="00477EAB">
        <w:rPr>
          <w:lang w:val="fr-FR"/>
        </w:rPr>
        <w:t>englobent</w:t>
      </w:r>
      <w:r w:rsidRPr="00477EAB">
        <w:rPr>
          <w:lang w:val="fr-FR"/>
        </w:rPr>
        <w:t xml:space="preserve"> la </w:t>
      </w:r>
      <w:r w:rsidR="00AB78B3" w:rsidRPr="00477EAB">
        <w:rPr>
          <w:lang w:val="fr-FR"/>
        </w:rPr>
        <w:t>réalisation</w:t>
      </w:r>
      <w:r w:rsidRPr="00477EAB">
        <w:rPr>
          <w:lang w:val="fr-FR"/>
        </w:rPr>
        <w:t xml:space="preserve"> et la diffusion d</w:t>
      </w:r>
      <w:r w:rsidR="0064359F">
        <w:rPr>
          <w:lang w:val="fr-FR"/>
        </w:rPr>
        <w:t>’</w:t>
      </w:r>
      <w:r w:rsidRPr="00477EAB">
        <w:rPr>
          <w:lang w:val="fr-FR"/>
        </w:rPr>
        <w:t xml:space="preserve">exemplaires </w:t>
      </w:r>
      <w:r w:rsidR="00AB78B3" w:rsidRPr="00477EAB">
        <w:rPr>
          <w:lang w:val="fr-FR"/>
        </w:rPr>
        <w:t xml:space="preserve">en format </w:t>
      </w:r>
      <w:r w:rsidRPr="00477EAB">
        <w:rPr>
          <w:lang w:val="fr-FR"/>
        </w:rPr>
        <w:t>accessible</w:t>
      </w:r>
      <w:r w:rsidR="00AB78B3" w:rsidRPr="00477EAB">
        <w:rPr>
          <w:lang w:val="fr-FR"/>
        </w:rPr>
        <w:t xml:space="preserve"> destiné</w:t>
      </w:r>
      <w:r w:rsidRPr="00477EAB">
        <w:rPr>
          <w:lang w:val="fr-FR"/>
        </w:rPr>
        <w:t>s aux personnes handicapées</w:t>
      </w:r>
      <w:r w:rsidR="00C4000D" w:rsidRPr="00477EAB">
        <w:rPr>
          <w:lang w:val="fr-FR"/>
        </w:rPr>
        <w:t>.</w:t>
      </w:r>
    </w:p>
    <w:p w:rsidR="00EC1FFD" w:rsidRPr="00477EAB" w:rsidRDefault="00AB78B3" w:rsidP="00477EAB">
      <w:pPr>
        <w:pStyle w:val="Heading3"/>
        <w:rPr>
          <w:lang w:val="fr-FR"/>
        </w:rPr>
      </w:pPr>
      <w:bookmarkStart w:id="33" w:name="_Toc3361683"/>
      <w:bookmarkStart w:id="34" w:name="_Toc2872898"/>
      <w:bookmarkStart w:id="35" w:name="_Toc2872250"/>
      <w:r w:rsidRPr="00477EAB">
        <w:rPr>
          <w:lang w:val="fr-FR"/>
        </w:rPr>
        <w:t xml:space="preserve">Approche unique ou approche </w:t>
      </w:r>
      <w:r w:rsidR="00C4000D" w:rsidRPr="00477EAB">
        <w:rPr>
          <w:lang w:val="fr-FR"/>
        </w:rPr>
        <w:t>mix</w:t>
      </w:r>
      <w:r w:rsidRPr="00477EAB">
        <w:rPr>
          <w:lang w:val="fr-FR"/>
        </w:rPr>
        <w:t>t</w:t>
      </w:r>
      <w:r w:rsidR="00C4000D" w:rsidRPr="00477EAB">
        <w:rPr>
          <w:lang w:val="fr-FR"/>
        </w:rPr>
        <w:t>e</w:t>
      </w:r>
      <w:r w:rsidRPr="00477EAB">
        <w:rPr>
          <w:lang w:val="fr-FR"/>
        </w:rPr>
        <w:t xml:space="preserve"> ou </w:t>
      </w:r>
      <w:r w:rsidR="00C4000D" w:rsidRPr="00477EAB">
        <w:rPr>
          <w:lang w:val="fr-FR"/>
        </w:rPr>
        <w:t>hybrid</w:t>
      </w:r>
      <w:r w:rsidRPr="00477EAB">
        <w:rPr>
          <w:lang w:val="fr-FR"/>
        </w:rPr>
        <w:t>e</w:t>
      </w:r>
      <w:bookmarkEnd w:id="33"/>
      <w:bookmarkEnd w:id="34"/>
      <w:bookmarkEnd w:id="35"/>
    </w:p>
    <w:p w:rsidR="00477EAB" w:rsidRPr="00477EAB" w:rsidRDefault="00477EAB" w:rsidP="00477EAB">
      <w:pPr>
        <w:rPr>
          <w:lang w:val="fr-FR"/>
        </w:rPr>
      </w:pPr>
    </w:p>
    <w:p w:rsidR="00EC5D18" w:rsidRDefault="009F7C2C" w:rsidP="00477EAB">
      <w:pPr>
        <w:pStyle w:val="ONUMFS"/>
        <w:numPr>
          <w:ilvl w:val="0"/>
          <w:numId w:val="0"/>
        </w:numPr>
        <w:rPr>
          <w:lang w:val="fr-FR"/>
        </w:rPr>
      </w:pPr>
      <w:r w:rsidRPr="00477EAB">
        <w:rPr>
          <w:lang w:val="fr-FR"/>
        </w:rPr>
        <w:t>Certains États membres de l</w:t>
      </w:r>
      <w:r w:rsidR="0064359F">
        <w:rPr>
          <w:lang w:val="fr-FR"/>
        </w:rPr>
        <w:t>’</w:t>
      </w:r>
      <w:r w:rsidRPr="00477EAB">
        <w:rPr>
          <w:lang w:val="fr-FR"/>
        </w:rPr>
        <w:t>OMPI n</w:t>
      </w:r>
      <w:r w:rsidR="0064359F">
        <w:rPr>
          <w:lang w:val="fr-FR"/>
        </w:rPr>
        <w:t>’</w:t>
      </w:r>
      <w:r w:rsidRPr="00477EAB">
        <w:rPr>
          <w:lang w:val="fr-FR"/>
        </w:rPr>
        <w:t>ont adopté qu</w:t>
      </w:r>
      <w:r w:rsidR="0064359F">
        <w:rPr>
          <w:lang w:val="fr-FR"/>
        </w:rPr>
        <w:t>’</w:t>
      </w:r>
      <w:r w:rsidRPr="00477EAB">
        <w:rPr>
          <w:lang w:val="fr-FR"/>
        </w:rPr>
        <w:t>une seule de ces approches et n</w:t>
      </w:r>
      <w:r w:rsidR="0064359F">
        <w:rPr>
          <w:lang w:val="fr-FR"/>
        </w:rPr>
        <w:t>’</w:t>
      </w:r>
      <w:r w:rsidR="002C6E33" w:rsidRPr="00477EAB">
        <w:rPr>
          <w:lang w:val="fr-FR"/>
        </w:rPr>
        <w:t>ont prévu q</w:t>
      </w:r>
      <w:r w:rsidRPr="00477EAB">
        <w:rPr>
          <w:lang w:val="fr-FR"/>
        </w:rPr>
        <w:t>u</w:t>
      </w:r>
      <w:r w:rsidR="0064359F">
        <w:rPr>
          <w:lang w:val="fr-FR"/>
        </w:rPr>
        <w:t>’</w:t>
      </w:r>
      <w:r w:rsidRPr="00477EAB">
        <w:rPr>
          <w:lang w:val="fr-FR"/>
        </w:rPr>
        <w:t xml:space="preserve">une disposition </w:t>
      </w:r>
      <w:r w:rsidR="002C6E33" w:rsidRPr="00477EAB">
        <w:rPr>
          <w:lang w:val="fr-FR"/>
        </w:rPr>
        <w:t>particulière</w:t>
      </w:r>
      <w:r w:rsidRPr="00477EAB">
        <w:rPr>
          <w:lang w:val="fr-FR"/>
        </w:rPr>
        <w:t xml:space="preserve"> ou </w:t>
      </w:r>
      <w:r w:rsidR="002C6E33" w:rsidRPr="00477EAB">
        <w:rPr>
          <w:lang w:val="fr-FR"/>
        </w:rPr>
        <w:t xml:space="preserve">une disposition </w:t>
      </w:r>
      <w:r w:rsidRPr="00477EAB">
        <w:rPr>
          <w:lang w:val="fr-FR"/>
        </w:rPr>
        <w:t>générale dans leur législation sur le droit d</w:t>
      </w:r>
      <w:r w:rsidR="0064359F">
        <w:rPr>
          <w:lang w:val="fr-FR"/>
        </w:rPr>
        <w:t>’</w:t>
      </w:r>
      <w:r w:rsidRPr="00477EAB">
        <w:rPr>
          <w:lang w:val="fr-FR"/>
        </w:rPr>
        <w:t xml:space="preserve">auteur. </w:t>
      </w:r>
      <w:r w:rsidR="00FC3C9F" w:rsidRPr="00477EAB">
        <w:rPr>
          <w:lang w:val="fr-FR"/>
        </w:rPr>
        <w:t xml:space="preserve"> </w:t>
      </w:r>
      <w:r w:rsidRPr="00477EAB">
        <w:rPr>
          <w:lang w:val="fr-FR"/>
        </w:rPr>
        <w:t>L</w:t>
      </w:r>
      <w:r w:rsidR="0064359F">
        <w:rPr>
          <w:lang w:val="fr-FR"/>
        </w:rPr>
        <w:t>’</w:t>
      </w:r>
      <w:r w:rsidRPr="00477EAB">
        <w:rPr>
          <w:lang w:val="fr-FR"/>
        </w:rPr>
        <w:t>Australie et l</w:t>
      </w:r>
      <w:r w:rsidR="0064359F">
        <w:rPr>
          <w:lang w:val="fr-FR"/>
        </w:rPr>
        <w:t>’</w:t>
      </w:r>
      <w:r w:rsidRPr="00477EAB">
        <w:rPr>
          <w:lang w:val="fr-FR"/>
        </w:rPr>
        <w:t>Arménie sont des exemples d</w:t>
      </w:r>
      <w:r w:rsidR="0064359F">
        <w:rPr>
          <w:lang w:val="fr-FR"/>
        </w:rPr>
        <w:t>’</w:t>
      </w:r>
      <w:r w:rsidRPr="00477EAB">
        <w:rPr>
          <w:lang w:val="fr-FR"/>
        </w:rPr>
        <w:t xml:space="preserve">États qui ont adopté </w:t>
      </w:r>
      <w:r w:rsidR="00FC3C9F" w:rsidRPr="00477EAB">
        <w:rPr>
          <w:lang w:val="fr-FR"/>
        </w:rPr>
        <w:t>l</w:t>
      </w:r>
      <w:r w:rsidR="0064359F">
        <w:rPr>
          <w:lang w:val="fr-FR"/>
        </w:rPr>
        <w:t>’</w:t>
      </w:r>
      <w:r w:rsidRPr="00477EAB">
        <w:rPr>
          <w:lang w:val="fr-FR"/>
        </w:rPr>
        <w:t xml:space="preserve">approche </w:t>
      </w:r>
      <w:r w:rsidR="002C6E33" w:rsidRPr="00477EAB">
        <w:rPr>
          <w:lang w:val="fr-FR"/>
        </w:rPr>
        <w:t>uniq</w:t>
      </w:r>
      <w:r w:rsidR="00146784" w:rsidRPr="00477EAB">
        <w:rPr>
          <w:lang w:val="fr-FR"/>
        </w:rPr>
        <w:t>ue</w:t>
      </w:r>
      <w:r w:rsidR="00146784">
        <w:rPr>
          <w:lang w:val="fr-FR"/>
        </w:rPr>
        <w:t xml:space="preserve">.  </w:t>
      </w:r>
      <w:r w:rsidR="00146784" w:rsidRPr="00477EAB">
        <w:rPr>
          <w:lang w:val="fr-FR"/>
        </w:rPr>
        <w:t>L</w:t>
      </w:r>
      <w:r w:rsidR="00146784">
        <w:rPr>
          <w:lang w:val="fr-FR"/>
        </w:rPr>
        <w:t>’</w:t>
      </w:r>
      <w:r w:rsidR="00146784" w:rsidRPr="00477EAB">
        <w:rPr>
          <w:lang w:val="fr-FR"/>
        </w:rPr>
        <w:t>a</w:t>
      </w:r>
      <w:r w:rsidR="0064359F" w:rsidRPr="00477EAB">
        <w:rPr>
          <w:lang w:val="fr-FR"/>
        </w:rPr>
        <w:t>rticle</w:t>
      </w:r>
      <w:r w:rsidR="0064359F">
        <w:rPr>
          <w:lang w:val="fr-FR"/>
        </w:rPr>
        <w:t> </w:t>
      </w:r>
      <w:r w:rsidR="0064359F" w:rsidRPr="00477EAB">
        <w:rPr>
          <w:lang w:val="fr-FR"/>
        </w:rPr>
        <w:t>1</w:t>
      </w:r>
      <w:r w:rsidR="00A60798" w:rsidRPr="00477EAB">
        <w:rPr>
          <w:lang w:val="fr-FR"/>
        </w:rPr>
        <w:t>13 E de l</w:t>
      </w:r>
      <w:r w:rsidR="008F2710" w:rsidRPr="00477EAB">
        <w:rPr>
          <w:lang w:val="fr-FR"/>
        </w:rPr>
        <w:t>a loi de l</w:t>
      </w:r>
      <w:r w:rsidR="0064359F">
        <w:rPr>
          <w:lang w:val="fr-FR"/>
        </w:rPr>
        <w:t>’</w:t>
      </w:r>
      <w:r w:rsidR="00C4000D" w:rsidRPr="00477EAB">
        <w:rPr>
          <w:lang w:val="fr-FR"/>
        </w:rPr>
        <w:t>Australi</w:t>
      </w:r>
      <w:r w:rsidR="008F2710" w:rsidRPr="00477EAB">
        <w:rPr>
          <w:lang w:val="fr-FR"/>
        </w:rPr>
        <w:t>e sur le droit d</w:t>
      </w:r>
      <w:r w:rsidR="0064359F">
        <w:rPr>
          <w:lang w:val="fr-FR"/>
        </w:rPr>
        <w:t>’</w:t>
      </w:r>
      <w:r w:rsidR="008F2710" w:rsidRPr="00477EAB">
        <w:rPr>
          <w:lang w:val="fr-FR"/>
        </w:rPr>
        <w:t>auteur</w:t>
      </w:r>
      <w:r w:rsidR="00C4000D" w:rsidRPr="00477EAB">
        <w:rPr>
          <w:rStyle w:val="FootnoteReference"/>
          <w:lang w:val="fr-FR"/>
        </w:rPr>
        <w:footnoteReference w:id="17"/>
      </w:r>
      <w:r w:rsidR="00C4000D" w:rsidRPr="00477EAB">
        <w:rPr>
          <w:lang w:val="fr-FR"/>
        </w:rPr>
        <w:t xml:space="preserve"> </w:t>
      </w:r>
      <w:r w:rsidRPr="00477EAB">
        <w:rPr>
          <w:lang w:val="fr-FR"/>
        </w:rPr>
        <w:t xml:space="preserve">prévoit </w:t>
      </w:r>
      <w:r w:rsidR="00A60798" w:rsidRPr="00477EAB">
        <w:rPr>
          <w:lang w:val="fr-FR"/>
        </w:rPr>
        <w:t xml:space="preserve">des </w:t>
      </w:r>
      <w:r w:rsidR="002318EF" w:rsidRPr="00477EAB">
        <w:rPr>
          <w:lang w:val="fr-FR"/>
        </w:rPr>
        <w:t>actes loyaux</w:t>
      </w:r>
      <w:r w:rsidR="00A60798" w:rsidRPr="00477EAB">
        <w:rPr>
          <w:lang w:val="fr-FR"/>
        </w:rPr>
        <w:t xml:space="preserve"> en vue de favoriser l</w:t>
      </w:r>
      <w:r w:rsidR="0064359F">
        <w:rPr>
          <w:lang w:val="fr-FR"/>
        </w:rPr>
        <w:t>’</w:t>
      </w:r>
      <w:r w:rsidRPr="00477EAB">
        <w:rPr>
          <w:lang w:val="fr-FR"/>
        </w:rPr>
        <w:t>accès des personnes handicapées et l</w:t>
      </w:r>
      <w:r w:rsidR="0064359F">
        <w:rPr>
          <w:lang w:val="fr-FR"/>
        </w:rPr>
        <w:t>’</w:t>
      </w:r>
      <w:r w:rsidRPr="00477EAB">
        <w:rPr>
          <w:lang w:val="fr-FR"/>
        </w:rPr>
        <w:t>article</w:t>
      </w:r>
      <w:r w:rsidR="00A60798" w:rsidRPr="00477EAB">
        <w:rPr>
          <w:lang w:val="fr-FR"/>
        </w:rPr>
        <w:t> </w:t>
      </w:r>
      <w:r w:rsidRPr="00477EAB">
        <w:rPr>
          <w:lang w:val="fr-FR"/>
        </w:rPr>
        <w:t>22 de la loi arménienne sur le droit d</w:t>
      </w:r>
      <w:r w:rsidR="0064359F">
        <w:rPr>
          <w:lang w:val="fr-FR"/>
        </w:rPr>
        <w:t>’</w:t>
      </w:r>
      <w:r w:rsidRPr="00477EAB">
        <w:rPr>
          <w:lang w:val="fr-FR"/>
        </w:rPr>
        <w:t>auteur et les droits connexes</w:t>
      </w:r>
      <w:r w:rsidR="00C4000D" w:rsidRPr="00477EAB">
        <w:rPr>
          <w:rStyle w:val="FootnoteReference"/>
          <w:lang w:val="fr-FR"/>
        </w:rPr>
        <w:footnoteReference w:id="18"/>
      </w:r>
      <w:r w:rsidR="00C4000D" w:rsidRPr="00477EAB">
        <w:rPr>
          <w:lang w:val="fr-FR"/>
        </w:rPr>
        <w:t xml:space="preserve"> </w:t>
      </w:r>
      <w:r w:rsidRPr="00477EAB">
        <w:rPr>
          <w:lang w:val="fr-FR"/>
        </w:rPr>
        <w:t xml:space="preserve">prévoit la reproduction non commerciale des œuvres </w:t>
      </w:r>
      <w:r w:rsidR="009058D1" w:rsidRPr="00477EAB">
        <w:rPr>
          <w:lang w:val="fr-FR"/>
        </w:rPr>
        <w:t>“</w:t>
      </w:r>
      <w:r w:rsidRPr="00477EAB">
        <w:rPr>
          <w:lang w:val="fr-FR"/>
        </w:rPr>
        <w:t>en braille ou par d</w:t>
      </w:r>
      <w:r w:rsidR="0064359F">
        <w:rPr>
          <w:lang w:val="fr-FR"/>
        </w:rPr>
        <w:t>’</w:t>
      </w:r>
      <w:r w:rsidRPr="00477EAB">
        <w:rPr>
          <w:lang w:val="fr-FR"/>
        </w:rPr>
        <w:t>autres moyens spéciaux</w:t>
      </w:r>
      <w:r w:rsidR="002E22BD">
        <w:rPr>
          <w:lang w:val="fr-FR"/>
        </w:rPr>
        <w:t xml:space="preserve">… </w:t>
      </w:r>
      <w:r w:rsidRPr="00477EAB">
        <w:rPr>
          <w:lang w:val="fr-FR"/>
        </w:rPr>
        <w:t>pour les aveugles</w:t>
      </w:r>
      <w:r w:rsidR="00C4000D" w:rsidRPr="00477EAB">
        <w:rPr>
          <w:lang w:val="fr-FR"/>
        </w:rPr>
        <w:t>”</w:t>
      </w:r>
      <w:r w:rsidR="00A60798" w:rsidRPr="00477EAB">
        <w:rPr>
          <w:lang w:val="fr-FR"/>
        </w:rPr>
        <w:t>.</w:t>
      </w:r>
    </w:p>
    <w:p w:rsidR="00EC5D18" w:rsidRDefault="004D6B5A" w:rsidP="00477EAB">
      <w:pPr>
        <w:pStyle w:val="ONUMFS"/>
        <w:numPr>
          <w:ilvl w:val="0"/>
          <w:numId w:val="0"/>
        </w:numPr>
        <w:rPr>
          <w:lang w:val="fr-FR"/>
        </w:rPr>
      </w:pPr>
      <w:r w:rsidRPr="00477EAB">
        <w:rPr>
          <w:lang w:val="fr-FR"/>
        </w:rPr>
        <w:t>D</w:t>
      </w:r>
      <w:r w:rsidR="0064359F">
        <w:rPr>
          <w:lang w:val="fr-FR"/>
        </w:rPr>
        <w:t>’</w:t>
      </w:r>
      <w:r w:rsidRPr="00477EAB">
        <w:rPr>
          <w:lang w:val="fr-FR"/>
        </w:rPr>
        <w:t>autres États membres de l</w:t>
      </w:r>
      <w:r w:rsidR="0064359F">
        <w:rPr>
          <w:lang w:val="fr-FR"/>
        </w:rPr>
        <w:t>’</w:t>
      </w:r>
      <w:r w:rsidRPr="00477EAB">
        <w:rPr>
          <w:lang w:val="fr-FR"/>
        </w:rPr>
        <w:t>OMPI ont adopté une approche mixte et ont prévu aussi bien des dispositions particulières que des dispositions général</w:t>
      </w:r>
      <w:r w:rsidR="00146784" w:rsidRPr="00477EAB">
        <w:rPr>
          <w:lang w:val="fr-FR"/>
        </w:rPr>
        <w:t>es</w:t>
      </w:r>
      <w:r w:rsidR="00146784">
        <w:rPr>
          <w:lang w:val="fr-FR"/>
        </w:rPr>
        <w:t xml:space="preserve">.  </w:t>
      </w:r>
      <w:r w:rsidR="00146784" w:rsidRPr="00477EAB">
        <w:rPr>
          <w:lang w:val="fr-FR"/>
        </w:rPr>
        <w:t>Le</w:t>
      </w:r>
      <w:r w:rsidR="007A7ECD" w:rsidRPr="00477EAB">
        <w:rPr>
          <w:lang w:val="fr-FR"/>
        </w:rPr>
        <w:t>s États</w:t>
      </w:r>
      <w:r w:rsidR="00146784">
        <w:rPr>
          <w:lang w:val="fr-FR"/>
        </w:rPr>
        <w:noBreakHyphen/>
      </w:r>
      <w:r w:rsidR="007A7ECD" w:rsidRPr="00477EAB">
        <w:rPr>
          <w:lang w:val="fr-FR"/>
        </w:rPr>
        <w:t>Unis</w:t>
      </w:r>
      <w:r w:rsidR="002E22BD">
        <w:rPr>
          <w:lang w:val="fr-FR"/>
        </w:rPr>
        <w:t xml:space="preserve"> </w:t>
      </w:r>
      <w:r w:rsidR="007A7ECD" w:rsidRPr="00477EAB">
        <w:rPr>
          <w:lang w:val="fr-FR"/>
        </w:rPr>
        <w:t>d</w:t>
      </w:r>
      <w:r w:rsidR="0064359F">
        <w:rPr>
          <w:lang w:val="fr-FR"/>
        </w:rPr>
        <w:t>’</w:t>
      </w:r>
      <w:r w:rsidR="007A7ECD" w:rsidRPr="00477EAB">
        <w:rPr>
          <w:lang w:val="fr-FR"/>
        </w:rPr>
        <w:t>Amérique en sont un excellent exemple</w:t>
      </w:r>
      <w:r w:rsidR="0064359F">
        <w:rPr>
          <w:lang w:val="fr-FR"/>
        </w:rPr>
        <w:t> :</w:t>
      </w:r>
      <w:r w:rsidR="007A7ECD" w:rsidRPr="00477EAB">
        <w:rPr>
          <w:lang w:val="fr-FR"/>
        </w:rPr>
        <w:t xml:space="preserve"> la doctrine de l</w:t>
      </w:r>
      <w:r w:rsidR="0064359F">
        <w:rPr>
          <w:lang w:val="fr-FR"/>
        </w:rPr>
        <w:t>’</w:t>
      </w:r>
      <w:r w:rsidR="007A7ECD" w:rsidRPr="00477EAB">
        <w:rPr>
          <w:lang w:val="fr-FR"/>
        </w:rPr>
        <w:t>usage loyal d</w:t>
      </w:r>
      <w:r w:rsidR="00322A7E" w:rsidRPr="00477EAB">
        <w:rPr>
          <w:lang w:val="fr-FR"/>
        </w:rPr>
        <w:t xml:space="preserve">ans </w:t>
      </w:r>
      <w:r w:rsidR="007A7ECD" w:rsidRPr="00477EAB">
        <w:rPr>
          <w:lang w:val="fr-FR"/>
        </w:rPr>
        <w:t>la loi sur le droit d</w:t>
      </w:r>
      <w:r w:rsidR="0064359F">
        <w:rPr>
          <w:lang w:val="fr-FR"/>
        </w:rPr>
        <w:t>’</w:t>
      </w:r>
      <w:r w:rsidR="007A7ECD" w:rsidRPr="00477EAB">
        <w:rPr>
          <w:lang w:val="fr-FR"/>
        </w:rPr>
        <w:t>auteur</w:t>
      </w:r>
      <w:r w:rsidR="00C4000D" w:rsidRPr="00477EAB">
        <w:rPr>
          <w:rStyle w:val="FootnoteReference"/>
          <w:lang w:val="fr-FR"/>
        </w:rPr>
        <w:footnoteReference w:id="19"/>
      </w:r>
      <w:r w:rsidR="00C4000D" w:rsidRPr="00477EAB">
        <w:rPr>
          <w:lang w:val="fr-FR"/>
        </w:rPr>
        <w:t xml:space="preserve"> </w:t>
      </w:r>
      <w:r w:rsidR="007A7ECD" w:rsidRPr="00477EAB">
        <w:rPr>
          <w:lang w:val="fr-FR"/>
        </w:rPr>
        <w:t>découlant du premier amendement de la Constitution</w:t>
      </w:r>
      <w:r w:rsidR="00C4000D" w:rsidRPr="00477EAB">
        <w:rPr>
          <w:rStyle w:val="FootnoteReference"/>
          <w:lang w:val="fr-FR"/>
        </w:rPr>
        <w:footnoteReference w:id="20"/>
      </w:r>
      <w:r w:rsidR="00C4000D" w:rsidRPr="00477EAB">
        <w:rPr>
          <w:lang w:val="fr-FR"/>
        </w:rPr>
        <w:t xml:space="preserve"> </w:t>
      </w:r>
      <w:r w:rsidR="007A7ECD" w:rsidRPr="00477EAB">
        <w:rPr>
          <w:lang w:val="fr-FR"/>
        </w:rPr>
        <w:t xml:space="preserve">est suffisamment large pour permettre la réalisation </w:t>
      </w:r>
      <w:r w:rsidR="0072274D" w:rsidRPr="00477EAB">
        <w:rPr>
          <w:lang w:val="fr-FR"/>
        </w:rPr>
        <w:t>d</w:t>
      </w:r>
      <w:r w:rsidR="0064359F">
        <w:rPr>
          <w:lang w:val="fr-FR"/>
        </w:rPr>
        <w:t>’</w:t>
      </w:r>
      <w:r w:rsidR="0072274D" w:rsidRPr="00477EAB">
        <w:rPr>
          <w:lang w:val="fr-FR"/>
        </w:rPr>
        <w:t xml:space="preserve">exemplaires en format </w:t>
      </w:r>
      <w:r w:rsidR="007A7ECD" w:rsidRPr="00477EAB">
        <w:rPr>
          <w:lang w:val="fr-FR"/>
        </w:rPr>
        <w:t>accessible</w:t>
      </w:r>
      <w:r w:rsidR="006D255F">
        <w:rPr>
          <w:rStyle w:val="FootnoteReference"/>
          <w:lang w:val="fr-FR"/>
        </w:rPr>
        <w:footnoteReference w:id="21"/>
      </w:r>
      <w:r w:rsidR="007A7ECD" w:rsidRPr="00477EAB">
        <w:rPr>
          <w:lang w:val="fr-FR"/>
        </w:rPr>
        <w:t xml:space="preserve"> et les articles</w:t>
      </w:r>
      <w:r w:rsidR="0072274D" w:rsidRPr="00477EAB">
        <w:rPr>
          <w:lang w:val="fr-FR"/>
        </w:rPr>
        <w:t> </w:t>
      </w:r>
      <w:r w:rsidR="007A7ECD" w:rsidRPr="00477EAB">
        <w:rPr>
          <w:lang w:val="fr-FR"/>
        </w:rPr>
        <w:t xml:space="preserve">121 et 121A de la </w:t>
      </w:r>
      <w:r w:rsidR="0072274D" w:rsidRPr="00477EAB">
        <w:rPr>
          <w:lang w:val="fr-FR"/>
        </w:rPr>
        <w:t>l</w:t>
      </w:r>
      <w:r w:rsidR="007A7ECD" w:rsidRPr="00477EAB">
        <w:rPr>
          <w:lang w:val="fr-FR"/>
        </w:rPr>
        <w:t>oi sur le droit d</w:t>
      </w:r>
      <w:r w:rsidR="0064359F">
        <w:rPr>
          <w:lang w:val="fr-FR"/>
        </w:rPr>
        <w:t>’</w:t>
      </w:r>
      <w:r w:rsidR="007A7ECD" w:rsidRPr="00477EAB">
        <w:rPr>
          <w:lang w:val="fr-FR"/>
        </w:rPr>
        <w:t>auteur</w:t>
      </w:r>
      <w:r w:rsidR="00C4000D" w:rsidRPr="00477EAB">
        <w:rPr>
          <w:rStyle w:val="FootnoteReference"/>
          <w:lang w:val="fr-FR"/>
        </w:rPr>
        <w:footnoteReference w:id="22"/>
      </w:r>
      <w:r w:rsidR="00C4000D" w:rsidRPr="00477EAB">
        <w:rPr>
          <w:lang w:val="fr-FR"/>
        </w:rPr>
        <w:t xml:space="preserve"> introdu</w:t>
      </w:r>
      <w:r w:rsidR="0072274D" w:rsidRPr="00477EAB">
        <w:rPr>
          <w:lang w:val="fr-FR"/>
        </w:rPr>
        <w:t>its par l</w:t>
      </w:r>
      <w:r w:rsidR="0064359F">
        <w:rPr>
          <w:lang w:val="fr-FR"/>
        </w:rPr>
        <w:t>’</w:t>
      </w:r>
      <w:r w:rsidR="0072274D" w:rsidRPr="00477EAB">
        <w:rPr>
          <w:lang w:val="fr-FR"/>
        </w:rPr>
        <w:t xml:space="preserve">amendement </w:t>
      </w:r>
      <w:r w:rsidR="00C4000D" w:rsidRPr="00477EAB">
        <w:rPr>
          <w:lang w:val="fr-FR"/>
        </w:rPr>
        <w:t>Chafee</w:t>
      </w:r>
      <w:r w:rsidR="00C4000D" w:rsidRPr="00477EAB">
        <w:rPr>
          <w:rStyle w:val="FootnoteReference"/>
          <w:lang w:val="fr-FR"/>
        </w:rPr>
        <w:footnoteReference w:id="23"/>
      </w:r>
      <w:r w:rsidR="00C4000D" w:rsidRPr="00477EAB">
        <w:rPr>
          <w:lang w:val="fr-FR"/>
        </w:rPr>
        <w:t xml:space="preserve"> </w:t>
      </w:r>
      <w:r w:rsidR="0072274D" w:rsidRPr="00477EAB">
        <w:rPr>
          <w:lang w:val="fr-FR"/>
        </w:rPr>
        <w:t>et actualisés après la mise en œuvre du Traité de Marrakech</w:t>
      </w:r>
      <w:r w:rsidR="00C4000D" w:rsidRPr="00477EAB">
        <w:rPr>
          <w:rStyle w:val="FootnoteReference"/>
          <w:lang w:val="fr-FR"/>
        </w:rPr>
        <w:footnoteReference w:id="24"/>
      </w:r>
      <w:r w:rsidR="00C4000D" w:rsidRPr="00477EAB">
        <w:rPr>
          <w:lang w:val="fr-FR"/>
        </w:rPr>
        <w:t xml:space="preserve"> </w:t>
      </w:r>
      <w:r w:rsidR="0072274D" w:rsidRPr="00477EAB">
        <w:rPr>
          <w:lang w:val="fr-FR"/>
        </w:rPr>
        <w:t>prévoient une exception aux droits de reproduction en faveur des aveugles ou autres personnes handicapé</w:t>
      </w:r>
      <w:r w:rsidR="00146784" w:rsidRPr="00477EAB">
        <w:rPr>
          <w:lang w:val="fr-FR"/>
        </w:rPr>
        <w:t>es</w:t>
      </w:r>
      <w:r w:rsidR="00146784">
        <w:rPr>
          <w:lang w:val="fr-FR"/>
        </w:rPr>
        <w:t xml:space="preserve">.  </w:t>
      </w:r>
      <w:r w:rsidR="00146784" w:rsidRPr="00477EAB">
        <w:rPr>
          <w:lang w:val="fr-FR"/>
        </w:rPr>
        <w:t>Is</w:t>
      </w:r>
      <w:r w:rsidR="0072274D" w:rsidRPr="00477EAB">
        <w:rPr>
          <w:lang w:val="fr-FR"/>
        </w:rPr>
        <w:t>raël est un autre exemple de pays ayant une approche mixte ou un modèle hybride</w:t>
      </w:r>
      <w:r w:rsidR="00C4000D" w:rsidRPr="00477EAB">
        <w:rPr>
          <w:rStyle w:val="FootnoteReference"/>
          <w:lang w:val="fr-FR"/>
        </w:rPr>
        <w:footnoteReference w:id="25"/>
      </w:r>
      <w:r w:rsidR="0072274D" w:rsidRPr="00477EAB">
        <w:rPr>
          <w:lang w:val="fr-FR"/>
        </w:rPr>
        <w:t>.</w:t>
      </w:r>
      <w:r w:rsidR="00C4000D" w:rsidRPr="00477EAB">
        <w:rPr>
          <w:lang w:val="fr-FR"/>
        </w:rPr>
        <w:t xml:space="preserve"> </w:t>
      </w:r>
      <w:r w:rsidR="0072274D" w:rsidRPr="00477EAB">
        <w:rPr>
          <w:lang w:val="fr-FR"/>
        </w:rPr>
        <w:t xml:space="preserve"> L</w:t>
      </w:r>
      <w:r w:rsidR="0064359F">
        <w:rPr>
          <w:lang w:val="fr-FR"/>
        </w:rPr>
        <w:t>’</w:t>
      </w:r>
      <w:r w:rsidR="0072274D" w:rsidRPr="00477EAB">
        <w:rPr>
          <w:lang w:val="fr-FR"/>
        </w:rPr>
        <w:t>article </w:t>
      </w:r>
      <w:r w:rsidR="00C4000D" w:rsidRPr="00477EAB">
        <w:rPr>
          <w:lang w:val="fr-FR"/>
        </w:rPr>
        <w:t xml:space="preserve">19 </w:t>
      </w:r>
      <w:r w:rsidR="00575CB3" w:rsidRPr="00477EAB">
        <w:rPr>
          <w:lang w:val="fr-FR"/>
        </w:rPr>
        <w:t>de la loi sur le droit d</w:t>
      </w:r>
      <w:r w:rsidR="0064359F">
        <w:rPr>
          <w:lang w:val="fr-FR"/>
        </w:rPr>
        <w:t>’</w:t>
      </w:r>
      <w:r w:rsidR="00575CB3" w:rsidRPr="00477EAB">
        <w:rPr>
          <w:lang w:val="fr-FR"/>
        </w:rPr>
        <w:t>auteur contient une clause d</w:t>
      </w:r>
      <w:r w:rsidR="0064359F">
        <w:rPr>
          <w:lang w:val="fr-FR"/>
        </w:rPr>
        <w:t>’</w:t>
      </w:r>
      <w:r w:rsidR="00575CB3" w:rsidRPr="00477EAB">
        <w:rPr>
          <w:lang w:val="fr-FR"/>
        </w:rPr>
        <w:t>u</w:t>
      </w:r>
      <w:r w:rsidR="002318EF" w:rsidRPr="00477EAB">
        <w:rPr>
          <w:lang w:val="fr-FR"/>
        </w:rPr>
        <w:t>sage</w:t>
      </w:r>
      <w:r w:rsidR="00575CB3" w:rsidRPr="00477EAB">
        <w:rPr>
          <w:lang w:val="fr-FR"/>
        </w:rPr>
        <w:t xml:space="preserve"> loyal et les articles</w:t>
      </w:r>
      <w:r w:rsidR="009058D1" w:rsidRPr="00477EAB">
        <w:rPr>
          <w:lang w:val="fr-FR"/>
        </w:rPr>
        <w:t> </w:t>
      </w:r>
      <w:r w:rsidR="00575CB3" w:rsidRPr="00477EAB">
        <w:rPr>
          <w:lang w:val="fr-FR"/>
        </w:rPr>
        <w:t>28A à 28E contiennent des dispositions particulières, qui sont examinées dans la section suivante</w:t>
      </w:r>
      <w:r w:rsidR="00C4000D" w:rsidRPr="00477EAB">
        <w:rPr>
          <w:lang w:val="fr-FR"/>
        </w:rPr>
        <w:t>.</w:t>
      </w:r>
    </w:p>
    <w:p w:rsidR="00EC1FFD" w:rsidRPr="00477EAB" w:rsidRDefault="00575CB3" w:rsidP="00477EAB">
      <w:pPr>
        <w:pStyle w:val="Heading3"/>
        <w:rPr>
          <w:lang w:val="fr-FR"/>
        </w:rPr>
      </w:pPr>
      <w:bookmarkStart w:id="36" w:name="_Toc3361684"/>
      <w:bookmarkStart w:id="37" w:name="_Toc2872899"/>
      <w:bookmarkStart w:id="38" w:name="_Toc2872251"/>
      <w:r w:rsidRPr="00477EAB">
        <w:rPr>
          <w:lang w:val="fr-FR"/>
        </w:rPr>
        <w:t>Dispositions particulières</w:t>
      </w:r>
      <w:bookmarkEnd w:id="36"/>
      <w:bookmarkEnd w:id="37"/>
      <w:bookmarkEnd w:id="38"/>
    </w:p>
    <w:p w:rsidR="00477EAB" w:rsidRPr="00477EAB" w:rsidRDefault="00477EAB" w:rsidP="00477EAB">
      <w:pPr>
        <w:rPr>
          <w:lang w:val="fr-FR"/>
        </w:rPr>
      </w:pPr>
    </w:p>
    <w:p w:rsidR="00EC5D18" w:rsidRDefault="00575CB3" w:rsidP="00477EAB">
      <w:pPr>
        <w:pStyle w:val="ONUMFS"/>
        <w:numPr>
          <w:ilvl w:val="0"/>
          <w:numId w:val="0"/>
        </w:numPr>
        <w:rPr>
          <w:lang w:val="fr-FR"/>
        </w:rPr>
      </w:pPr>
      <w:r w:rsidRPr="00477EAB">
        <w:rPr>
          <w:lang w:val="fr-FR"/>
        </w:rPr>
        <w:t>Les dispositions particulières peuvent prendre deux form</w:t>
      </w:r>
      <w:r w:rsidR="00146784" w:rsidRPr="00477EAB">
        <w:rPr>
          <w:lang w:val="fr-FR"/>
        </w:rPr>
        <w:t>es</w:t>
      </w:r>
      <w:r w:rsidR="00146784">
        <w:rPr>
          <w:lang w:val="fr-FR"/>
        </w:rPr>
        <w:t xml:space="preserve">.  </w:t>
      </w:r>
      <w:r w:rsidR="00146784" w:rsidRPr="00477EAB">
        <w:rPr>
          <w:lang w:val="fr-FR"/>
        </w:rPr>
        <w:t>Le</w:t>
      </w:r>
      <w:r w:rsidRPr="00477EAB">
        <w:rPr>
          <w:lang w:val="fr-FR"/>
        </w:rPr>
        <w:t xml:space="preserve"> premier type de disposition particulière prévoit une exception pour </w:t>
      </w:r>
      <w:r w:rsidR="009A6BDA" w:rsidRPr="00477EAB">
        <w:rPr>
          <w:lang w:val="fr-FR"/>
        </w:rPr>
        <w:t>réaliser des exemplaires en format</w:t>
      </w:r>
      <w:r w:rsidRPr="00477EAB">
        <w:rPr>
          <w:lang w:val="fr-FR"/>
        </w:rPr>
        <w:t xml:space="preserve"> accessible </w:t>
      </w:r>
      <w:r w:rsidR="009A6BDA" w:rsidRPr="00477EAB">
        <w:rPr>
          <w:lang w:val="fr-FR"/>
        </w:rPr>
        <w:t xml:space="preserve">destinés </w:t>
      </w:r>
      <w:r w:rsidRPr="00477EAB">
        <w:rPr>
          <w:lang w:val="fr-FR"/>
        </w:rPr>
        <w:t>aux personnes handicapé</w:t>
      </w:r>
      <w:r w:rsidR="00146784" w:rsidRPr="00477EAB">
        <w:rPr>
          <w:lang w:val="fr-FR"/>
        </w:rPr>
        <w:t>es</w:t>
      </w:r>
      <w:r w:rsidR="00146784">
        <w:rPr>
          <w:lang w:val="fr-FR"/>
        </w:rPr>
        <w:t xml:space="preserve">.  </w:t>
      </w:r>
      <w:r w:rsidR="00146784" w:rsidRPr="00477EAB">
        <w:rPr>
          <w:lang w:val="fr-FR"/>
        </w:rPr>
        <w:t>Le</w:t>
      </w:r>
      <w:r w:rsidRPr="00477EAB">
        <w:rPr>
          <w:lang w:val="fr-FR"/>
        </w:rPr>
        <w:t>s articles</w:t>
      </w:r>
      <w:r w:rsidR="009A6BDA" w:rsidRPr="00477EAB">
        <w:rPr>
          <w:lang w:val="fr-FR"/>
        </w:rPr>
        <w:t> </w:t>
      </w:r>
      <w:r w:rsidRPr="00477EAB">
        <w:rPr>
          <w:lang w:val="fr-FR"/>
        </w:rPr>
        <w:t xml:space="preserve">121 et 121A </w:t>
      </w:r>
      <w:r w:rsidR="009A6BDA" w:rsidRPr="00477EAB">
        <w:rPr>
          <w:lang w:val="fr-FR"/>
        </w:rPr>
        <w:t>de la loi sur le droit d</w:t>
      </w:r>
      <w:r w:rsidR="0064359F">
        <w:rPr>
          <w:lang w:val="fr-FR"/>
        </w:rPr>
        <w:t>’</w:t>
      </w:r>
      <w:r w:rsidR="009A6BDA" w:rsidRPr="00477EAB">
        <w:rPr>
          <w:lang w:val="fr-FR"/>
        </w:rPr>
        <w:t>auteur d</w:t>
      </w:r>
      <w:r w:rsidRPr="00477EAB">
        <w:rPr>
          <w:lang w:val="fr-FR"/>
        </w:rPr>
        <w:t>es États</w:t>
      </w:r>
      <w:r w:rsidR="00146784">
        <w:rPr>
          <w:lang w:val="fr-FR"/>
        </w:rPr>
        <w:noBreakHyphen/>
      </w:r>
      <w:r w:rsidRPr="00477EAB">
        <w:rPr>
          <w:lang w:val="fr-FR"/>
        </w:rPr>
        <w:t>Unis</w:t>
      </w:r>
      <w:r w:rsidR="002E22BD">
        <w:rPr>
          <w:lang w:val="fr-FR"/>
        </w:rPr>
        <w:t xml:space="preserve"> </w:t>
      </w:r>
      <w:r w:rsidR="009A6BDA" w:rsidRPr="00477EAB">
        <w:rPr>
          <w:lang w:val="fr-FR"/>
        </w:rPr>
        <w:t>d</w:t>
      </w:r>
      <w:r w:rsidR="0064359F">
        <w:rPr>
          <w:lang w:val="fr-FR"/>
        </w:rPr>
        <w:t>’</w:t>
      </w:r>
      <w:r w:rsidR="009A6BDA" w:rsidRPr="00477EAB">
        <w:rPr>
          <w:lang w:val="fr-FR"/>
        </w:rPr>
        <w:t>Amérique</w:t>
      </w:r>
      <w:r w:rsidRPr="00477EAB">
        <w:rPr>
          <w:lang w:val="fr-FR"/>
        </w:rPr>
        <w:t>, mentionnés ci</w:t>
      </w:r>
      <w:r w:rsidR="00146784">
        <w:rPr>
          <w:lang w:val="fr-FR"/>
        </w:rPr>
        <w:noBreakHyphen/>
      </w:r>
      <w:r w:rsidRPr="00477EAB">
        <w:rPr>
          <w:lang w:val="fr-FR"/>
        </w:rPr>
        <w:t xml:space="preserve">dessus, </w:t>
      </w:r>
      <w:r w:rsidR="009A6BDA" w:rsidRPr="00477EAB">
        <w:rPr>
          <w:lang w:val="fr-FR"/>
        </w:rPr>
        <w:t>en constituent des exempl</w:t>
      </w:r>
      <w:r w:rsidR="00146784" w:rsidRPr="00477EAB">
        <w:rPr>
          <w:lang w:val="fr-FR"/>
        </w:rPr>
        <w:t>es</w:t>
      </w:r>
      <w:r w:rsidR="00146784">
        <w:rPr>
          <w:lang w:val="fr-FR"/>
        </w:rPr>
        <w:t xml:space="preserve">.  </w:t>
      </w:r>
      <w:r w:rsidR="00146784" w:rsidRPr="00477EAB">
        <w:rPr>
          <w:lang w:val="fr-FR"/>
        </w:rPr>
        <w:t>Le</w:t>
      </w:r>
      <w:r w:rsidR="00991552" w:rsidRPr="00477EAB">
        <w:rPr>
          <w:lang w:val="fr-FR"/>
        </w:rPr>
        <w:t xml:space="preserve">s dispositions </w:t>
      </w:r>
      <w:r w:rsidR="00991552" w:rsidRPr="00477EAB">
        <w:rPr>
          <w:lang w:val="fr-FR"/>
        </w:rPr>
        <w:lastRenderedPageBreak/>
        <w:t>figurant dans la législation sur le droit d</w:t>
      </w:r>
      <w:r w:rsidR="0064359F">
        <w:rPr>
          <w:lang w:val="fr-FR"/>
        </w:rPr>
        <w:t>’</w:t>
      </w:r>
      <w:r w:rsidR="00991552" w:rsidRPr="00477EAB">
        <w:rPr>
          <w:lang w:val="fr-FR"/>
        </w:rPr>
        <w:t>auteur de l</w:t>
      </w:r>
      <w:r w:rsidR="0064359F">
        <w:rPr>
          <w:lang w:val="fr-FR"/>
        </w:rPr>
        <w:t>’</w:t>
      </w:r>
      <w:r w:rsidR="00991552" w:rsidRPr="00477EAB">
        <w:rPr>
          <w:lang w:val="fr-FR"/>
        </w:rPr>
        <w:t>Argentine</w:t>
      </w:r>
      <w:r w:rsidR="00C4000D" w:rsidRPr="00477EAB">
        <w:rPr>
          <w:rStyle w:val="FootnoteReference"/>
          <w:lang w:val="fr-FR"/>
        </w:rPr>
        <w:footnoteReference w:id="26"/>
      </w:r>
      <w:r w:rsidR="00991552" w:rsidRPr="00477EAB">
        <w:rPr>
          <w:lang w:val="fr-FR"/>
        </w:rPr>
        <w:t>, de l</w:t>
      </w:r>
      <w:r w:rsidR="0064359F">
        <w:rPr>
          <w:lang w:val="fr-FR"/>
        </w:rPr>
        <w:t>’</w:t>
      </w:r>
      <w:r w:rsidR="00C4000D" w:rsidRPr="00477EAB">
        <w:rPr>
          <w:lang w:val="fr-FR"/>
        </w:rPr>
        <w:t>Arm</w:t>
      </w:r>
      <w:r w:rsidR="00991552" w:rsidRPr="00477EAB">
        <w:rPr>
          <w:lang w:val="fr-FR"/>
        </w:rPr>
        <w:t>é</w:t>
      </w:r>
      <w:r w:rsidR="00C4000D" w:rsidRPr="00477EAB">
        <w:rPr>
          <w:lang w:val="fr-FR"/>
        </w:rPr>
        <w:t>ni</w:t>
      </w:r>
      <w:r w:rsidR="00991552" w:rsidRPr="00477EAB">
        <w:rPr>
          <w:lang w:val="fr-FR"/>
        </w:rPr>
        <w:t>e</w:t>
      </w:r>
      <w:r w:rsidR="00C4000D" w:rsidRPr="00477EAB">
        <w:rPr>
          <w:rStyle w:val="FootnoteReference"/>
          <w:lang w:val="fr-FR"/>
        </w:rPr>
        <w:footnoteReference w:id="27"/>
      </w:r>
      <w:r w:rsidR="00991552" w:rsidRPr="00477EAB">
        <w:rPr>
          <w:lang w:val="fr-FR"/>
        </w:rPr>
        <w:t>, de l</w:t>
      </w:r>
      <w:r w:rsidR="0064359F">
        <w:rPr>
          <w:lang w:val="fr-FR"/>
        </w:rPr>
        <w:t>’</w:t>
      </w:r>
      <w:r w:rsidR="00C4000D" w:rsidRPr="00477EAB">
        <w:rPr>
          <w:lang w:val="fr-FR"/>
        </w:rPr>
        <w:t>Ind</w:t>
      </w:r>
      <w:r w:rsidR="00991552" w:rsidRPr="00477EAB">
        <w:rPr>
          <w:lang w:val="fr-FR"/>
        </w:rPr>
        <w:t>e</w:t>
      </w:r>
      <w:r w:rsidR="00C4000D" w:rsidRPr="00477EAB">
        <w:rPr>
          <w:rStyle w:val="FootnoteReference"/>
          <w:lang w:val="fr-FR"/>
        </w:rPr>
        <w:footnoteReference w:id="28"/>
      </w:r>
      <w:r w:rsidR="00C4000D" w:rsidRPr="00477EAB">
        <w:rPr>
          <w:lang w:val="fr-FR"/>
        </w:rPr>
        <w:t xml:space="preserve"> </w:t>
      </w:r>
      <w:r w:rsidR="00991552" w:rsidRPr="00477EAB">
        <w:rPr>
          <w:lang w:val="fr-FR"/>
        </w:rPr>
        <w:t>et d</w:t>
      </w:r>
      <w:r w:rsidR="0064359F">
        <w:rPr>
          <w:lang w:val="fr-FR"/>
        </w:rPr>
        <w:t>’</w:t>
      </w:r>
      <w:r w:rsidR="00C4000D" w:rsidRPr="00477EAB">
        <w:rPr>
          <w:lang w:val="fr-FR"/>
        </w:rPr>
        <w:t>Isra</w:t>
      </w:r>
      <w:r w:rsidR="00991552" w:rsidRPr="00477EAB">
        <w:rPr>
          <w:lang w:val="fr-FR"/>
        </w:rPr>
        <w:t>ë</w:t>
      </w:r>
      <w:r w:rsidR="00C4000D" w:rsidRPr="00477EAB">
        <w:rPr>
          <w:lang w:val="fr-FR"/>
        </w:rPr>
        <w:t>l</w:t>
      </w:r>
      <w:r w:rsidR="00C4000D" w:rsidRPr="00477EAB">
        <w:rPr>
          <w:rStyle w:val="FootnoteReference"/>
          <w:lang w:val="fr-FR"/>
        </w:rPr>
        <w:footnoteReference w:id="29"/>
      </w:r>
      <w:r w:rsidR="00991552" w:rsidRPr="00477EAB">
        <w:rPr>
          <w:lang w:val="fr-FR"/>
        </w:rPr>
        <w:t xml:space="preserve"> constituent d</w:t>
      </w:r>
      <w:r w:rsidR="0064359F">
        <w:rPr>
          <w:lang w:val="fr-FR"/>
        </w:rPr>
        <w:t>’</w:t>
      </w:r>
      <w:r w:rsidR="00991552" w:rsidRPr="00477EAB">
        <w:rPr>
          <w:lang w:val="fr-FR"/>
        </w:rPr>
        <w:t>autres exemples.</w:t>
      </w:r>
    </w:p>
    <w:p w:rsidR="00EC5D18" w:rsidRDefault="00991552" w:rsidP="00477EAB">
      <w:pPr>
        <w:pStyle w:val="ONUMFS"/>
        <w:numPr>
          <w:ilvl w:val="0"/>
          <w:numId w:val="0"/>
        </w:numPr>
        <w:rPr>
          <w:lang w:val="fr-FR"/>
        </w:rPr>
      </w:pPr>
      <w:r w:rsidRPr="00477EAB">
        <w:rPr>
          <w:lang w:val="fr-FR"/>
        </w:rPr>
        <w:t>Le deuxième type de disposition particulière est une disposition relative à l</w:t>
      </w:r>
      <w:r w:rsidR="0064359F">
        <w:rPr>
          <w:lang w:val="fr-FR"/>
        </w:rPr>
        <w:t>’</w:t>
      </w:r>
      <w:r w:rsidR="002318EF" w:rsidRPr="00477EAB">
        <w:rPr>
          <w:lang w:val="fr-FR"/>
        </w:rPr>
        <w:t>acte</w:t>
      </w:r>
      <w:r w:rsidRPr="00477EAB">
        <w:rPr>
          <w:lang w:val="fr-FR"/>
        </w:rPr>
        <w:t xml:space="preserve"> loyal qui énonce parmi les utilisations autorisées la réalisation d</w:t>
      </w:r>
      <w:r w:rsidR="0064359F">
        <w:rPr>
          <w:lang w:val="fr-FR"/>
        </w:rPr>
        <w:t>’</w:t>
      </w:r>
      <w:r w:rsidRPr="00477EAB">
        <w:rPr>
          <w:lang w:val="fr-FR"/>
        </w:rPr>
        <w:t>exemplaires en format accessible destinés aux personnes handicapé</w:t>
      </w:r>
      <w:r w:rsidR="00146784" w:rsidRPr="00477EAB">
        <w:rPr>
          <w:lang w:val="fr-FR"/>
        </w:rPr>
        <w:t>es</w:t>
      </w:r>
      <w:r w:rsidR="00146784">
        <w:rPr>
          <w:lang w:val="fr-FR"/>
        </w:rPr>
        <w:t xml:space="preserve">.  </w:t>
      </w:r>
      <w:r w:rsidR="00146784" w:rsidRPr="00477EAB">
        <w:rPr>
          <w:lang w:val="fr-FR"/>
        </w:rPr>
        <w:t>La</w:t>
      </w:r>
      <w:r w:rsidRPr="00477EAB">
        <w:rPr>
          <w:lang w:val="fr-FR"/>
        </w:rPr>
        <w:t xml:space="preserve"> loi australienne </w:t>
      </w:r>
      <w:r w:rsidR="0064359F" w:rsidRPr="00477EAB">
        <w:rPr>
          <w:lang w:val="fr-FR"/>
        </w:rPr>
        <w:t>de</w:t>
      </w:r>
      <w:r w:rsidR="0064359F">
        <w:rPr>
          <w:lang w:val="fr-FR"/>
        </w:rPr>
        <w:t> </w:t>
      </w:r>
      <w:r w:rsidR="0064359F" w:rsidRPr="00477EAB">
        <w:rPr>
          <w:lang w:val="fr-FR"/>
        </w:rPr>
        <w:t>1968</w:t>
      </w:r>
      <w:r w:rsidRPr="00477EAB">
        <w:rPr>
          <w:lang w:val="fr-FR"/>
        </w:rPr>
        <w:t xml:space="preserve"> sur le droit d</w:t>
      </w:r>
      <w:r w:rsidR="0064359F">
        <w:rPr>
          <w:lang w:val="fr-FR"/>
        </w:rPr>
        <w:t>’</w:t>
      </w:r>
      <w:r w:rsidRPr="00477EAB">
        <w:rPr>
          <w:lang w:val="fr-FR"/>
        </w:rPr>
        <w:t>auteur (codifiée à partir du</w:t>
      </w:r>
      <w:r w:rsidR="0064359F">
        <w:rPr>
          <w:lang w:val="fr-FR"/>
        </w:rPr>
        <w:t xml:space="preserve"> 1</w:t>
      </w:r>
      <w:r w:rsidR="0064359F" w:rsidRPr="0064359F">
        <w:rPr>
          <w:vertAlign w:val="superscript"/>
          <w:lang w:val="fr-FR"/>
        </w:rPr>
        <w:t>er</w:t>
      </w:r>
      <w:r w:rsidR="0064359F">
        <w:rPr>
          <w:lang w:val="fr-FR"/>
        </w:rPr>
        <w:t> </w:t>
      </w:r>
      <w:r w:rsidRPr="00477EAB">
        <w:rPr>
          <w:lang w:val="fr-FR"/>
        </w:rPr>
        <w:t>janvier 2019) en est un exemple</w:t>
      </w:r>
      <w:r w:rsidR="00C4000D" w:rsidRPr="00477EAB">
        <w:rPr>
          <w:lang w:val="fr-FR"/>
        </w:rPr>
        <w:t>.</w:t>
      </w:r>
    </w:p>
    <w:p w:rsidR="00EC5D18" w:rsidRDefault="00991552" w:rsidP="00477EAB">
      <w:pPr>
        <w:pStyle w:val="ONUMFS"/>
        <w:numPr>
          <w:ilvl w:val="0"/>
          <w:numId w:val="0"/>
        </w:numPr>
        <w:rPr>
          <w:lang w:val="fr-FR"/>
        </w:rPr>
      </w:pPr>
      <w:r w:rsidRPr="00477EAB">
        <w:rPr>
          <w:lang w:val="fr-FR"/>
        </w:rPr>
        <w:t xml:space="preserve">Il existe une différence significative entre les dispositions particulières relatives à </w:t>
      </w:r>
      <w:r w:rsidR="002318EF" w:rsidRPr="00477EAB">
        <w:rPr>
          <w:lang w:val="fr-FR"/>
        </w:rPr>
        <w:t>l</w:t>
      </w:r>
      <w:r w:rsidR="0064359F">
        <w:rPr>
          <w:lang w:val="fr-FR"/>
        </w:rPr>
        <w:t>’</w:t>
      </w:r>
      <w:r w:rsidR="002318EF" w:rsidRPr="00477EAB">
        <w:rPr>
          <w:lang w:val="fr-FR"/>
        </w:rPr>
        <w:t xml:space="preserve">acte loyal </w:t>
      </w:r>
      <w:r w:rsidRPr="00477EAB">
        <w:rPr>
          <w:lang w:val="fr-FR"/>
        </w:rPr>
        <w:t>aux fins de l</w:t>
      </w:r>
      <w:r w:rsidR="0064359F">
        <w:rPr>
          <w:lang w:val="fr-FR"/>
        </w:rPr>
        <w:t>’</w:t>
      </w:r>
      <w:r w:rsidRPr="00477EAB">
        <w:rPr>
          <w:lang w:val="fr-FR"/>
        </w:rPr>
        <w:t xml:space="preserve">accès des personnes </w:t>
      </w:r>
      <w:r w:rsidR="002318EF" w:rsidRPr="00477EAB">
        <w:rPr>
          <w:lang w:val="fr-FR"/>
        </w:rPr>
        <w:t>handicapées</w:t>
      </w:r>
      <w:r w:rsidRPr="00477EAB">
        <w:rPr>
          <w:lang w:val="fr-FR"/>
        </w:rPr>
        <w:t xml:space="preserve"> et les dispositions générales </w:t>
      </w:r>
      <w:r w:rsidR="002318EF" w:rsidRPr="00477EAB">
        <w:rPr>
          <w:lang w:val="fr-FR"/>
        </w:rPr>
        <w:t>relatives à l</w:t>
      </w:r>
      <w:r w:rsidR="0064359F">
        <w:rPr>
          <w:lang w:val="fr-FR"/>
        </w:rPr>
        <w:t>’</w:t>
      </w:r>
      <w:r w:rsidR="002318EF" w:rsidRPr="00477EAB">
        <w:rPr>
          <w:lang w:val="fr-FR"/>
        </w:rPr>
        <w:t>usage loy</w:t>
      </w:r>
      <w:r w:rsidR="00146784" w:rsidRPr="00477EAB">
        <w:rPr>
          <w:lang w:val="fr-FR"/>
        </w:rPr>
        <w:t>al</w:t>
      </w:r>
      <w:r w:rsidR="00146784">
        <w:rPr>
          <w:lang w:val="fr-FR"/>
        </w:rPr>
        <w:t xml:space="preserve">.  </w:t>
      </w:r>
      <w:r w:rsidR="00146784" w:rsidRPr="00477EAB">
        <w:rPr>
          <w:lang w:val="fr-FR"/>
        </w:rPr>
        <w:t>El</w:t>
      </w:r>
      <w:r w:rsidRPr="00477EAB">
        <w:rPr>
          <w:lang w:val="fr-FR"/>
        </w:rPr>
        <w:t xml:space="preserve">les peuvent toutes être qualifiées de </w:t>
      </w:r>
      <w:r w:rsidR="009058D1" w:rsidRPr="00477EAB">
        <w:rPr>
          <w:lang w:val="fr-FR"/>
        </w:rPr>
        <w:t>“</w:t>
      </w:r>
      <w:r w:rsidRPr="00477EAB">
        <w:rPr>
          <w:lang w:val="fr-FR"/>
        </w:rPr>
        <w:t>générales</w:t>
      </w:r>
      <w:r w:rsidR="009058D1" w:rsidRPr="00477EAB">
        <w:rPr>
          <w:lang w:val="fr-FR"/>
        </w:rPr>
        <w:t>”</w:t>
      </w:r>
      <w:r w:rsidRPr="00477EAB">
        <w:rPr>
          <w:lang w:val="fr-FR"/>
        </w:rPr>
        <w:t xml:space="preserve"> parce qu</w:t>
      </w:r>
      <w:r w:rsidR="0064359F">
        <w:rPr>
          <w:lang w:val="fr-FR"/>
        </w:rPr>
        <w:t>’</w:t>
      </w:r>
      <w:r w:rsidRPr="00477EAB">
        <w:rPr>
          <w:lang w:val="fr-FR"/>
        </w:rPr>
        <w:t>elles s</w:t>
      </w:r>
      <w:r w:rsidR="0064359F">
        <w:rPr>
          <w:lang w:val="fr-FR"/>
        </w:rPr>
        <w:t>’</w:t>
      </w:r>
      <w:r w:rsidRPr="00477EAB">
        <w:rPr>
          <w:lang w:val="fr-FR"/>
        </w:rPr>
        <w:t xml:space="preserve">appliquent à </w:t>
      </w:r>
      <w:r w:rsidR="002318EF" w:rsidRPr="00477EAB">
        <w:rPr>
          <w:lang w:val="fr-FR"/>
        </w:rPr>
        <w:t>plusieurs</w:t>
      </w:r>
      <w:r w:rsidRPr="00477EAB">
        <w:rPr>
          <w:lang w:val="fr-FR"/>
        </w:rPr>
        <w:t xml:space="preserve"> catégories d</w:t>
      </w:r>
      <w:r w:rsidR="0064359F">
        <w:rPr>
          <w:lang w:val="fr-FR"/>
        </w:rPr>
        <w:t>’</w:t>
      </w:r>
      <w:r w:rsidRPr="00477EAB">
        <w:rPr>
          <w:lang w:val="fr-FR"/>
        </w:rPr>
        <w:t>objectifs, comme la recherche et la critique fondées sur l</w:t>
      </w:r>
      <w:r w:rsidR="0064359F">
        <w:rPr>
          <w:lang w:val="fr-FR"/>
        </w:rPr>
        <w:t>’</w:t>
      </w:r>
      <w:r w:rsidRPr="00477EAB">
        <w:rPr>
          <w:lang w:val="fr-FR"/>
        </w:rPr>
        <w:t>application d</w:t>
      </w:r>
      <w:r w:rsidR="0064359F">
        <w:rPr>
          <w:lang w:val="fr-FR"/>
        </w:rPr>
        <w:t>’</w:t>
      </w:r>
      <w:r w:rsidRPr="00477EAB">
        <w:rPr>
          <w:lang w:val="fr-FR"/>
        </w:rPr>
        <w:t xml:space="preserve">un </w:t>
      </w:r>
      <w:r w:rsidR="00CC0CB6" w:rsidRPr="00477EAB">
        <w:rPr>
          <w:lang w:val="fr-FR"/>
        </w:rPr>
        <w:t>critère d</w:t>
      </w:r>
      <w:r w:rsidR="0064359F">
        <w:rPr>
          <w:lang w:val="fr-FR"/>
        </w:rPr>
        <w:t>’</w:t>
      </w:r>
      <w:r w:rsidR="00CC0CB6" w:rsidRPr="00477EAB">
        <w:rPr>
          <w:lang w:val="fr-FR"/>
        </w:rPr>
        <w:t>examen comparat</w:t>
      </w:r>
      <w:r w:rsidR="00146784" w:rsidRPr="00477EAB">
        <w:rPr>
          <w:lang w:val="fr-FR"/>
        </w:rPr>
        <w:t>if</w:t>
      </w:r>
      <w:r w:rsidR="00146784">
        <w:rPr>
          <w:lang w:val="fr-FR"/>
        </w:rPr>
        <w:t xml:space="preserve">.  </w:t>
      </w:r>
      <w:r w:rsidR="00146784" w:rsidRPr="00477EAB">
        <w:rPr>
          <w:lang w:val="fr-FR"/>
        </w:rPr>
        <w:t>El</w:t>
      </w:r>
      <w:r w:rsidR="002318EF" w:rsidRPr="00477EAB">
        <w:rPr>
          <w:lang w:val="fr-FR"/>
        </w:rPr>
        <w:t>les</w:t>
      </w:r>
      <w:r w:rsidRPr="00477EAB">
        <w:rPr>
          <w:lang w:val="fr-FR"/>
        </w:rPr>
        <w:t xml:space="preserve"> diffèrent cependant par leur portée</w:t>
      </w:r>
      <w:r w:rsidR="00C4000D" w:rsidRPr="00477EAB">
        <w:rPr>
          <w:lang w:val="fr-FR"/>
        </w:rPr>
        <w:t>.</w:t>
      </w:r>
    </w:p>
    <w:p w:rsidR="00EC5D18" w:rsidRDefault="00CC0CB6" w:rsidP="00477EAB">
      <w:pPr>
        <w:pStyle w:val="ONUMFS"/>
        <w:numPr>
          <w:ilvl w:val="0"/>
          <w:numId w:val="0"/>
        </w:numPr>
        <w:rPr>
          <w:lang w:val="fr-FR"/>
        </w:rPr>
      </w:pPr>
      <w:r w:rsidRPr="00477EAB">
        <w:rPr>
          <w:lang w:val="fr-FR"/>
        </w:rPr>
        <w:t>L</w:t>
      </w:r>
      <w:r w:rsidR="0064359F">
        <w:rPr>
          <w:lang w:val="fr-FR"/>
        </w:rPr>
        <w:t>’</w:t>
      </w:r>
      <w:r w:rsidRPr="00477EAB">
        <w:rPr>
          <w:lang w:val="fr-FR"/>
        </w:rPr>
        <w:t>usage loyal est fondé sur une liste non exhaustive de fins autorisées qui satisfont à la norme d</w:t>
      </w:r>
      <w:r w:rsidR="0064359F">
        <w:rPr>
          <w:lang w:val="fr-FR"/>
        </w:rPr>
        <w:t>’</w:t>
      </w:r>
      <w:r w:rsidRPr="00477EAB">
        <w:rPr>
          <w:lang w:val="fr-FR"/>
        </w:rPr>
        <w:t>équité énumérée dans les facteurs à prendre en considérati</w:t>
      </w:r>
      <w:r w:rsidR="00146784" w:rsidRPr="00477EAB">
        <w:rPr>
          <w:lang w:val="fr-FR"/>
        </w:rPr>
        <w:t>on</w:t>
      </w:r>
      <w:r w:rsidR="00146784">
        <w:rPr>
          <w:lang w:val="fr-FR"/>
        </w:rPr>
        <w:t xml:space="preserve">.  </w:t>
      </w:r>
      <w:r w:rsidR="00146784" w:rsidRPr="00477EAB">
        <w:rPr>
          <w:lang w:val="fr-FR"/>
        </w:rPr>
        <w:t>Pa</w:t>
      </w:r>
      <w:r w:rsidRPr="00477EAB">
        <w:rPr>
          <w:lang w:val="fr-FR"/>
        </w:rPr>
        <w:t>r contre, les dispositions particulières se rapportant à l</w:t>
      </w:r>
      <w:r w:rsidR="0064359F">
        <w:rPr>
          <w:lang w:val="fr-FR"/>
        </w:rPr>
        <w:t>’</w:t>
      </w:r>
      <w:r w:rsidRPr="00477EAB">
        <w:rPr>
          <w:lang w:val="fr-FR"/>
        </w:rPr>
        <w:t>acte loyal sont des mécanismes législatifs utilisés pour faciliter l</w:t>
      </w:r>
      <w:r w:rsidR="0064359F">
        <w:rPr>
          <w:lang w:val="fr-FR"/>
        </w:rPr>
        <w:t>’</w:t>
      </w:r>
      <w:r w:rsidRPr="00477EAB">
        <w:rPr>
          <w:lang w:val="fr-FR"/>
        </w:rPr>
        <w:t>utilisation non rémunérée et non autorisée d</w:t>
      </w:r>
      <w:r w:rsidR="0064359F">
        <w:rPr>
          <w:lang w:val="fr-FR"/>
        </w:rPr>
        <w:t>’</w:t>
      </w:r>
      <w:r w:rsidRPr="00477EAB">
        <w:rPr>
          <w:lang w:val="fr-FR"/>
        </w:rPr>
        <w:t>œuvres protégées par le droit d</w:t>
      </w:r>
      <w:r w:rsidR="0064359F">
        <w:rPr>
          <w:lang w:val="fr-FR"/>
        </w:rPr>
        <w:t>’</w:t>
      </w:r>
      <w:r w:rsidRPr="00477EAB">
        <w:rPr>
          <w:lang w:val="fr-FR"/>
        </w:rPr>
        <w:t>auteur dans des cas préc</w:t>
      </w:r>
      <w:r w:rsidR="00146784" w:rsidRPr="00477EAB">
        <w:rPr>
          <w:lang w:val="fr-FR"/>
        </w:rPr>
        <w:t>is</w:t>
      </w:r>
      <w:r w:rsidR="00146784">
        <w:rPr>
          <w:lang w:val="fr-FR"/>
        </w:rPr>
        <w:t xml:space="preserve">.  </w:t>
      </w:r>
      <w:r w:rsidR="00146784" w:rsidRPr="00477EAB">
        <w:rPr>
          <w:lang w:val="fr-FR"/>
        </w:rPr>
        <w:t>El</w:t>
      </w:r>
      <w:r w:rsidRPr="00477EAB">
        <w:rPr>
          <w:lang w:val="fr-FR"/>
        </w:rPr>
        <w:t>les dressent une liste exhaustive des fins autorisées et n</w:t>
      </w:r>
      <w:r w:rsidR="0064359F">
        <w:rPr>
          <w:lang w:val="fr-FR"/>
        </w:rPr>
        <w:t>’</w:t>
      </w:r>
      <w:r w:rsidRPr="00477EAB">
        <w:rPr>
          <w:lang w:val="fr-FR"/>
        </w:rPr>
        <w:t>énumèrent pas les facteurs à prendre en considération pour déterminer le caractère loyal de l</w:t>
      </w:r>
      <w:r w:rsidR="0064359F">
        <w:rPr>
          <w:lang w:val="fr-FR"/>
        </w:rPr>
        <w:t>’</w:t>
      </w:r>
      <w:r w:rsidRPr="00477EAB">
        <w:rPr>
          <w:lang w:val="fr-FR"/>
        </w:rPr>
        <w:t>utilisati</w:t>
      </w:r>
      <w:r w:rsidR="00146784" w:rsidRPr="00477EAB">
        <w:rPr>
          <w:lang w:val="fr-FR"/>
        </w:rPr>
        <w:t>on</w:t>
      </w:r>
      <w:r w:rsidR="00146784">
        <w:rPr>
          <w:lang w:val="fr-FR"/>
        </w:rPr>
        <w:t xml:space="preserve">.  </w:t>
      </w:r>
      <w:r w:rsidR="00146784" w:rsidRPr="00477EAB">
        <w:rPr>
          <w:lang w:val="fr-FR"/>
        </w:rPr>
        <w:t>El</w:t>
      </w:r>
      <w:r w:rsidRPr="00477EAB">
        <w:rPr>
          <w:lang w:val="fr-FR"/>
        </w:rPr>
        <w:t>les sont complétées par une série d</w:t>
      </w:r>
      <w:r w:rsidR="0064359F">
        <w:rPr>
          <w:lang w:val="fr-FR"/>
        </w:rPr>
        <w:t>’</w:t>
      </w:r>
      <w:r w:rsidR="00302E93" w:rsidRPr="00477EAB">
        <w:rPr>
          <w:lang w:val="fr-FR"/>
        </w:rPr>
        <w:t xml:space="preserve">autres </w:t>
      </w:r>
      <w:r w:rsidRPr="00477EAB">
        <w:rPr>
          <w:lang w:val="fr-FR"/>
        </w:rPr>
        <w:t>exceptions qui prévoient d</w:t>
      </w:r>
      <w:r w:rsidR="00302E93" w:rsidRPr="00477EAB">
        <w:rPr>
          <w:lang w:val="fr-FR"/>
        </w:rPr>
        <w:t>es</w:t>
      </w:r>
      <w:r w:rsidRPr="00477EAB">
        <w:rPr>
          <w:lang w:val="fr-FR"/>
        </w:rPr>
        <w:t xml:space="preserve"> utilisations telles que l</w:t>
      </w:r>
      <w:r w:rsidR="0064359F">
        <w:rPr>
          <w:lang w:val="fr-FR"/>
        </w:rPr>
        <w:t>’</w:t>
      </w:r>
      <w:r w:rsidRPr="00477EAB">
        <w:rPr>
          <w:lang w:val="fr-FR"/>
        </w:rPr>
        <w:t xml:space="preserve">illustration à des fins pédagogiques </w:t>
      </w:r>
      <w:r w:rsidR="00302E93" w:rsidRPr="00477EAB">
        <w:rPr>
          <w:lang w:val="fr-FR"/>
        </w:rPr>
        <w:t>ou</w:t>
      </w:r>
      <w:r w:rsidRPr="00477EAB">
        <w:rPr>
          <w:lang w:val="fr-FR"/>
        </w:rPr>
        <w:t xml:space="preserve"> </w:t>
      </w:r>
      <w:r w:rsidR="00BA1AAA" w:rsidRPr="00477EAB">
        <w:rPr>
          <w:lang w:val="fr-FR"/>
        </w:rPr>
        <w:t xml:space="preserve">de </w:t>
      </w:r>
      <w:r w:rsidR="00302E93" w:rsidRPr="00477EAB">
        <w:rPr>
          <w:lang w:val="fr-FR"/>
        </w:rPr>
        <w:t>compte rendu</w:t>
      </w:r>
      <w:r w:rsidRPr="00477EAB">
        <w:rPr>
          <w:lang w:val="fr-FR"/>
        </w:rPr>
        <w:t xml:space="preserve"> judiciai</w:t>
      </w:r>
      <w:r w:rsidR="00146784" w:rsidRPr="00477EAB">
        <w:rPr>
          <w:lang w:val="fr-FR"/>
        </w:rPr>
        <w:t>re</w:t>
      </w:r>
      <w:r w:rsidR="00146784">
        <w:rPr>
          <w:lang w:val="fr-FR"/>
        </w:rPr>
        <w:t xml:space="preserve">.  </w:t>
      </w:r>
      <w:r w:rsidR="00146784" w:rsidRPr="00477EAB">
        <w:rPr>
          <w:lang w:val="fr-FR"/>
        </w:rPr>
        <w:t>Le</w:t>
      </w:r>
      <w:r w:rsidRPr="00477EAB">
        <w:rPr>
          <w:lang w:val="fr-FR"/>
        </w:rPr>
        <w:t xml:space="preserve">s tribunaux de certains </w:t>
      </w:r>
      <w:r w:rsidR="00F85A83" w:rsidRPr="00477EAB">
        <w:rPr>
          <w:lang w:val="fr-FR"/>
        </w:rPr>
        <w:t>pays</w:t>
      </w:r>
      <w:r w:rsidRPr="00477EAB">
        <w:rPr>
          <w:lang w:val="fr-FR"/>
        </w:rPr>
        <w:t xml:space="preserve"> ont confirmé que les utilisations </w:t>
      </w:r>
      <w:r w:rsidR="00302E93" w:rsidRPr="00477EAB">
        <w:rPr>
          <w:lang w:val="fr-FR"/>
        </w:rPr>
        <w:t>autorisées</w:t>
      </w:r>
      <w:r w:rsidRPr="00477EAB">
        <w:rPr>
          <w:lang w:val="fr-FR"/>
        </w:rPr>
        <w:t xml:space="preserve"> en vertu des clauses d</w:t>
      </w:r>
      <w:r w:rsidR="0064359F">
        <w:rPr>
          <w:lang w:val="fr-FR"/>
        </w:rPr>
        <w:t>’</w:t>
      </w:r>
      <w:r w:rsidR="00BF6B06" w:rsidRPr="00477EAB">
        <w:rPr>
          <w:lang w:val="fr-FR"/>
        </w:rPr>
        <w:t>acte loyal</w:t>
      </w:r>
      <w:r w:rsidRPr="00477EAB">
        <w:rPr>
          <w:lang w:val="fr-FR"/>
        </w:rPr>
        <w:t xml:space="preserve"> sont exhaustives, tandis que d</w:t>
      </w:r>
      <w:r w:rsidR="0064359F">
        <w:rPr>
          <w:lang w:val="fr-FR"/>
        </w:rPr>
        <w:t>’</w:t>
      </w:r>
      <w:r w:rsidRPr="00477EAB">
        <w:rPr>
          <w:lang w:val="fr-FR"/>
        </w:rPr>
        <w:t>autres n</w:t>
      </w:r>
      <w:r w:rsidR="0064359F">
        <w:rPr>
          <w:lang w:val="fr-FR"/>
        </w:rPr>
        <w:t>’</w:t>
      </w:r>
      <w:r w:rsidRPr="00477EAB">
        <w:rPr>
          <w:lang w:val="fr-FR"/>
        </w:rPr>
        <w:t>ont pas encore abordé directement la question</w:t>
      </w:r>
      <w:r w:rsidR="00C4000D" w:rsidRPr="00477EAB">
        <w:rPr>
          <w:lang w:val="fr-FR"/>
        </w:rPr>
        <w:t>.</w:t>
      </w:r>
    </w:p>
    <w:p w:rsidR="00EC5D18" w:rsidRDefault="00BF6B06" w:rsidP="00477EAB">
      <w:pPr>
        <w:pStyle w:val="ONUMFS"/>
        <w:numPr>
          <w:ilvl w:val="0"/>
          <w:numId w:val="0"/>
        </w:numPr>
        <w:rPr>
          <w:lang w:val="fr-FR"/>
        </w:rPr>
      </w:pPr>
      <w:r w:rsidRPr="00477EAB">
        <w:rPr>
          <w:lang w:val="fr-FR"/>
        </w:rPr>
        <w:t>Les dispositions relatives à l</w:t>
      </w:r>
      <w:r w:rsidR="0064359F">
        <w:rPr>
          <w:lang w:val="fr-FR"/>
        </w:rPr>
        <w:t>’</w:t>
      </w:r>
      <w:r w:rsidRPr="00477EAB">
        <w:rPr>
          <w:lang w:val="fr-FR"/>
        </w:rPr>
        <w:t xml:space="preserve">acte loyal </w:t>
      </w:r>
      <w:r w:rsidR="00F85A83" w:rsidRPr="00477EAB">
        <w:rPr>
          <w:lang w:val="fr-FR"/>
        </w:rPr>
        <w:t>prévoient</w:t>
      </w:r>
      <w:r w:rsidRPr="00477EAB">
        <w:rPr>
          <w:lang w:val="fr-FR"/>
        </w:rPr>
        <w:t xml:space="preserve"> généralement des conditions applicables à l</w:t>
      </w:r>
      <w:r w:rsidR="0064359F">
        <w:rPr>
          <w:lang w:val="fr-FR"/>
        </w:rPr>
        <w:t>’</w:t>
      </w:r>
      <w:r w:rsidRPr="00477EAB">
        <w:rPr>
          <w:lang w:val="fr-FR"/>
        </w:rPr>
        <w:t>utilisation de l</w:t>
      </w:r>
      <w:r w:rsidR="0064359F">
        <w:rPr>
          <w:lang w:val="fr-FR"/>
        </w:rPr>
        <w:t>’</w:t>
      </w:r>
      <w:r w:rsidRPr="00477EAB">
        <w:rPr>
          <w:lang w:val="fr-FR"/>
        </w:rPr>
        <w:t>œuvre, comme la paternité de l</w:t>
      </w:r>
      <w:r w:rsidR="0064359F">
        <w:rPr>
          <w:lang w:val="fr-FR"/>
        </w:rPr>
        <w:t>’</w:t>
      </w:r>
      <w:r w:rsidRPr="00477EAB">
        <w:rPr>
          <w:lang w:val="fr-FR"/>
        </w:rPr>
        <w:t>œuvre et l</w:t>
      </w:r>
      <w:r w:rsidR="0064359F">
        <w:rPr>
          <w:lang w:val="fr-FR"/>
        </w:rPr>
        <w:t>’</w:t>
      </w:r>
      <w:r w:rsidRPr="00477EAB">
        <w:rPr>
          <w:lang w:val="fr-FR"/>
        </w:rPr>
        <w:t>indication de sa sour</w:t>
      </w:r>
      <w:r w:rsidR="00146784" w:rsidRPr="00477EAB">
        <w:rPr>
          <w:lang w:val="fr-FR"/>
        </w:rPr>
        <w:t>ce</w:t>
      </w:r>
      <w:r w:rsidR="00146784">
        <w:rPr>
          <w:lang w:val="fr-FR"/>
        </w:rPr>
        <w:t xml:space="preserve">.  </w:t>
      </w:r>
      <w:r w:rsidR="00146784" w:rsidRPr="00477EAB">
        <w:rPr>
          <w:lang w:val="fr-FR"/>
        </w:rPr>
        <w:t>Ce</w:t>
      </w:r>
      <w:r w:rsidRPr="00477EAB">
        <w:rPr>
          <w:lang w:val="fr-FR"/>
        </w:rPr>
        <w:t>rtaines lois nationales, comme celles de l</w:t>
      </w:r>
      <w:r w:rsidR="0064359F">
        <w:rPr>
          <w:lang w:val="fr-FR"/>
        </w:rPr>
        <w:t>’</w:t>
      </w:r>
      <w:r w:rsidRPr="00477EAB">
        <w:rPr>
          <w:lang w:val="fr-FR"/>
        </w:rPr>
        <w:t>Australie et du Canada sur le droit d</w:t>
      </w:r>
      <w:r w:rsidR="0064359F">
        <w:rPr>
          <w:lang w:val="fr-FR"/>
        </w:rPr>
        <w:t>’</w:t>
      </w:r>
      <w:r w:rsidRPr="00477EAB">
        <w:rPr>
          <w:lang w:val="fr-FR"/>
        </w:rPr>
        <w:t>auteur, comprennent une liste de facteurs à prendre en considération en vue d</w:t>
      </w:r>
      <w:r w:rsidR="0064359F">
        <w:rPr>
          <w:lang w:val="fr-FR"/>
        </w:rPr>
        <w:t>’</w:t>
      </w:r>
      <w:r w:rsidRPr="00477EAB">
        <w:rPr>
          <w:lang w:val="fr-FR"/>
        </w:rPr>
        <w:t>établir le caractère loyal de son utilisati</w:t>
      </w:r>
      <w:r w:rsidR="00146784" w:rsidRPr="00477EAB">
        <w:rPr>
          <w:lang w:val="fr-FR"/>
        </w:rPr>
        <w:t>on</w:t>
      </w:r>
      <w:r w:rsidR="00146784">
        <w:rPr>
          <w:lang w:val="fr-FR"/>
        </w:rPr>
        <w:t xml:space="preserve">.  </w:t>
      </w:r>
      <w:r w:rsidR="00146784" w:rsidRPr="00477EAB">
        <w:rPr>
          <w:lang w:val="fr-FR"/>
        </w:rPr>
        <w:t>L</w:t>
      </w:r>
      <w:r w:rsidR="00146784">
        <w:rPr>
          <w:lang w:val="fr-FR"/>
        </w:rPr>
        <w:t>’</w:t>
      </w:r>
      <w:r w:rsidR="00146784" w:rsidRPr="00477EAB">
        <w:rPr>
          <w:lang w:val="fr-FR"/>
        </w:rPr>
        <w:t>a</w:t>
      </w:r>
      <w:r w:rsidRPr="00477EAB">
        <w:rPr>
          <w:lang w:val="fr-FR"/>
        </w:rPr>
        <w:t>spect le plus important des clauses relatives à l</w:t>
      </w:r>
      <w:r w:rsidR="0064359F">
        <w:rPr>
          <w:lang w:val="fr-FR"/>
        </w:rPr>
        <w:t>’</w:t>
      </w:r>
      <w:r w:rsidRPr="00477EAB">
        <w:rPr>
          <w:lang w:val="fr-FR"/>
        </w:rPr>
        <w:t>acte loyal est qu</w:t>
      </w:r>
      <w:r w:rsidR="0064359F">
        <w:rPr>
          <w:lang w:val="fr-FR"/>
        </w:rPr>
        <w:t>’</w:t>
      </w:r>
      <w:r w:rsidRPr="00477EAB">
        <w:rPr>
          <w:lang w:val="fr-FR"/>
        </w:rPr>
        <w:t>elles doivent énumérer la réalisation d</w:t>
      </w:r>
      <w:r w:rsidR="0064359F">
        <w:rPr>
          <w:lang w:val="fr-FR"/>
        </w:rPr>
        <w:t>’</w:t>
      </w:r>
      <w:r w:rsidRPr="00477EAB">
        <w:rPr>
          <w:lang w:val="fr-FR"/>
        </w:rPr>
        <w:t>exemplaires en format accessible dans la liste exhaustive des utilisations autorisé</w:t>
      </w:r>
      <w:r w:rsidR="00146784" w:rsidRPr="00477EAB">
        <w:rPr>
          <w:lang w:val="fr-FR"/>
        </w:rPr>
        <w:t>es</w:t>
      </w:r>
      <w:r w:rsidR="00146784">
        <w:rPr>
          <w:lang w:val="fr-FR"/>
        </w:rPr>
        <w:t xml:space="preserve">.  </w:t>
      </w:r>
      <w:r w:rsidR="00146784" w:rsidRPr="00477EAB">
        <w:rPr>
          <w:lang w:val="fr-FR"/>
        </w:rPr>
        <w:t>Si</w:t>
      </w:r>
      <w:r w:rsidRPr="00477EAB">
        <w:rPr>
          <w:lang w:val="fr-FR"/>
        </w:rPr>
        <w:t xml:space="preserve"> tel n</w:t>
      </w:r>
      <w:r w:rsidR="0064359F">
        <w:rPr>
          <w:lang w:val="fr-FR"/>
        </w:rPr>
        <w:t>’</w:t>
      </w:r>
      <w:r w:rsidRPr="00477EAB">
        <w:rPr>
          <w:lang w:val="fr-FR"/>
        </w:rPr>
        <w:t>est pas le cas, il n</w:t>
      </w:r>
      <w:r w:rsidR="0064359F">
        <w:rPr>
          <w:lang w:val="fr-FR"/>
        </w:rPr>
        <w:t>’</w:t>
      </w:r>
      <w:r w:rsidRPr="00477EAB">
        <w:rPr>
          <w:lang w:val="fr-FR"/>
        </w:rPr>
        <w:t>est pas possible d</w:t>
      </w:r>
      <w:r w:rsidR="0064359F">
        <w:rPr>
          <w:lang w:val="fr-FR"/>
        </w:rPr>
        <w:t>’</w:t>
      </w:r>
      <w:r w:rsidRPr="00477EAB">
        <w:rPr>
          <w:lang w:val="fr-FR"/>
        </w:rPr>
        <w:t>invoquer la clause d</w:t>
      </w:r>
      <w:r w:rsidR="0064359F">
        <w:rPr>
          <w:lang w:val="fr-FR"/>
        </w:rPr>
        <w:t>’</w:t>
      </w:r>
      <w:r w:rsidRPr="00477EAB">
        <w:rPr>
          <w:lang w:val="fr-FR"/>
        </w:rPr>
        <w:t>acte loyal à cette f</w:t>
      </w:r>
      <w:r w:rsidR="00146784" w:rsidRPr="00477EAB">
        <w:rPr>
          <w:lang w:val="fr-FR"/>
        </w:rPr>
        <w:t>in</w:t>
      </w:r>
      <w:r w:rsidR="00146784">
        <w:rPr>
          <w:lang w:val="fr-FR"/>
        </w:rPr>
        <w:t xml:space="preserve">.  </w:t>
      </w:r>
      <w:r w:rsidR="00146784" w:rsidRPr="00477EAB">
        <w:rPr>
          <w:lang w:val="fr-FR"/>
        </w:rPr>
        <w:t>Le</w:t>
      </w:r>
      <w:r w:rsidRPr="00477EAB">
        <w:rPr>
          <w:lang w:val="fr-FR"/>
        </w:rPr>
        <w:t>s clauses relatives à l</w:t>
      </w:r>
      <w:r w:rsidR="0064359F">
        <w:rPr>
          <w:lang w:val="fr-FR"/>
        </w:rPr>
        <w:t>’</w:t>
      </w:r>
      <w:r w:rsidRPr="00477EAB">
        <w:rPr>
          <w:lang w:val="fr-FR"/>
        </w:rPr>
        <w:t xml:space="preserve">usage loyal, en revanche, ne prévoient pas de listes exhaustives des utilisations autorisées et incluent simplement une liste non exhaustive ou </w:t>
      </w:r>
      <w:r w:rsidR="00D25BB2" w:rsidRPr="00477EAB">
        <w:rPr>
          <w:lang w:val="fr-FR"/>
        </w:rPr>
        <w:t>indicati</w:t>
      </w:r>
      <w:r w:rsidR="00146784" w:rsidRPr="00477EAB">
        <w:rPr>
          <w:lang w:val="fr-FR"/>
        </w:rPr>
        <w:t>ve</w:t>
      </w:r>
      <w:r w:rsidR="00146784">
        <w:rPr>
          <w:lang w:val="fr-FR"/>
        </w:rPr>
        <w:t xml:space="preserve">.  </w:t>
      </w:r>
      <w:r w:rsidR="00146784" w:rsidRPr="00477EAB">
        <w:rPr>
          <w:lang w:val="fr-FR"/>
        </w:rPr>
        <w:t>C</w:t>
      </w:r>
      <w:r w:rsidR="00146784">
        <w:rPr>
          <w:lang w:val="fr-FR"/>
        </w:rPr>
        <w:t>’</w:t>
      </w:r>
      <w:r w:rsidR="00146784" w:rsidRPr="00477EAB">
        <w:rPr>
          <w:lang w:val="fr-FR"/>
        </w:rPr>
        <w:t>e</w:t>
      </w:r>
      <w:r w:rsidRPr="00477EAB">
        <w:rPr>
          <w:lang w:val="fr-FR"/>
        </w:rPr>
        <w:t xml:space="preserve">st cette </w:t>
      </w:r>
      <w:r w:rsidR="00D25BB2" w:rsidRPr="00477EAB">
        <w:rPr>
          <w:lang w:val="fr-FR"/>
        </w:rPr>
        <w:t>absence de limitation</w:t>
      </w:r>
      <w:r w:rsidRPr="00477EAB">
        <w:rPr>
          <w:lang w:val="fr-FR"/>
        </w:rPr>
        <w:t xml:space="preserve"> qui facilite la création d</w:t>
      </w:r>
      <w:r w:rsidR="0064359F">
        <w:rPr>
          <w:lang w:val="fr-FR"/>
        </w:rPr>
        <w:t>’</w:t>
      </w:r>
      <w:r w:rsidR="00D25BB2" w:rsidRPr="00477EAB">
        <w:rPr>
          <w:lang w:val="fr-FR"/>
        </w:rPr>
        <w:t xml:space="preserve">exemplaires </w:t>
      </w:r>
      <w:r w:rsidRPr="00477EAB">
        <w:rPr>
          <w:lang w:val="fr-FR"/>
        </w:rPr>
        <w:t>e</w:t>
      </w:r>
      <w:r w:rsidR="00D25BB2" w:rsidRPr="00477EAB">
        <w:rPr>
          <w:lang w:val="fr-FR"/>
        </w:rPr>
        <w:t>n</w:t>
      </w:r>
      <w:r w:rsidRPr="00477EAB">
        <w:rPr>
          <w:lang w:val="fr-FR"/>
        </w:rPr>
        <w:t xml:space="preserve"> format accessible pour les personnes handicapées</w:t>
      </w:r>
      <w:r w:rsidR="00C4000D" w:rsidRPr="00477EAB">
        <w:rPr>
          <w:lang w:val="fr-FR"/>
        </w:rPr>
        <w:t>.</w:t>
      </w:r>
    </w:p>
    <w:p w:rsidR="00EC1FFD" w:rsidRPr="00477EAB" w:rsidRDefault="00D25BB2" w:rsidP="00477EAB">
      <w:pPr>
        <w:pStyle w:val="ONUMFS"/>
        <w:numPr>
          <w:ilvl w:val="0"/>
          <w:numId w:val="0"/>
        </w:numPr>
        <w:rPr>
          <w:lang w:val="fr-FR"/>
        </w:rPr>
      </w:pPr>
      <w:r w:rsidRPr="00477EAB">
        <w:rPr>
          <w:lang w:val="fr-FR"/>
        </w:rPr>
        <w:t>Dans certains cas, les clauses d</w:t>
      </w:r>
      <w:r w:rsidR="0064359F">
        <w:rPr>
          <w:lang w:val="fr-FR"/>
        </w:rPr>
        <w:t>’</w:t>
      </w:r>
      <w:r w:rsidRPr="00477EAB">
        <w:rPr>
          <w:lang w:val="fr-FR"/>
        </w:rPr>
        <w:t>acte loyal sont rédigées de manière à pouvoir s</w:t>
      </w:r>
      <w:r w:rsidR="0064359F">
        <w:rPr>
          <w:lang w:val="fr-FR"/>
        </w:rPr>
        <w:t>’</w:t>
      </w:r>
      <w:r w:rsidRPr="00477EAB">
        <w:rPr>
          <w:lang w:val="fr-FR"/>
        </w:rPr>
        <w:t>appliquer à n</w:t>
      </w:r>
      <w:r w:rsidR="0064359F">
        <w:rPr>
          <w:lang w:val="fr-FR"/>
        </w:rPr>
        <w:t>’</w:t>
      </w:r>
      <w:r w:rsidRPr="00477EAB">
        <w:rPr>
          <w:lang w:val="fr-FR"/>
        </w:rPr>
        <w:t>importe quelle f</w:t>
      </w:r>
      <w:r w:rsidR="00146784" w:rsidRPr="00477EAB">
        <w:rPr>
          <w:lang w:val="fr-FR"/>
        </w:rPr>
        <w:t>in</w:t>
      </w:r>
      <w:r w:rsidR="00146784">
        <w:rPr>
          <w:lang w:val="fr-FR"/>
        </w:rPr>
        <w:t xml:space="preserve">.  </w:t>
      </w:r>
      <w:r w:rsidR="00146784" w:rsidRPr="00477EAB">
        <w:rPr>
          <w:lang w:val="fr-FR"/>
        </w:rPr>
        <w:t>Lo</w:t>
      </w:r>
      <w:r w:rsidRPr="00477EAB">
        <w:rPr>
          <w:lang w:val="fr-FR"/>
        </w:rPr>
        <w:t>rsque tel est le cas, elles sont indiquées à la fois dans le tableau récapitulatif des conclusions et dans le tableau des États membres de l</w:t>
      </w:r>
      <w:r w:rsidR="0064359F">
        <w:rPr>
          <w:lang w:val="fr-FR"/>
        </w:rPr>
        <w:t>’</w:t>
      </w:r>
      <w:r w:rsidRPr="00477EAB">
        <w:rPr>
          <w:lang w:val="fr-FR"/>
        </w:rPr>
        <w:t>OMPI concernés</w:t>
      </w:r>
      <w:r w:rsidR="00C4000D" w:rsidRPr="00477EAB">
        <w:rPr>
          <w:lang w:val="fr-FR"/>
        </w:rPr>
        <w:t>.</w:t>
      </w:r>
    </w:p>
    <w:p w:rsidR="00EC1FFD" w:rsidRPr="00477EAB" w:rsidRDefault="00D25BB2" w:rsidP="00477EAB">
      <w:pPr>
        <w:pStyle w:val="Heading3"/>
        <w:rPr>
          <w:lang w:val="fr-FR"/>
        </w:rPr>
      </w:pPr>
      <w:bookmarkStart w:id="39" w:name="_Toc3361685"/>
      <w:bookmarkStart w:id="40" w:name="_Toc2872900"/>
      <w:bookmarkStart w:id="41" w:name="_Toc2872252"/>
      <w:r w:rsidRPr="00477EAB">
        <w:rPr>
          <w:lang w:val="fr-FR"/>
        </w:rPr>
        <w:lastRenderedPageBreak/>
        <w:t>Dispositions générales</w:t>
      </w:r>
      <w:bookmarkEnd w:id="39"/>
      <w:bookmarkEnd w:id="40"/>
      <w:bookmarkEnd w:id="41"/>
    </w:p>
    <w:p w:rsidR="00477EAB" w:rsidRPr="00477EAB" w:rsidRDefault="00477EAB" w:rsidP="00477EAB">
      <w:pPr>
        <w:rPr>
          <w:lang w:val="fr-FR"/>
        </w:rPr>
      </w:pPr>
    </w:p>
    <w:p w:rsidR="00EC1FFD" w:rsidRPr="00477EAB" w:rsidRDefault="00D25BB2" w:rsidP="00477EAB">
      <w:pPr>
        <w:pStyle w:val="ONUMFS"/>
        <w:numPr>
          <w:ilvl w:val="0"/>
          <w:numId w:val="0"/>
        </w:numPr>
        <w:rPr>
          <w:lang w:val="fr-FR"/>
        </w:rPr>
      </w:pPr>
      <w:r w:rsidRPr="00477EAB">
        <w:rPr>
          <w:lang w:val="fr-FR"/>
        </w:rPr>
        <w:t xml:space="preserve">Les dispositions générales sont également pertinentes dans la mesure où elles facilitent la </w:t>
      </w:r>
      <w:r w:rsidR="00DE5AC8" w:rsidRPr="00477EAB">
        <w:rPr>
          <w:lang w:val="fr-FR"/>
        </w:rPr>
        <w:t>réalisation d</w:t>
      </w:r>
      <w:r w:rsidR="0064359F">
        <w:rPr>
          <w:lang w:val="fr-FR"/>
        </w:rPr>
        <w:t>’</w:t>
      </w:r>
      <w:r w:rsidR="00DE5AC8" w:rsidRPr="00477EAB">
        <w:rPr>
          <w:lang w:val="fr-FR"/>
        </w:rPr>
        <w:t>exemplaires en</w:t>
      </w:r>
      <w:r w:rsidRPr="00477EAB">
        <w:rPr>
          <w:lang w:val="fr-FR"/>
        </w:rPr>
        <w:t xml:space="preserve"> format accessib</w:t>
      </w:r>
      <w:r w:rsidR="00146784" w:rsidRPr="00477EAB">
        <w:rPr>
          <w:lang w:val="fr-FR"/>
        </w:rPr>
        <w:t>le</w:t>
      </w:r>
      <w:r w:rsidR="00146784">
        <w:rPr>
          <w:lang w:val="fr-FR"/>
        </w:rPr>
        <w:t xml:space="preserve">.  </w:t>
      </w:r>
      <w:r w:rsidR="00146784" w:rsidRPr="00477EAB">
        <w:rPr>
          <w:lang w:val="fr-FR"/>
        </w:rPr>
        <w:t>Pa</w:t>
      </w:r>
      <w:r w:rsidRPr="00477EAB">
        <w:rPr>
          <w:lang w:val="fr-FR"/>
        </w:rPr>
        <w:t>r exemple, les tribunaux américains ont confirmé que la clause d</w:t>
      </w:r>
      <w:r w:rsidR="0064359F">
        <w:rPr>
          <w:lang w:val="fr-FR"/>
        </w:rPr>
        <w:t>’</w:t>
      </w:r>
      <w:r w:rsidRPr="00477EAB">
        <w:rPr>
          <w:lang w:val="fr-FR"/>
        </w:rPr>
        <w:t>u</w:t>
      </w:r>
      <w:r w:rsidR="00DE5AC8" w:rsidRPr="00477EAB">
        <w:rPr>
          <w:lang w:val="fr-FR"/>
        </w:rPr>
        <w:t>sage loyal</w:t>
      </w:r>
      <w:r w:rsidRPr="00477EAB">
        <w:rPr>
          <w:lang w:val="fr-FR"/>
        </w:rPr>
        <w:t xml:space="preserve"> permet </w:t>
      </w:r>
      <w:r w:rsidR="00DE5AC8" w:rsidRPr="00477EAB">
        <w:rPr>
          <w:lang w:val="fr-FR"/>
        </w:rPr>
        <w:t>la réalisation d</w:t>
      </w:r>
      <w:r w:rsidR="0064359F">
        <w:rPr>
          <w:lang w:val="fr-FR"/>
        </w:rPr>
        <w:t>’</w:t>
      </w:r>
      <w:r w:rsidR="00DE5AC8" w:rsidRPr="00477EAB">
        <w:rPr>
          <w:lang w:val="fr-FR"/>
        </w:rPr>
        <w:t xml:space="preserve">exemplaires en format accessible pour les </w:t>
      </w:r>
      <w:r w:rsidRPr="00477EAB">
        <w:rPr>
          <w:lang w:val="fr-FR"/>
        </w:rPr>
        <w:t>déficien</w:t>
      </w:r>
      <w:r w:rsidR="00DE5AC8" w:rsidRPr="00477EAB">
        <w:rPr>
          <w:lang w:val="fr-FR"/>
        </w:rPr>
        <w:t>ts visuels</w:t>
      </w:r>
      <w:r w:rsidR="00C4000D" w:rsidRPr="00477EAB">
        <w:rPr>
          <w:vertAlign w:val="superscript"/>
          <w:lang w:val="fr-FR"/>
        </w:rPr>
        <w:footnoteReference w:id="30"/>
      </w:r>
      <w:r w:rsidR="00DE5AC8" w:rsidRPr="00477EAB">
        <w:rPr>
          <w:lang w:val="fr-FR"/>
        </w:rPr>
        <w:t xml:space="preserve">. </w:t>
      </w:r>
      <w:r w:rsidR="00C4000D" w:rsidRPr="00477EAB">
        <w:rPr>
          <w:lang w:val="fr-FR"/>
        </w:rPr>
        <w:t xml:space="preserve"> </w:t>
      </w:r>
      <w:r w:rsidR="00DE5AC8" w:rsidRPr="00477EAB">
        <w:rPr>
          <w:lang w:val="fr-FR"/>
        </w:rPr>
        <w:t>Rien ne donne à penser qu</w:t>
      </w:r>
      <w:r w:rsidR="0064359F">
        <w:rPr>
          <w:lang w:val="fr-FR"/>
        </w:rPr>
        <w:t>’</w:t>
      </w:r>
      <w:r w:rsidR="00DE5AC8" w:rsidRPr="00477EAB">
        <w:rPr>
          <w:lang w:val="fr-FR"/>
        </w:rPr>
        <w:t>il n</w:t>
      </w:r>
      <w:r w:rsidR="0064359F">
        <w:rPr>
          <w:lang w:val="fr-FR"/>
        </w:rPr>
        <w:t>’</w:t>
      </w:r>
      <w:r w:rsidR="00DE5AC8" w:rsidRPr="00477EAB">
        <w:rPr>
          <w:lang w:val="fr-FR"/>
        </w:rPr>
        <w:t>en est pas de même pour les autres handicaps</w:t>
      </w:r>
      <w:r w:rsidR="00C4000D" w:rsidRPr="00477EAB">
        <w:rPr>
          <w:lang w:val="fr-FR"/>
        </w:rPr>
        <w:t>.</w:t>
      </w:r>
    </w:p>
    <w:p w:rsidR="00EC5D18" w:rsidRDefault="00DE5AC8" w:rsidP="00477EAB">
      <w:pPr>
        <w:pStyle w:val="ONUMFS"/>
        <w:numPr>
          <w:ilvl w:val="0"/>
          <w:numId w:val="0"/>
        </w:numPr>
        <w:rPr>
          <w:lang w:val="fr-FR"/>
        </w:rPr>
      </w:pPr>
      <w:r w:rsidRPr="00477EAB">
        <w:rPr>
          <w:lang w:val="fr-FR"/>
        </w:rPr>
        <w:t>Dans l</w:t>
      </w:r>
      <w:r w:rsidR="0064359F">
        <w:rPr>
          <w:lang w:val="fr-FR"/>
        </w:rPr>
        <w:t>’</w:t>
      </w:r>
      <w:r w:rsidRPr="00477EAB">
        <w:rPr>
          <w:lang w:val="fr-FR"/>
        </w:rPr>
        <w:t xml:space="preserve">affaire </w:t>
      </w:r>
      <w:r w:rsidR="00C4000D" w:rsidRPr="00477EAB">
        <w:rPr>
          <w:i/>
          <w:lang w:val="fr-FR"/>
        </w:rPr>
        <w:t xml:space="preserve">Authors Guild </w:t>
      </w:r>
      <w:r w:rsidRPr="00477EAB">
        <w:rPr>
          <w:lang w:val="fr-FR"/>
        </w:rPr>
        <w:t>c/</w:t>
      </w:r>
      <w:r w:rsidR="00C4000D" w:rsidRPr="00477EAB">
        <w:rPr>
          <w:i/>
          <w:lang w:val="fr-FR"/>
        </w:rPr>
        <w:t xml:space="preserve"> HathiTrust</w:t>
      </w:r>
      <w:r w:rsidR="00C4000D" w:rsidRPr="00477EAB">
        <w:rPr>
          <w:lang w:val="fr-FR"/>
        </w:rPr>
        <w:t>,</w:t>
      </w:r>
      <w:r w:rsidR="00C4000D" w:rsidRPr="00477EAB">
        <w:rPr>
          <w:i/>
          <w:lang w:val="fr-FR"/>
        </w:rPr>
        <w:t xml:space="preserve"> </w:t>
      </w:r>
      <w:r w:rsidRPr="00477EAB">
        <w:rPr>
          <w:lang w:val="fr-FR"/>
        </w:rPr>
        <w:t>le tribunal a estimé que le fait de donner aux personnes ayant des difficultés de lecture des textes imprimés accès à des copies numériques des collections des universités constituerait une utilisation autorisée en vertu de la doctrine de l</w:t>
      </w:r>
      <w:r w:rsidR="0064359F">
        <w:rPr>
          <w:lang w:val="fr-FR"/>
        </w:rPr>
        <w:t>’</w:t>
      </w:r>
      <w:r w:rsidRPr="00477EAB">
        <w:rPr>
          <w:lang w:val="fr-FR"/>
        </w:rPr>
        <w:t>usage loyal</w:t>
      </w:r>
      <w:r w:rsidR="00C4000D" w:rsidRPr="00477EAB">
        <w:rPr>
          <w:rStyle w:val="FootnoteReference"/>
          <w:lang w:val="fr-FR"/>
        </w:rPr>
        <w:footnoteReference w:id="31"/>
      </w:r>
      <w:r w:rsidRPr="00477EAB">
        <w:rPr>
          <w:lang w:val="fr-FR"/>
        </w:rPr>
        <w:t>.</w:t>
      </w:r>
    </w:p>
    <w:p w:rsidR="00EC5D18" w:rsidRDefault="00DE5AC8" w:rsidP="00477EAB">
      <w:pPr>
        <w:pStyle w:val="ONUMFS"/>
        <w:numPr>
          <w:ilvl w:val="0"/>
          <w:numId w:val="0"/>
        </w:numPr>
        <w:rPr>
          <w:lang w:val="fr-FR"/>
        </w:rPr>
      </w:pPr>
      <w:r w:rsidRPr="00477EAB">
        <w:rPr>
          <w:lang w:val="fr-FR"/>
        </w:rPr>
        <w:t>Un autre exemple est la disposition relative à l</w:t>
      </w:r>
      <w:r w:rsidR="0064359F">
        <w:rPr>
          <w:lang w:val="fr-FR"/>
        </w:rPr>
        <w:t>’</w:t>
      </w:r>
      <w:r w:rsidRPr="00477EAB">
        <w:rPr>
          <w:lang w:val="fr-FR"/>
        </w:rPr>
        <w:t>u</w:t>
      </w:r>
      <w:r w:rsidR="00FC739A" w:rsidRPr="00477EAB">
        <w:rPr>
          <w:lang w:val="fr-FR"/>
        </w:rPr>
        <w:t>sage loyal</w:t>
      </w:r>
      <w:r w:rsidRPr="00477EAB">
        <w:rPr>
          <w:lang w:val="fr-FR"/>
        </w:rPr>
        <w:t xml:space="preserve"> figurant aux </w:t>
      </w:r>
      <w:r w:rsidR="00FC739A" w:rsidRPr="00477EAB">
        <w:rPr>
          <w:lang w:val="fr-FR"/>
        </w:rPr>
        <w:t>articles </w:t>
      </w:r>
      <w:r w:rsidRPr="00477EAB">
        <w:rPr>
          <w:lang w:val="fr-FR"/>
        </w:rPr>
        <w:t>11</w:t>
      </w:r>
      <w:r w:rsidR="00FC739A" w:rsidRPr="00477EAB">
        <w:rPr>
          <w:lang w:val="fr-FR"/>
        </w:rPr>
        <w:t>.</w:t>
      </w:r>
      <w:r w:rsidRPr="00477EAB">
        <w:rPr>
          <w:lang w:val="fr-FR"/>
        </w:rPr>
        <w:t>1) à 2) de la loi sri</w:t>
      </w:r>
      <w:r w:rsidR="00146784">
        <w:rPr>
          <w:lang w:val="fr-FR"/>
        </w:rPr>
        <w:noBreakHyphen/>
      </w:r>
      <w:r w:rsidRPr="00477EAB">
        <w:rPr>
          <w:lang w:val="fr-FR"/>
        </w:rPr>
        <w:t>lankaise n</w:t>
      </w:r>
      <w:r w:rsidR="00FC739A" w:rsidRPr="00477EAB">
        <w:rPr>
          <w:lang w:val="fr-FR"/>
        </w:rPr>
        <w:t>° </w:t>
      </w:r>
      <w:r w:rsidRPr="00477EAB">
        <w:rPr>
          <w:lang w:val="fr-FR"/>
        </w:rPr>
        <w:t xml:space="preserve">36 </w:t>
      </w:r>
      <w:r w:rsidR="0064359F" w:rsidRPr="00477EAB">
        <w:rPr>
          <w:lang w:val="fr-FR"/>
        </w:rPr>
        <w:t>de</w:t>
      </w:r>
      <w:r w:rsidR="0064359F">
        <w:rPr>
          <w:lang w:val="fr-FR"/>
        </w:rPr>
        <w:t> </w:t>
      </w:r>
      <w:r w:rsidR="0064359F" w:rsidRPr="00477EAB">
        <w:rPr>
          <w:lang w:val="fr-FR"/>
        </w:rPr>
        <w:t>2003</w:t>
      </w:r>
      <w:r w:rsidRPr="00477EAB">
        <w:rPr>
          <w:lang w:val="fr-FR"/>
        </w:rPr>
        <w:t xml:space="preserve"> sur la propriété intellectuelle, qui permet de </w:t>
      </w:r>
      <w:r w:rsidR="00FC739A" w:rsidRPr="00477EAB">
        <w:rPr>
          <w:lang w:val="fr-FR"/>
        </w:rPr>
        <w:t xml:space="preserve">réaliser des exemplaires en format </w:t>
      </w:r>
      <w:r w:rsidRPr="00477EAB">
        <w:rPr>
          <w:lang w:val="fr-FR"/>
        </w:rPr>
        <w:t xml:space="preserve">accessible </w:t>
      </w:r>
      <w:r w:rsidR="00FC739A" w:rsidRPr="00477EAB">
        <w:rPr>
          <w:lang w:val="fr-FR"/>
        </w:rPr>
        <w:t>pour les p</w:t>
      </w:r>
      <w:r w:rsidRPr="00477EAB">
        <w:rPr>
          <w:lang w:val="fr-FR"/>
        </w:rPr>
        <w:t>ersonnes handicapées parce qu</w:t>
      </w:r>
      <w:r w:rsidR="0064359F">
        <w:rPr>
          <w:lang w:val="fr-FR"/>
        </w:rPr>
        <w:t>’</w:t>
      </w:r>
      <w:r w:rsidRPr="00477EAB">
        <w:rPr>
          <w:lang w:val="fr-FR"/>
        </w:rPr>
        <w:t xml:space="preserve">elle est </w:t>
      </w:r>
      <w:r w:rsidR="00FC739A" w:rsidRPr="00477EAB">
        <w:rPr>
          <w:lang w:val="fr-FR"/>
        </w:rPr>
        <w:t>formulée</w:t>
      </w:r>
      <w:r w:rsidRPr="00477EAB">
        <w:rPr>
          <w:lang w:val="fr-FR"/>
        </w:rPr>
        <w:t xml:space="preserve"> de manière générale et ne contient pas une liste exhaustive des utilisations autorisées</w:t>
      </w:r>
      <w:r w:rsidR="00C4000D" w:rsidRPr="00477EAB">
        <w:rPr>
          <w:lang w:val="fr-FR"/>
        </w:rPr>
        <w:t>.</w:t>
      </w:r>
    </w:p>
    <w:p w:rsidR="00EC1FFD" w:rsidRPr="00477EAB" w:rsidRDefault="00FC739A" w:rsidP="00477EAB">
      <w:pPr>
        <w:pStyle w:val="ONUMFS"/>
        <w:numPr>
          <w:ilvl w:val="0"/>
          <w:numId w:val="0"/>
        </w:numPr>
        <w:rPr>
          <w:lang w:val="fr-FR"/>
        </w:rPr>
      </w:pPr>
      <w:r w:rsidRPr="00477EAB">
        <w:rPr>
          <w:lang w:val="fr-FR"/>
        </w:rPr>
        <w:t>L</w:t>
      </w:r>
      <w:r w:rsidR="0064359F">
        <w:rPr>
          <w:lang w:val="fr-FR"/>
        </w:rPr>
        <w:t>’</w:t>
      </w:r>
      <w:r w:rsidRPr="00477EAB">
        <w:rPr>
          <w:lang w:val="fr-FR"/>
        </w:rPr>
        <w:t>article </w:t>
      </w:r>
      <w:r w:rsidR="00C4000D" w:rsidRPr="00477EAB">
        <w:rPr>
          <w:lang w:val="fr-FR"/>
        </w:rPr>
        <w:t xml:space="preserve">19 </w:t>
      </w:r>
      <w:r w:rsidRPr="00477EAB">
        <w:rPr>
          <w:lang w:val="fr-FR"/>
        </w:rPr>
        <w:t>de la loi d</w:t>
      </w:r>
      <w:r w:rsidR="0064359F">
        <w:rPr>
          <w:lang w:val="fr-FR"/>
        </w:rPr>
        <w:t>’</w:t>
      </w:r>
      <w:r w:rsidRPr="00477EAB">
        <w:rPr>
          <w:lang w:val="fr-FR"/>
        </w:rPr>
        <w:t>Israël sur le droit d</w:t>
      </w:r>
      <w:r w:rsidR="0064359F">
        <w:rPr>
          <w:lang w:val="fr-FR"/>
        </w:rPr>
        <w:t>’</w:t>
      </w:r>
      <w:r w:rsidRPr="00477EAB">
        <w:rPr>
          <w:lang w:val="fr-FR"/>
        </w:rPr>
        <w:t xml:space="preserve">auteur </w:t>
      </w:r>
      <w:r w:rsidR="0064359F" w:rsidRPr="00477EAB">
        <w:rPr>
          <w:lang w:val="fr-FR"/>
        </w:rPr>
        <w:t>de</w:t>
      </w:r>
      <w:r w:rsidR="0064359F">
        <w:rPr>
          <w:lang w:val="fr-FR"/>
        </w:rPr>
        <w:t> </w:t>
      </w:r>
      <w:r w:rsidR="0064359F" w:rsidRPr="00477EAB">
        <w:rPr>
          <w:lang w:val="fr-FR"/>
        </w:rPr>
        <w:t>2007</w:t>
      </w:r>
      <w:r w:rsidR="00C4000D" w:rsidRPr="00477EAB">
        <w:rPr>
          <w:lang w:val="fr-FR"/>
        </w:rPr>
        <w:t xml:space="preserve"> (</w:t>
      </w:r>
      <w:r w:rsidRPr="00477EAB">
        <w:rPr>
          <w:lang w:val="fr-FR"/>
        </w:rPr>
        <w:t>telle que modifiée</w:t>
      </w:r>
      <w:r w:rsidR="00C4000D" w:rsidRPr="00477EAB">
        <w:rPr>
          <w:lang w:val="fr-FR"/>
        </w:rPr>
        <w:t>)</w:t>
      </w:r>
      <w:r w:rsidR="00C4000D" w:rsidRPr="00477EAB">
        <w:rPr>
          <w:rStyle w:val="FootnoteReference"/>
          <w:lang w:val="fr-FR"/>
        </w:rPr>
        <w:footnoteReference w:id="32"/>
      </w:r>
      <w:r w:rsidR="00C4000D" w:rsidRPr="00477EAB">
        <w:rPr>
          <w:lang w:val="fr-FR"/>
        </w:rPr>
        <w:t xml:space="preserve"> </w:t>
      </w:r>
      <w:r w:rsidRPr="00477EAB">
        <w:rPr>
          <w:lang w:val="fr-FR"/>
        </w:rPr>
        <w:t>prévoit également l</w:t>
      </w:r>
      <w:r w:rsidR="0064359F">
        <w:rPr>
          <w:lang w:val="fr-FR"/>
        </w:rPr>
        <w:t>’</w:t>
      </w:r>
      <w:r w:rsidRPr="00477EAB">
        <w:rPr>
          <w:lang w:val="fr-FR"/>
        </w:rPr>
        <w:t>usage loyal</w:t>
      </w:r>
      <w:r w:rsidR="00C4000D" w:rsidRPr="00477EAB">
        <w:rPr>
          <w:lang w:val="fr-FR"/>
        </w:rPr>
        <w:t>.</w:t>
      </w:r>
    </w:p>
    <w:p w:rsidR="00EC5D18" w:rsidRDefault="00FC739A" w:rsidP="00477EAB">
      <w:pPr>
        <w:pStyle w:val="ONUMFS"/>
        <w:numPr>
          <w:ilvl w:val="0"/>
          <w:numId w:val="0"/>
        </w:numPr>
        <w:rPr>
          <w:lang w:val="fr-FR"/>
        </w:rPr>
      </w:pPr>
      <w:r w:rsidRPr="00477EAB">
        <w:rPr>
          <w:lang w:val="fr-FR"/>
        </w:rPr>
        <w:t>Cette disposition, comme c</w:t>
      </w:r>
      <w:r w:rsidR="0064359F">
        <w:rPr>
          <w:lang w:val="fr-FR"/>
        </w:rPr>
        <w:t>’</w:t>
      </w:r>
      <w:r w:rsidRPr="00477EAB">
        <w:rPr>
          <w:lang w:val="fr-FR"/>
        </w:rPr>
        <w:t>est le cas pour les États</w:t>
      </w:r>
      <w:r w:rsidR="00146784">
        <w:rPr>
          <w:lang w:val="fr-FR"/>
        </w:rPr>
        <w:noBreakHyphen/>
      </w:r>
      <w:r w:rsidRPr="00477EAB">
        <w:rPr>
          <w:lang w:val="fr-FR"/>
        </w:rPr>
        <w:t xml:space="preserve">Unis </w:t>
      </w:r>
      <w:r w:rsidR="002E22BD">
        <w:rPr>
          <w:lang w:val="fr-FR"/>
        </w:rPr>
        <w:t>d</w:t>
      </w:r>
      <w:r w:rsidR="0064359F">
        <w:rPr>
          <w:lang w:val="fr-FR"/>
        </w:rPr>
        <w:t>’</w:t>
      </w:r>
      <w:r w:rsidR="002E22BD">
        <w:rPr>
          <w:lang w:val="fr-FR"/>
        </w:rPr>
        <w:t>Amérique</w:t>
      </w:r>
      <w:r w:rsidRPr="00477EAB">
        <w:rPr>
          <w:lang w:val="fr-FR"/>
        </w:rPr>
        <w:t xml:space="preserve"> et Sri Lanka, permettrait de réaliser des exemplaires en format accessib</w:t>
      </w:r>
      <w:r w:rsidR="00146784" w:rsidRPr="00477EAB">
        <w:rPr>
          <w:lang w:val="fr-FR"/>
        </w:rPr>
        <w:t>le</w:t>
      </w:r>
      <w:r w:rsidR="00146784">
        <w:rPr>
          <w:lang w:val="fr-FR"/>
        </w:rPr>
        <w:t xml:space="preserve">.  </w:t>
      </w:r>
      <w:r w:rsidR="00146784" w:rsidRPr="00477EAB">
        <w:rPr>
          <w:lang w:val="fr-FR"/>
        </w:rPr>
        <w:t>En</w:t>
      </w:r>
      <w:r w:rsidRPr="00477EAB">
        <w:rPr>
          <w:lang w:val="fr-FR"/>
        </w:rPr>
        <w:t xml:space="preserve"> outre, les articles 28A à E de la loi contiennent une disposition particulière qui a été mentionnée ci</w:t>
      </w:r>
      <w:r w:rsidR="00146784">
        <w:rPr>
          <w:lang w:val="fr-FR"/>
        </w:rPr>
        <w:noBreakHyphen/>
      </w:r>
      <w:r w:rsidRPr="00477EAB">
        <w:rPr>
          <w:lang w:val="fr-FR"/>
        </w:rPr>
        <w:t>dess</w:t>
      </w:r>
      <w:r w:rsidR="00146784" w:rsidRPr="00477EAB">
        <w:rPr>
          <w:lang w:val="fr-FR"/>
        </w:rPr>
        <w:t>us</w:t>
      </w:r>
      <w:r w:rsidR="00146784">
        <w:rPr>
          <w:lang w:val="fr-FR"/>
        </w:rPr>
        <w:t xml:space="preserve">.  </w:t>
      </w:r>
      <w:r w:rsidR="00146784" w:rsidRPr="00477EAB">
        <w:rPr>
          <w:lang w:val="fr-FR"/>
        </w:rPr>
        <w:t>Pa</w:t>
      </w:r>
      <w:r w:rsidRPr="00477EAB">
        <w:rPr>
          <w:lang w:val="fr-FR"/>
        </w:rPr>
        <w:t>r conséquent, Israël, à l</w:t>
      </w:r>
      <w:r w:rsidR="0064359F">
        <w:rPr>
          <w:lang w:val="fr-FR"/>
        </w:rPr>
        <w:t>’</w:t>
      </w:r>
      <w:r w:rsidRPr="00477EAB">
        <w:rPr>
          <w:lang w:val="fr-FR"/>
        </w:rPr>
        <w:t>instar des États</w:t>
      </w:r>
      <w:r w:rsidR="00146784">
        <w:rPr>
          <w:lang w:val="fr-FR"/>
        </w:rPr>
        <w:noBreakHyphen/>
      </w:r>
      <w:r w:rsidRPr="00477EAB">
        <w:rPr>
          <w:lang w:val="fr-FR"/>
        </w:rPr>
        <w:t>Unis</w:t>
      </w:r>
      <w:r w:rsidR="002E22BD">
        <w:rPr>
          <w:lang w:val="fr-FR"/>
        </w:rPr>
        <w:t xml:space="preserve"> </w:t>
      </w:r>
      <w:r w:rsidRPr="00477EAB">
        <w:rPr>
          <w:lang w:val="fr-FR"/>
        </w:rPr>
        <w:t>d</w:t>
      </w:r>
      <w:r w:rsidR="0064359F">
        <w:rPr>
          <w:lang w:val="fr-FR"/>
        </w:rPr>
        <w:t>’</w:t>
      </w:r>
      <w:r w:rsidRPr="00477EAB">
        <w:rPr>
          <w:lang w:val="fr-FR"/>
        </w:rPr>
        <w:t>Amérique, a adopté un modèle hybride qui comprend à la fois des dispositions particulières et une disposition relative à l</w:t>
      </w:r>
      <w:r w:rsidR="0064359F">
        <w:rPr>
          <w:lang w:val="fr-FR"/>
        </w:rPr>
        <w:t>’</w:t>
      </w:r>
      <w:r w:rsidRPr="00477EAB">
        <w:rPr>
          <w:lang w:val="fr-FR"/>
        </w:rPr>
        <w:t>usage loyal</w:t>
      </w:r>
      <w:r w:rsidR="00C4000D" w:rsidRPr="00477EAB">
        <w:rPr>
          <w:lang w:val="fr-FR"/>
        </w:rPr>
        <w:t>.</w:t>
      </w:r>
    </w:p>
    <w:p w:rsidR="00477EAB" w:rsidRPr="00477EAB" w:rsidRDefault="00477EAB">
      <w:pPr>
        <w:rPr>
          <w:rFonts w:eastAsia="Arial"/>
          <w:bCs/>
          <w:szCs w:val="22"/>
          <w:u w:val="single"/>
          <w:lang w:val="fr-FR"/>
        </w:rPr>
      </w:pPr>
      <w:bookmarkStart w:id="48" w:name="_Toc3361686"/>
      <w:bookmarkStart w:id="49" w:name="_Toc2872901"/>
      <w:bookmarkStart w:id="50" w:name="_Toc2872253"/>
      <w:r w:rsidRPr="00477EAB">
        <w:rPr>
          <w:rFonts w:eastAsia="Arial"/>
          <w:szCs w:val="22"/>
          <w:lang w:val="fr-FR"/>
        </w:rPr>
        <w:br w:type="page"/>
      </w:r>
    </w:p>
    <w:p w:rsidR="00EC1FFD" w:rsidRPr="00477EAB" w:rsidRDefault="00FC739A" w:rsidP="00477EAB">
      <w:pPr>
        <w:pStyle w:val="Heading3"/>
        <w:rPr>
          <w:lang w:val="fr-FR"/>
        </w:rPr>
      </w:pPr>
      <w:r w:rsidRPr="00477EAB">
        <w:rPr>
          <w:lang w:val="fr-FR"/>
        </w:rPr>
        <w:lastRenderedPageBreak/>
        <w:t xml:space="preserve">Résumé des conclusions concernant </w:t>
      </w:r>
      <w:r w:rsidR="003B251B" w:rsidRPr="00477EAB">
        <w:rPr>
          <w:lang w:val="fr-FR"/>
        </w:rPr>
        <w:t xml:space="preserve">les dispositions particulières et les dispositions </w:t>
      </w:r>
      <w:bookmarkEnd w:id="48"/>
      <w:bookmarkEnd w:id="49"/>
      <w:bookmarkEnd w:id="50"/>
      <w:r w:rsidR="003B251B" w:rsidRPr="00477EAB">
        <w:rPr>
          <w:lang w:val="fr-FR"/>
        </w:rPr>
        <w:t>générales</w:t>
      </w:r>
    </w:p>
    <w:p w:rsidR="00477EAB" w:rsidRPr="00477EAB" w:rsidRDefault="00477EAB" w:rsidP="00477EAB">
      <w:pPr>
        <w:rPr>
          <w:lang w:val="fr-FR"/>
        </w:rPr>
      </w:pPr>
    </w:p>
    <w:p w:rsidR="00EC1FFD" w:rsidRPr="00477EAB" w:rsidRDefault="003B251B" w:rsidP="00477EAB">
      <w:pPr>
        <w:pStyle w:val="ONUMFS"/>
        <w:numPr>
          <w:ilvl w:val="0"/>
          <w:numId w:val="0"/>
        </w:numPr>
        <w:rPr>
          <w:lang w:val="fr-FR"/>
        </w:rPr>
      </w:pPr>
      <w:r w:rsidRPr="00477EAB">
        <w:rPr>
          <w:lang w:val="fr-FR"/>
        </w:rPr>
        <w:t>Le tableau ci</w:t>
      </w:r>
      <w:r w:rsidR="00146784">
        <w:rPr>
          <w:lang w:val="fr-FR"/>
        </w:rPr>
        <w:noBreakHyphen/>
      </w:r>
      <w:r w:rsidRPr="00477EAB">
        <w:rPr>
          <w:lang w:val="fr-FR"/>
        </w:rPr>
        <w:t xml:space="preserve">dessous présente un résumé statistique de </w:t>
      </w:r>
      <w:r w:rsidR="005E70D0" w:rsidRPr="00477EAB">
        <w:rPr>
          <w:lang w:val="fr-FR"/>
        </w:rPr>
        <w:t>l</w:t>
      </w:r>
      <w:r w:rsidR="0064359F">
        <w:rPr>
          <w:lang w:val="fr-FR"/>
        </w:rPr>
        <w:t>’</w:t>
      </w:r>
      <w:r w:rsidR="005E70D0" w:rsidRPr="00477EAB">
        <w:rPr>
          <w:lang w:val="fr-FR"/>
        </w:rPr>
        <w:t>existence</w:t>
      </w:r>
      <w:r w:rsidRPr="00477EAB">
        <w:rPr>
          <w:lang w:val="fr-FR"/>
        </w:rPr>
        <w:t xml:space="preserve"> de ces clauses dans les différents États membres</w:t>
      </w:r>
      <w:r w:rsidR="00477EAB" w:rsidRPr="00477EAB">
        <w:rPr>
          <w:lang w:val="fr-FR"/>
        </w:rPr>
        <w:t>.</w:t>
      </w:r>
    </w:p>
    <w:p w:rsidR="00C4000D" w:rsidRPr="00477EAB" w:rsidRDefault="00C4000D" w:rsidP="00477EAB">
      <w:pPr>
        <w:pStyle w:val="ONUMFS"/>
        <w:numPr>
          <w:ilvl w:val="0"/>
          <w:numId w:val="0"/>
        </w:numPr>
        <w:rPr>
          <w:b/>
          <w:lang w:val="fr-FR"/>
        </w:rPr>
      </w:pPr>
      <w:bookmarkStart w:id="51" w:name="_3fduioxdlns6"/>
      <w:bookmarkEnd w:id="51"/>
      <w:r w:rsidRPr="00477EAB">
        <w:rPr>
          <w:b/>
          <w:lang w:val="fr-FR"/>
        </w:rPr>
        <w:t>Table</w:t>
      </w:r>
      <w:r w:rsidR="003B251B" w:rsidRPr="00477EAB">
        <w:rPr>
          <w:b/>
          <w:lang w:val="fr-FR"/>
        </w:rPr>
        <w:t>au </w:t>
      </w:r>
      <w:r w:rsidRPr="00477EAB">
        <w:rPr>
          <w:b/>
          <w:lang w:val="fr-FR"/>
        </w:rPr>
        <w:fldChar w:fldCharType="begin"/>
      </w:r>
      <w:r w:rsidRPr="00477EAB">
        <w:rPr>
          <w:b/>
          <w:lang w:val="fr-FR"/>
        </w:rPr>
        <w:instrText xml:space="preserve"> SEQ Table \* ARABIC </w:instrText>
      </w:r>
      <w:r w:rsidRPr="00477EAB">
        <w:rPr>
          <w:b/>
          <w:lang w:val="fr-FR"/>
        </w:rPr>
        <w:fldChar w:fldCharType="separate"/>
      </w:r>
      <w:r w:rsidR="0084374B">
        <w:rPr>
          <w:b/>
          <w:noProof/>
          <w:lang w:val="fr-FR"/>
        </w:rPr>
        <w:t>1</w:t>
      </w:r>
      <w:r w:rsidRPr="00477EAB">
        <w:rPr>
          <w:b/>
          <w:lang w:val="fr-FR"/>
        </w:rPr>
        <w:fldChar w:fldCharType="end"/>
      </w:r>
      <w:r w:rsidR="0064359F">
        <w:rPr>
          <w:b/>
          <w:lang w:val="fr-FR"/>
        </w:rPr>
        <w:t> :</w:t>
      </w:r>
      <w:r w:rsidRPr="00477EAB">
        <w:rPr>
          <w:b/>
          <w:lang w:val="fr-FR"/>
        </w:rPr>
        <w:t xml:space="preserve"> </w:t>
      </w:r>
      <w:r w:rsidR="003B251B" w:rsidRPr="00477EAB">
        <w:rPr>
          <w:b/>
          <w:lang w:val="fr-FR"/>
        </w:rPr>
        <w:t>Résumé des conclusions</w:t>
      </w:r>
    </w:p>
    <w:tbl>
      <w:tblPr>
        <w:tblW w:w="4951" w:type="pct"/>
        <w:tblBorders>
          <w:insideH w:val="nil"/>
          <w:insideV w:val="nil"/>
        </w:tblBorders>
        <w:tblCellMar>
          <w:top w:w="57" w:type="dxa"/>
          <w:bottom w:w="57" w:type="dxa"/>
        </w:tblCellMar>
        <w:tblLook w:val="0600" w:firstRow="0" w:lastRow="0" w:firstColumn="0" w:lastColumn="0" w:noHBand="1" w:noVBand="1"/>
      </w:tblPr>
      <w:tblGrid>
        <w:gridCol w:w="1960"/>
        <w:gridCol w:w="1301"/>
        <w:gridCol w:w="5985"/>
      </w:tblGrid>
      <w:tr w:rsidR="0084003F" w:rsidRPr="00477EAB" w:rsidTr="00477EAB">
        <w:trPr>
          <w:tblHeader/>
        </w:trPr>
        <w:tc>
          <w:tcPr>
            <w:tcW w:w="1960"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b/>
                <w:szCs w:val="22"/>
                <w:lang w:val="fr-FR"/>
              </w:rPr>
            </w:pPr>
            <w:r w:rsidRPr="00477EAB">
              <w:rPr>
                <w:rFonts w:eastAsia="Times New Roman"/>
                <w:b/>
                <w:szCs w:val="22"/>
                <w:lang w:val="fr-FR"/>
              </w:rPr>
              <w:t>Exceptions</w:t>
            </w:r>
          </w:p>
        </w:tc>
        <w:tc>
          <w:tcPr>
            <w:tcW w:w="1301"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b/>
                <w:szCs w:val="22"/>
                <w:lang w:val="fr-FR"/>
              </w:rPr>
            </w:pPr>
            <w:r w:rsidRPr="00477EAB">
              <w:rPr>
                <w:rFonts w:eastAsia="Times New Roman"/>
                <w:b/>
                <w:szCs w:val="22"/>
                <w:lang w:val="fr-FR"/>
              </w:rPr>
              <w:t>N</w:t>
            </w:r>
            <w:r w:rsidR="003B251B" w:rsidRPr="00477EAB">
              <w:rPr>
                <w:rFonts w:eastAsia="Times New Roman"/>
                <w:b/>
                <w:szCs w:val="22"/>
                <w:lang w:val="fr-FR"/>
              </w:rPr>
              <w:t>ombre de pays</w:t>
            </w:r>
          </w:p>
        </w:tc>
        <w:tc>
          <w:tcPr>
            <w:tcW w:w="5985"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3B251B" w:rsidP="00477EAB">
            <w:pPr>
              <w:widowControl w:val="0"/>
              <w:rPr>
                <w:rFonts w:eastAsia="Times New Roman"/>
                <w:b/>
                <w:szCs w:val="22"/>
                <w:lang w:val="fr-FR"/>
              </w:rPr>
            </w:pPr>
            <w:r w:rsidRPr="00477EAB">
              <w:rPr>
                <w:rFonts w:eastAsia="Times New Roman"/>
                <w:b/>
                <w:szCs w:val="22"/>
                <w:lang w:val="fr-FR"/>
              </w:rPr>
              <w:t>Pay</w:t>
            </w:r>
            <w:r w:rsidR="00C4000D" w:rsidRPr="00477EAB">
              <w:rPr>
                <w:rFonts w:eastAsia="Times New Roman"/>
                <w:b/>
                <w:szCs w:val="22"/>
                <w:lang w:val="fr-FR"/>
              </w:rPr>
              <w:t>s</w:t>
            </w:r>
          </w:p>
        </w:tc>
      </w:tr>
      <w:tr w:rsidR="0084003F" w:rsidRPr="00477EAB" w:rsidTr="00477EAB">
        <w:tc>
          <w:tcPr>
            <w:tcW w:w="1960"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3B251B" w:rsidP="00477EAB">
            <w:pPr>
              <w:widowControl w:val="0"/>
              <w:rPr>
                <w:rFonts w:eastAsia="Times New Roman"/>
                <w:szCs w:val="22"/>
                <w:lang w:val="fr-FR"/>
              </w:rPr>
            </w:pPr>
            <w:r w:rsidRPr="00477EAB">
              <w:rPr>
                <w:rFonts w:eastAsia="Times New Roman"/>
                <w:szCs w:val="22"/>
                <w:lang w:val="fr-FR"/>
              </w:rPr>
              <w:t>Aucune</w:t>
            </w:r>
          </w:p>
        </w:tc>
        <w:tc>
          <w:tcPr>
            <w:tcW w:w="1301"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91</w:t>
            </w:r>
          </w:p>
        </w:tc>
        <w:tc>
          <w:tcPr>
            <w:tcW w:w="5985"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szCs w:val="22"/>
                <w:lang w:val="fr-FR"/>
              </w:rPr>
              <w:t>Afghanistan, Afrique du Sud, Algérie, Andorre, Angola, Antigua</w:t>
            </w:r>
            <w:r w:rsidR="00146784">
              <w:rPr>
                <w:szCs w:val="22"/>
                <w:lang w:val="fr-FR"/>
              </w:rPr>
              <w:noBreakHyphen/>
            </w:r>
            <w:r w:rsidRPr="00477EAB">
              <w:rPr>
                <w:szCs w:val="22"/>
                <w:lang w:val="fr-FR"/>
              </w:rPr>
              <w:t>et</w:t>
            </w:r>
            <w:r w:rsidR="00146784">
              <w:rPr>
                <w:szCs w:val="22"/>
                <w:lang w:val="fr-FR"/>
              </w:rPr>
              <w:noBreakHyphen/>
            </w:r>
            <w:r w:rsidRPr="00477EAB">
              <w:rPr>
                <w:szCs w:val="22"/>
                <w:lang w:val="fr-FR"/>
              </w:rPr>
              <w:t xml:space="preserve">Barbuda, </w:t>
            </w:r>
            <w:r w:rsidR="0064359F">
              <w:rPr>
                <w:szCs w:val="22"/>
                <w:lang w:val="fr-FR"/>
              </w:rPr>
              <w:t>Arabie saoudite</w:t>
            </w:r>
            <w:r w:rsidRPr="00477EAB">
              <w:rPr>
                <w:szCs w:val="22"/>
                <w:lang w:val="fr-FR"/>
              </w:rPr>
              <w:t>, Bahreïn, Bangladesh, Barbade, Bénin, Bhoutan, Bolivie (État plurinational de), Botswana, Brunéi Darussalam, Burkina Faso, Burundi, Cambodge, Chypre, Comores, Congo, Costa</w:t>
            </w:r>
            <w:r w:rsidR="002E22BD">
              <w:rPr>
                <w:szCs w:val="22"/>
                <w:lang w:val="fr-FR"/>
              </w:rPr>
              <w:t> </w:t>
            </w:r>
            <w:r w:rsidRPr="00477EAB">
              <w:rPr>
                <w:szCs w:val="22"/>
                <w:lang w:val="fr-FR"/>
              </w:rPr>
              <w:t>Rica, Cuba, Djibouti, Égypte, Émirats arabes unis, Érythrée, Eswatini, Éthiopie, Gambie, Ghana, Guatemala, Guinée, Guinée équatoriale, Guinée</w:t>
            </w:r>
            <w:r w:rsidR="00146784">
              <w:rPr>
                <w:szCs w:val="22"/>
                <w:lang w:val="fr-FR"/>
              </w:rPr>
              <w:noBreakHyphen/>
            </w:r>
            <w:r w:rsidRPr="00477EAB">
              <w:rPr>
                <w:szCs w:val="22"/>
                <w:lang w:val="fr-FR"/>
              </w:rPr>
              <w:t>Bissau, Guyana, Haïti, Honduras, Îles Marshall, Îles Salomon, Iran (République islamique d</w:t>
            </w:r>
            <w:r w:rsidR="0064359F">
              <w:rPr>
                <w:szCs w:val="22"/>
                <w:lang w:val="fr-FR"/>
              </w:rPr>
              <w:t>’</w:t>
            </w:r>
            <w:r w:rsidRPr="00477EAB">
              <w:rPr>
                <w:szCs w:val="22"/>
                <w:lang w:val="fr-FR"/>
              </w:rPr>
              <w:t xml:space="preserve">), Iraq, Jordanie, Kenya, Kiribati, Lesotho, Liban, Libye, Madagascar, Maldives, Mali, Maroc, Mauritanie, Monaco, Mozambique, Myanmar, Namibie, Niger, Oman, Ouzbékistan, Pakistan, </w:t>
            </w:r>
            <w:r w:rsidRPr="00477EAB">
              <w:rPr>
                <w:rFonts w:eastAsia="Times New Roman"/>
                <w:szCs w:val="22"/>
                <w:lang w:val="fr-FR"/>
              </w:rPr>
              <w:t>Pala</w:t>
            </w:r>
            <w:r w:rsidRPr="00477EAB">
              <w:rPr>
                <w:szCs w:val="22"/>
                <w:lang w:val="fr-FR"/>
              </w:rPr>
              <w:t>os, Papouasie</w:t>
            </w:r>
            <w:r w:rsidR="00146784">
              <w:rPr>
                <w:szCs w:val="22"/>
                <w:lang w:val="fr-FR"/>
              </w:rPr>
              <w:noBreakHyphen/>
            </w:r>
            <w:r w:rsidRPr="00477EAB">
              <w:rPr>
                <w:szCs w:val="22"/>
                <w:lang w:val="fr-FR"/>
              </w:rPr>
              <w:t>Nouvelle</w:t>
            </w:r>
            <w:r w:rsidR="00146784">
              <w:rPr>
                <w:szCs w:val="22"/>
                <w:lang w:val="fr-FR"/>
              </w:rPr>
              <w:noBreakHyphen/>
            </w:r>
            <w:r w:rsidRPr="00477EAB">
              <w:rPr>
                <w:szCs w:val="22"/>
                <w:lang w:val="fr-FR"/>
              </w:rPr>
              <w:t>Guinée, Qatar, République arabe syrienne, République démocratique du Congo, République</w:t>
            </w:r>
            <w:r w:rsidR="00146784">
              <w:rPr>
                <w:szCs w:val="22"/>
                <w:lang w:val="fr-FR"/>
              </w:rPr>
              <w:noBreakHyphen/>
            </w:r>
            <w:r w:rsidRPr="00477EAB">
              <w:rPr>
                <w:szCs w:val="22"/>
                <w:lang w:val="fr-FR"/>
              </w:rPr>
              <w:t>Unie de Tanzanie, Sainte</w:t>
            </w:r>
            <w:r w:rsidR="00146784">
              <w:rPr>
                <w:szCs w:val="22"/>
                <w:lang w:val="fr-FR"/>
              </w:rPr>
              <w:noBreakHyphen/>
            </w:r>
            <w:r w:rsidRPr="00477EAB">
              <w:rPr>
                <w:szCs w:val="22"/>
                <w:lang w:val="fr-FR"/>
              </w:rPr>
              <w:t>Lucie, Saint</w:t>
            </w:r>
            <w:r w:rsidR="00146784">
              <w:rPr>
                <w:szCs w:val="22"/>
                <w:lang w:val="fr-FR"/>
              </w:rPr>
              <w:noBreakHyphen/>
            </w:r>
            <w:r w:rsidRPr="00477EAB">
              <w:rPr>
                <w:szCs w:val="22"/>
                <w:lang w:val="fr-FR"/>
              </w:rPr>
              <w:t>Kitts</w:t>
            </w:r>
            <w:r w:rsidR="00146784">
              <w:rPr>
                <w:szCs w:val="22"/>
                <w:lang w:val="fr-FR"/>
              </w:rPr>
              <w:noBreakHyphen/>
            </w:r>
            <w:r w:rsidRPr="00477EAB">
              <w:rPr>
                <w:szCs w:val="22"/>
                <w:lang w:val="fr-FR"/>
              </w:rPr>
              <w:t>et</w:t>
            </w:r>
            <w:r w:rsidR="00146784">
              <w:rPr>
                <w:szCs w:val="22"/>
                <w:lang w:val="fr-FR"/>
              </w:rPr>
              <w:noBreakHyphen/>
            </w:r>
            <w:r w:rsidRPr="00477EAB">
              <w:rPr>
                <w:szCs w:val="22"/>
                <w:lang w:val="fr-FR"/>
              </w:rPr>
              <w:t>Nevis, Saint</w:t>
            </w:r>
            <w:r w:rsidR="00146784">
              <w:rPr>
                <w:szCs w:val="22"/>
                <w:lang w:val="fr-FR"/>
              </w:rPr>
              <w:noBreakHyphen/>
            </w:r>
            <w:r w:rsidRPr="00477EAB">
              <w:rPr>
                <w:szCs w:val="22"/>
                <w:lang w:val="fr-FR"/>
              </w:rPr>
              <w:t>Marin, Samoa, Sénégal, Sierra Leone, Somalie, Soudan, Suriname, Tadjikistan, Timor</w:t>
            </w:r>
            <w:r w:rsidR="00146784">
              <w:rPr>
                <w:szCs w:val="22"/>
                <w:lang w:val="fr-FR"/>
              </w:rPr>
              <w:noBreakHyphen/>
            </w:r>
            <w:r w:rsidRPr="00477EAB">
              <w:rPr>
                <w:szCs w:val="22"/>
                <w:lang w:val="fr-FR"/>
              </w:rPr>
              <w:t>Leste, Togo, Tonga, Trinité</w:t>
            </w:r>
            <w:r w:rsidR="00146784">
              <w:rPr>
                <w:szCs w:val="22"/>
                <w:lang w:val="fr-FR"/>
              </w:rPr>
              <w:noBreakHyphen/>
            </w:r>
            <w:r w:rsidRPr="00477EAB">
              <w:rPr>
                <w:szCs w:val="22"/>
                <w:lang w:val="fr-FR"/>
              </w:rPr>
              <w:t>et</w:t>
            </w:r>
            <w:r w:rsidR="00146784">
              <w:rPr>
                <w:szCs w:val="22"/>
                <w:lang w:val="fr-FR"/>
              </w:rPr>
              <w:noBreakHyphen/>
            </w:r>
            <w:r w:rsidRPr="00477EAB">
              <w:rPr>
                <w:szCs w:val="22"/>
                <w:lang w:val="fr-FR"/>
              </w:rPr>
              <w:t>Tobago, Tunisie, Turkménistan, Tuvalu, Vanuatu, Venezuela (République bolivarienne du), Yémen, Zambie, Zimbabwe</w:t>
            </w:r>
          </w:p>
        </w:tc>
      </w:tr>
      <w:tr w:rsidR="0084003F" w:rsidRPr="00477EAB" w:rsidTr="00477EAB">
        <w:tc>
          <w:tcPr>
            <w:tcW w:w="1960"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 xml:space="preserve">Exception </w:t>
            </w:r>
            <w:r w:rsidR="003B251B" w:rsidRPr="00477EAB">
              <w:rPr>
                <w:rFonts w:eastAsia="Times New Roman"/>
                <w:szCs w:val="22"/>
                <w:lang w:val="fr-FR"/>
              </w:rPr>
              <w:t>applicable à tous les handicaps</w:t>
            </w:r>
            <w:r w:rsidRPr="00477EAB">
              <w:rPr>
                <w:rFonts w:eastAsia="Times New Roman"/>
                <w:szCs w:val="22"/>
                <w:lang w:val="fr-FR"/>
              </w:rPr>
              <w:t xml:space="preserve"> (*</w:t>
            </w:r>
            <w:r w:rsidR="003B251B" w:rsidRPr="00477EAB">
              <w:rPr>
                <w:rFonts w:eastAsia="Times New Roman"/>
                <w:szCs w:val="22"/>
                <w:lang w:val="fr-FR"/>
              </w:rPr>
              <w:t>sans sp</w:t>
            </w:r>
            <w:r w:rsidR="006B4E0D" w:rsidRPr="00477EAB">
              <w:rPr>
                <w:rFonts w:eastAsia="Times New Roman"/>
                <w:szCs w:val="22"/>
                <w:lang w:val="fr-FR"/>
              </w:rPr>
              <w:t>é</w:t>
            </w:r>
            <w:r w:rsidR="003B251B" w:rsidRPr="00477EAB">
              <w:rPr>
                <w:rFonts w:eastAsia="Times New Roman"/>
                <w:szCs w:val="22"/>
                <w:lang w:val="fr-FR"/>
              </w:rPr>
              <w:t>cification du type de handicap</w:t>
            </w:r>
            <w:r w:rsidRPr="00477EAB">
              <w:rPr>
                <w:rFonts w:eastAsia="Times New Roman"/>
                <w:szCs w:val="22"/>
                <w:lang w:val="fr-FR"/>
              </w:rPr>
              <w:t>)</w:t>
            </w:r>
          </w:p>
        </w:tc>
        <w:tc>
          <w:tcPr>
            <w:tcW w:w="1301"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28</w:t>
            </w:r>
          </w:p>
        </w:tc>
        <w:tc>
          <w:tcPr>
            <w:tcW w:w="5985"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Allemagne, Autriche, Belgique, Bosnie</w:t>
            </w:r>
            <w:r w:rsidR="00146784">
              <w:rPr>
                <w:rFonts w:eastAsia="Times New Roman"/>
                <w:szCs w:val="22"/>
                <w:lang w:val="fr-FR"/>
              </w:rPr>
              <w:noBreakHyphen/>
            </w:r>
            <w:r w:rsidRPr="00477EAB">
              <w:rPr>
                <w:rFonts w:eastAsia="Times New Roman"/>
                <w:szCs w:val="22"/>
                <w:lang w:val="fr-FR"/>
              </w:rPr>
              <w:t>Herzégovine, Croatie, Équateur, Estonie, Gabon, Hongrie, Inde, Israël, Italie, Liechtenstein, Malte, Mexique, Monténégro, Pays</w:t>
            </w:r>
            <w:r w:rsidR="00146784">
              <w:rPr>
                <w:rFonts w:eastAsia="Times New Roman"/>
                <w:szCs w:val="22"/>
                <w:lang w:val="fr-FR"/>
              </w:rPr>
              <w:noBreakHyphen/>
            </w:r>
            <w:r w:rsidRPr="00477EAB">
              <w:rPr>
                <w:rFonts w:eastAsia="Times New Roman"/>
                <w:szCs w:val="22"/>
                <w:lang w:val="fr-FR"/>
              </w:rPr>
              <w:t>Bas, Pologne, République de Macédoine du Nord, République de Moldova, République tchèque, Roumanie, Sao Tomé</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Principe, Serbie, Slovaquie, Slovénie, Suisse, Turquie</w:t>
            </w:r>
          </w:p>
        </w:tc>
      </w:tr>
      <w:tr w:rsidR="0084003F" w:rsidRPr="00477EAB" w:rsidTr="00477EAB">
        <w:tc>
          <w:tcPr>
            <w:tcW w:w="1960"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 xml:space="preserve">Exception </w:t>
            </w:r>
            <w:r w:rsidR="006B4E0D" w:rsidRPr="00477EAB">
              <w:rPr>
                <w:rFonts w:eastAsia="Times New Roman"/>
                <w:szCs w:val="22"/>
                <w:lang w:val="fr-FR"/>
              </w:rPr>
              <w:t>en faveur des personnes souffrant d</w:t>
            </w:r>
            <w:r w:rsidR="0064359F">
              <w:rPr>
                <w:rFonts w:eastAsia="Times New Roman"/>
                <w:szCs w:val="22"/>
                <w:lang w:val="fr-FR"/>
              </w:rPr>
              <w:t>’</w:t>
            </w:r>
            <w:r w:rsidR="006B4E0D" w:rsidRPr="00477EAB">
              <w:rPr>
                <w:rFonts w:eastAsia="Times New Roman"/>
                <w:szCs w:val="22"/>
                <w:lang w:val="fr-FR"/>
              </w:rPr>
              <w:t>un handicap auditif</w:t>
            </w:r>
          </w:p>
        </w:tc>
        <w:tc>
          <w:tcPr>
            <w:tcW w:w="1301"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25</w:t>
            </w:r>
          </w:p>
        </w:tc>
        <w:tc>
          <w:tcPr>
            <w:tcW w:w="5985"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Australie, Bahamas, Belize, Cabo Verde, Chili, Côte d</w:t>
            </w:r>
            <w:r w:rsidR="0064359F">
              <w:rPr>
                <w:rFonts w:eastAsia="Times New Roman"/>
                <w:szCs w:val="22"/>
                <w:lang w:val="fr-FR"/>
              </w:rPr>
              <w:t>’</w:t>
            </w:r>
            <w:r w:rsidRPr="00477EAB">
              <w:rPr>
                <w:rFonts w:eastAsia="Times New Roman"/>
                <w:szCs w:val="22"/>
                <w:lang w:val="fr-FR"/>
              </w:rPr>
              <w:t>Ivoire, Danemark, États</w:t>
            </w:r>
            <w:r w:rsidR="00146784">
              <w:rPr>
                <w:rFonts w:eastAsia="Times New Roman"/>
                <w:szCs w:val="22"/>
                <w:lang w:val="fr-FR"/>
              </w:rPr>
              <w:noBreakHyphen/>
            </w:r>
            <w:r w:rsidRPr="00477EAB">
              <w:rPr>
                <w:rFonts w:eastAsia="Times New Roman"/>
                <w:szCs w:val="22"/>
                <w:lang w:val="fr-FR"/>
              </w:rPr>
              <w:t>Unis d</w:t>
            </w:r>
            <w:r w:rsidR="0064359F">
              <w:rPr>
                <w:rFonts w:eastAsia="Times New Roman"/>
                <w:szCs w:val="22"/>
                <w:lang w:val="fr-FR"/>
              </w:rPr>
              <w:t>’</w:t>
            </w:r>
            <w:r w:rsidRPr="00477EAB">
              <w:rPr>
                <w:rFonts w:eastAsia="Times New Roman"/>
                <w:szCs w:val="22"/>
                <w:lang w:val="fr-FR"/>
              </w:rPr>
              <w:t>Amérique, Fidji, Grèce, Irlande, Jamaïque, Japon, Libéria, Lituanie, Luxembourg, Malaisie, Mongolie, Nioué, Norvège, Nouvelle</w:t>
            </w:r>
            <w:r w:rsidR="00146784">
              <w:rPr>
                <w:rFonts w:eastAsia="Times New Roman"/>
                <w:szCs w:val="22"/>
                <w:lang w:val="fr-FR"/>
              </w:rPr>
              <w:noBreakHyphen/>
            </w:r>
            <w:r w:rsidRPr="00477EAB">
              <w:rPr>
                <w:rFonts w:eastAsia="Times New Roman"/>
                <w:szCs w:val="22"/>
                <w:lang w:val="fr-FR"/>
              </w:rPr>
              <w:t>Zélande, Ouganda, Royaume</w:t>
            </w:r>
            <w:r w:rsidR="00146784">
              <w:rPr>
                <w:rFonts w:eastAsia="Times New Roman"/>
                <w:szCs w:val="22"/>
                <w:lang w:val="fr-FR"/>
              </w:rPr>
              <w:noBreakHyphen/>
            </w:r>
            <w:r w:rsidRPr="00477EAB">
              <w:rPr>
                <w:rFonts w:eastAsia="Times New Roman"/>
                <w:szCs w:val="22"/>
                <w:lang w:val="fr-FR"/>
              </w:rPr>
              <w:t>Uni, Saint</w:t>
            </w:r>
            <w:r w:rsidR="00146784">
              <w:rPr>
                <w:rFonts w:eastAsia="Times New Roman"/>
                <w:szCs w:val="22"/>
                <w:lang w:val="fr-FR"/>
              </w:rPr>
              <w:noBreakHyphen/>
            </w:r>
            <w:r w:rsidRPr="00477EAB">
              <w:rPr>
                <w:rFonts w:eastAsia="Times New Roman"/>
                <w:szCs w:val="22"/>
                <w:lang w:val="fr-FR"/>
              </w:rPr>
              <w:t>Vincent</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les Grenadines, Thaïlande</w:t>
            </w:r>
          </w:p>
        </w:tc>
      </w:tr>
      <w:tr w:rsidR="0084003F" w:rsidRPr="00477EAB" w:rsidTr="00477EAB">
        <w:tc>
          <w:tcPr>
            <w:tcW w:w="1960"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 xml:space="preserve">Exception </w:t>
            </w:r>
            <w:r w:rsidR="006B4E0D" w:rsidRPr="00477EAB">
              <w:rPr>
                <w:rFonts w:eastAsia="Times New Roman"/>
                <w:szCs w:val="22"/>
                <w:lang w:val="fr-FR"/>
              </w:rPr>
              <w:t>en faveur des personnes souffrant d</w:t>
            </w:r>
            <w:r w:rsidR="0064359F">
              <w:rPr>
                <w:rFonts w:eastAsia="Times New Roman"/>
                <w:szCs w:val="22"/>
                <w:lang w:val="fr-FR"/>
              </w:rPr>
              <w:t>’</w:t>
            </w:r>
            <w:r w:rsidR="006B4E0D" w:rsidRPr="00477EAB">
              <w:rPr>
                <w:rFonts w:eastAsia="Times New Roman"/>
                <w:szCs w:val="22"/>
                <w:lang w:val="fr-FR"/>
              </w:rPr>
              <w:t>un handicap cognitif ou mental</w:t>
            </w:r>
          </w:p>
        </w:tc>
        <w:tc>
          <w:tcPr>
            <w:tcW w:w="1301"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22</w:t>
            </w:r>
          </w:p>
        </w:tc>
        <w:tc>
          <w:tcPr>
            <w:tcW w:w="5985"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Albanie, Argentine, Australie, Belize, Cabo Verde, Canada, Espagne, Fidji, France, Irlande, Japon, Lettonie, Lituanie, Malaisie, Nioué, Nouvelle</w:t>
            </w:r>
            <w:r w:rsidR="00146784">
              <w:rPr>
                <w:rFonts w:eastAsia="Times New Roman"/>
                <w:szCs w:val="22"/>
                <w:lang w:val="fr-FR"/>
              </w:rPr>
              <w:noBreakHyphen/>
            </w:r>
            <w:r w:rsidRPr="00477EAB">
              <w:rPr>
                <w:rFonts w:eastAsia="Times New Roman"/>
                <w:szCs w:val="22"/>
                <w:lang w:val="fr-FR"/>
              </w:rPr>
              <w:t>Zélande, Philippines, Royaume</w:t>
            </w:r>
            <w:r w:rsidR="00146784">
              <w:rPr>
                <w:rFonts w:eastAsia="Times New Roman"/>
                <w:szCs w:val="22"/>
                <w:lang w:val="fr-FR"/>
              </w:rPr>
              <w:noBreakHyphen/>
            </w:r>
            <w:r w:rsidRPr="00477EAB">
              <w:rPr>
                <w:rFonts w:eastAsia="Times New Roman"/>
                <w:szCs w:val="22"/>
                <w:lang w:val="fr-FR"/>
              </w:rPr>
              <w:t>Uni, Saint</w:t>
            </w:r>
            <w:r w:rsidR="00146784">
              <w:rPr>
                <w:rFonts w:eastAsia="Times New Roman"/>
                <w:szCs w:val="22"/>
                <w:lang w:val="fr-FR"/>
              </w:rPr>
              <w:noBreakHyphen/>
            </w:r>
            <w:r w:rsidRPr="00477EAB">
              <w:rPr>
                <w:rFonts w:eastAsia="Times New Roman"/>
                <w:szCs w:val="22"/>
                <w:lang w:val="fr-FR"/>
              </w:rPr>
              <w:t>Vincent</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les Grenadines, Singapour, Thaïlande, Uruguay</w:t>
            </w:r>
          </w:p>
        </w:tc>
      </w:tr>
      <w:tr w:rsidR="0084003F" w:rsidRPr="00477EAB" w:rsidTr="00477EAB">
        <w:trPr>
          <w:cantSplit/>
        </w:trPr>
        <w:tc>
          <w:tcPr>
            <w:tcW w:w="1960" w:type="dxa"/>
            <w:tcBorders>
              <w:top w:val="nil"/>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lastRenderedPageBreak/>
              <w:t xml:space="preserve">Exception </w:t>
            </w:r>
            <w:r w:rsidR="006B4E0D" w:rsidRPr="00477EAB">
              <w:rPr>
                <w:rFonts w:eastAsia="Times New Roman"/>
                <w:szCs w:val="22"/>
                <w:lang w:val="fr-FR"/>
              </w:rPr>
              <w:t>en faveur des personnes souffrant d</w:t>
            </w:r>
            <w:r w:rsidR="0064359F">
              <w:rPr>
                <w:rFonts w:eastAsia="Times New Roman"/>
                <w:szCs w:val="22"/>
                <w:lang w:val="fr-FR"/>
              </w:rPr>
              <w:t>’</w:t>
            </w:r>
            <w:r w:rsidR="006B4E0D" w:rsidRPr="00477EAB">
              <w:rPr>
                <w:rFonts w:eastAsia="Times New Roman"/>
                <w:szCs w:val="22"/>
                <w:lang w:val="fr-FR"/>
              </w:rPr>
              <w:t xml:space="preserve">un handicap </w:t>
            </w:r>
            <w:r w:rsidRPr="00477EAB">
              <w:rPr>
                <w:rFonts w:eastAsia="Times New Roman"/>
                <w:szCs w:val="22"/>
                <w:lang w:val="fr-FR"/>
              </w:rPr>
              <w:t>physi</w:t>
            </w:r>
            <w:r w:rsidR="006B4E0D" w:rsidRPr="00477EAB">
              <w:rPr>
                <w:rFonts w:eastAsia="Times New Roman"/>
                <w:szCs w:val="22"/>
                <w:lang w:val="fr-FR"/>
              </w:rPr>
              <w:t>que</w:t>
            </w:r>
          </w:p>
        </w:tc>
        <w:tc>
          <w:tcPr>
            <w:tcW w:w="1301"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19</w:t>
            </w:r>
          </w:p>
        </w:tc>
        <w:tc>
          <w:tcPr>
            <w:tcW w:w="5985"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Argentine, Australie, Belize, Côte d</w:t>
            </w:r>
            <w:r w:rsidR="0064359F">
              <w:rPr>
                <w:rFonts w:eastAsia="Times New Roman"/>
                <w:szCs w:val="22"/>
                <w:lang w:val="fr-FR"/>
              </w:rPr>
              <w:t>’</w:t>
            </w:r>
            <w:r w:rsidRPr="00477EAB">
              <w:rPr>
                <w:rFonts w:eastAsia="Times New Roman"/>
                <w:szCs w:val="22"/>
                <w:lang w:val="fr-FR"/>
              </w:rPr>
              <w:t>Ivoire, Danemark, Espagne, Fidji, France, Irlande, Lettonie, Lituanie, Malaisie, Nioué, Nouvelle</w:t>
            </w:r>
            <w:r w:rsidR="00146784">
              <w:rPr>
                <w:rFonts w:eastAsia="Times New Roman"/>
                <w:szCs w:val="22"/>
                <w:lang w:val="fr-FR"/>
              </w:rPr>
              <w:noBreakHyphen/>
            </w:r>
            <w:r w:rsidRPr="00477EAB">
              <w:rPr>
                <w:rFonts w:eastAsia="Times New Roman"/>
                <w:szCs w:val="22"/>
                <w:lang w:val="fr-FR"/>
              </w:rPr>
              <w:t>Zélande, République dominicaine, Royaume</w:t>
            </w:r>
            <w:r w:rsidR="00146784">
              <w:rPr>
                <w:rFonts w:eastAsia="Times New Roman"/>
                <w:szCs w:val="22"/>
                <w:lang w:val="fr-FR"/>
              </w:rPr>
              <w:noBreakHyphen/>
            </w:r>
            <w:r w:rsidRPr="00477EAB">
              <w:rPr>
                <w:rFonts w:eastAsia="Times New Roman"/>
                <w:szCs w:val="22"/>
                <w:lang w:val="fr-FR"/>
              </w:rPr>
              <w:t>Uni, Saint</w:t>
            </w:r>
            <w:r w:rsidR="00146784">
              <w:rPr>
                <w:rFonts w:eastAsia="Times New Roman"/>
                <w:szCs w:val="22"/>
                <w:lang w:val="fr-FR"/>
              </w:rPr>
              <w:noBreakHyphen/>
            </w:r>
            <w:r w:rsidRPr="00477EAB">
              <w:rPr>
                <w:rFonts w:eastAsia="Times New Roman"/>
                <w:szCs w:val="22"/>
                <w:lang w:val="fr-FR"/>
              </w:rPr>
              <w:t>Vincent</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les Grenadines, Thaïlande, Uruguay</w:t>
            </w:r>
          </w:p>
        </w:tc>
      </w:tr>
      <w:tr w:rsidR="0084003F" w:rsidRPr="00477EAB" w:rsidTr="00477EAB">
        <w:tc>
          <w:tcPr>
            <w:tcW w:w="1960" w:type="dxa"/>
            <w:tcBorders>
              <w:top w:val="nil"/>
              <w:left w:val="single" w:sz="8" w:space="0" w:color="000000"/>
              <w:bottom w:val="single" w:sz="8" w:space="0" w:color="000000"/>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 xml:space="preserve">Exception </w:t>
            </w:r>
            <w:r w:rsidR="006B4E0D" w:rsidRPr="00477EAB">
              <w:rPr>
                <w:rFonts w:eastAsia="Times New Roman"/>
                <w:szCs w:val="22"/>
                <w:lang w:val="fr-FR"/>
              </w:rPr>
              <w:t xml:space="preserve">en faveur des personnes </w:t>
            </w:r>
            <w:r w:rsidR="00796ECB" w:rsidRPr="00477EAB">
              <w:rPr>
                <w:rFonts w:eastAsia="Times New Roman"/>
                <w:szCs w:val="22"/>
                <w:lang w:val="fr-FR"/>
              </w:rPr>
              <w:t>ayant des difficultés de lecture des textes</w:t>
            </w:r>
            <w:r w:rsidR="0024788B" w:rsidRPr="00477EAB">
              <w:rPr>
                <w:rFonts w:eastAsia="Times New Roman"/>
                <w:szCs w:val="22"/>
                <w:lang w:val="fr-FR"/>
              </w:rPr>
              <w:t xml:space="preserve"> imprimés</w:t>
            </w:r>
          </w:p>
        </w:tc>
        <w:tc>
          <w:tcPr>
            <w:tcW w:w="1301" w:type="dxa"/>
            <w:tcBorders>
              <w:top w:val="nil"/>
              <w:left w:val="nil"/>
              <w:bottom w:val="single" w:sz="8" w:space="0" w:color="000000"/>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24</w:t>
            </w:r>
          </w:p>
        </w:tc>
        <w:tc>
          <w:tcPr>
            <w:tcW w:w="5985" w:type="dxa"/>
            <w:tcBorders>
              <w:top w:val="nil"/>
              <w:left w:val="nil"/>
              <w:bottom w:val="single" w:sz="8" w:space="0" w:color="000000"/>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Argentine, Arménie, Azerbaïdjan, Bélarus, Brésil, Bulgarie, Cameroun, Chine, Géorgie, Grenade, Indonésie, Kazakhstan, Maurice, Nicaragua, Panama, Paraguay, Pérou, Philippines, République démocratique populaire lao, République populaire démocratique de Corée, Rwanda, Ukraine, Uruguay, Viet</w:t>
            </w:r>
            <w:r w:rsidR="002E22BD">
              <w:rPr>
                <w:rFonts w:eastAsia="Times New Roman"/>
                <w:szCs w:val="22"/>
                <w:lang w:val="fr-FR"/>
              </w:rPr>
              <w:t> </w:t>
            </w:r>
            <w:r w:rsidRPr="00477EAB">
              <w:rPr>
                <w:rFonts w:eastAsia="Times New Roman"/>
                <w:szCs w:val="22"/>
                <w:lang w:val="fr-FR"/>
              </w:rPr>
              <w:t>Nam</w:t>
            </w:r>
          </w:p>
        </w:tc>
      </w:tr>
      <w:tr w:rsidR="0084003F" w:rsidRPr="00477EAB" w:rsidTr="00477EAB">
        <w:tc>
          <w:tcPr>
            <w:tcW w:w="1960" w:type="dxa"/>
            <w:tcBorders>
              <w:top w:val="nil"/>
              <w:left w:val="single" w:sz="8" w:space="0" w:color="000000"/>
              <w:bottom w:val="single" w:sz="4" w:space="0" w:color="auto"/>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796ECB" w:rsidP="00477EAB">
            <w:pPr>
              <w:widowControl w:val="0"/>
              <w:rPr>
                <w:rFonts w:eastAsia="Times New Roman"/>
                <w:szCs w:val="22"/>
                <w:lang w:val="fr-FR"/>
              </w:rPr>
            </w:pPr>
            <w:r w:rsidRPr="00477EAB">
              <w:rPr>
                <w:rFonts w:eastAsia="Times New Roman"/>
                <w:szCs w:val="22"/>
                <w:lang w:val="fr-FR"/>
              </w:rPr>
              <w:t>Exception en faveur des personnes ayant des difficultés de lecture des textes imprimés et d</w:t>
            </w:r>
            <w:r w:rsidR="0064359F">
              <w:rPr>
                <w:rFonts w:eastAsia="Times New Roman"/>
                <w:szCs w:val="22"/>
                <w:lang w:val="fr-FR"/>
              </w:rPr>
              <w:t>’</w:t>
            </w:r>
            <w:r w:rsidRPr="00477EAB">
              <w:rPr>
                <w:rFonts w:eastAsia="Times New Roman"/>
                <w:szCs w:val="22"/>
                <w:lang w:val="fr-FR"/>
              </w:rPr>
              <w:t>autres types de textes non spécifiés</w:t>
            </w:r>
          </w:p>
        </w:tc>
        <w:tc>
          <w:tcPr>
            <w:tcW w:w="1301" w:type="dxa"/>
            <w:tcBorders>
              <w:top w:val="nil"/>
              <w:left w:val="nil"/>
              <w:bottom w:val="single" w:sz="4" w:space="0" w:color="auto"/>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72</w:t>
            </w:r>
          </w:p>
        </w:tc>
        <w:tc>
          <w:tcPr>
            <w:tcW w:w="5985" w:type="dxa"/>
            <w:tcBorders>
              <w:top w:val="nil"/>
              <w:left w:val="nil"/>
              <w:bottom w:val="single" w:sz="4" w:space="0" w:color="auto"/>
              <w:right w:val="single" w:sz="8" w:space="0" w:color="000000"/>
            </w:tcBorders>
            <w:shd w:val="clear" w:color="auto" w:fill="FFFFFF" w:themeFill="background1"/>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Albanie, Allemagne, Australie, Autriche, Bahamas, Belize, Bosnie</w:t>
            </w:r>
            <w:r w:rsidR="00146784">
              <w:rPr>
                <w:rFonts w:eastAsia="Times New Roman"/>
                <w:szCs w:val="22"/>
                <w:lang w:val="fr-FR"/>
              </w:rPr>
              <w:noBreakHyphen/>
            </w:r>
            <w:r w:rsidRPr="00477EAB">
              <w:rPr>
                <w:rFonts w:eastAsia="Times New Roman"/>
                <w:szCs w:val="22"/>
                <w:lang w:val="fr-FR"/>
              </w:rPr>
              <w:t>Herzégovine, Cabo Verde, Canada, Chili, Colombie, Côte d</w:t>
            </w:r>
            <w:r w:rsidR="0064359F">
              <w:rPr>
                <w:rFonts w:eastAsia="Times New Roman"/>
                <w:szCs w:val="22"/>
                <w:lang w:val="fr-FR"/>
              </w:rPr>
              <w:t>’</w:t>
            </w:r>
            <w:r w:rsidRPr="00477EAB">
              <w:rPr>
                <w:rFonts w:eastAsia="Times New Roman"/>
                <w:szCs w:val="22"/>
                <w:lang w:val="fr-FR"/>
              </w:rPr>
              <w:t>Ivoire, Croatie, Danemark, El</w:t>
            </w:r>
            <w:r w:rsidR="002E22BD">
              <w:rPr>
                <w:rFonts w:eastAsia="Times New Roman"/>
                <w:szCs w:val="22"/>
                <w:lang w:val="fr-FR"/>
              </w:rPr>
              <w:t> </w:t>
            </w:r>
            <w:r w:rsidRPr="00477EAB">
              <w:rPr>
                <w:rFonts w:eastAsia="Times New Roman"/>
                <w:szCs w:val="22"/>
                <w:lang w:val="fr-FR"/>
              </w:rPr>
              <w:t>Salvador, Équateur, Espagne, Estonie, États</w:t>
            </w:r>
            <w:r w:rsidR="00146784">
              <w:rPr>
                <w:rFonts w:eastAsia="Times New Roman"/>
                <w:szCs w:val="22"/>
                <w:lang w:val="fr-FR"/>
              </w:rPr>
              <w:noBreakHyphen/>
            </w:r>
            <w:r w:rsidRPr="00477EAB">
              <w:rPr>
                <w:rFonts w:eastAsia="Times New Roman"/>
                <w:szCs w:val="22"/>
                <w:lang w:val="fr-FR"/>
              </w:rPr>
              <w:t>Unis d</w:t>
            </w:r>
            <w:r w:rsidR="0064359F">
              <w:rPr>
                <w:rFonts w:eastAsia="Times New Roman"/>
                <w:szCs w:val="22"/>
                <w:lang w:val="fr-FR"/>
              </w:rPr>
              <w:t>’</w:t>
            </w:r>
            <w:r w:rsidRPr="00477EAB">
              <w:rPr>
                <w:rFonts w:eastAsia="Times New Roman"/>
                <w:szCs w:val="22"/>
                <w:lang w:val="fr-FR"/>
              </w:rPr>
              <w:t>Amérique, Fidji, Finlande, France, Gabon, Grèce, Hongrie, Îles Cook, Inde, Irlande, Islande, Israël, Italie, Jamaïque, Japon, Kirghizistan, Koweït, Lettonie, Libéria, Liechtenstein, Lituanie, Luxembourg, Malaisie, Malawi, Malte, Mexique, Mongolie, Monténégro, Nigéria, Nioué, Norvège, Nouvelle</w:t>
            </w:r>
            <w:r w:rsidR="00146784">
              <w:rPr>
                <w:rFonts w:eastAsia="Times New Roman"/>
                <w:szCs w:val="22"/>
                <w:lang w:val="fr-FR"/>
              </w:rPr>
              <w:noBreakHyphen/>
            </w:r>
            <w:r w:rsidRPr="00477EAB">
              <w:rPr>
                <w:rFonts w:eastAsia="Times New Roman"/>
                <w:szCs w:val="22"/>
                <w:lang w:val="fr-FR"/>
              </w:rPr>
              <w:t>Zélande, Ouganda, Pays</w:t>
            </w:r>
            <w:r w:rsidR="00146784">
              <w:rPr>
                <w:rFonts w:eastAsia="Times New Roman"/>
                <w:szCs w:val="22"/>
                <w:lang w:val="fr-FR"/>
              </w:rPr>
              <w:noBreakHyphen/>
            </w:r>
            <w:r w:rsidRPr="00477EAB">
              <w:rPr>
                <w:rFonts w:eastAsia="Times New Roman"/>
                <w:szCs w:val="22"/>
                <w:lang w:val="fr-FR"/>
              </w:rPr>
              <w:t>Bas, Pologne, Portugal, République de Corée, République de Macédoine du Nord, République de Moldova, République tchèque, Roumanie, Royaume</w:t>
            </w:r>
            <w:r w:rsidR="00146784">
              <w:rPr>
                <w:rFonts w:eastAsia="Times New Roman"/>
                <w:szCs w:val="22"/>
                <w:lang w:val="fr-FR"/>
              </w:rPr>
              <w:noBreakHyphen/>
            </w:r>
            <w:r w:rsidRPr="00477EAB">
              <w:rPr>
                <w:rFonts w:eastAsia="Times New Roman"/>
                <w:szCs w:val="22"/>
                <w:lang w:val="fr-FR"/>
              </w:rPr>
              <w:t>Uni, Saint</w:t>
            </w:r>
            <w:r w:rsidR="00146784">
              <w:rPr>
                <w:rFonts w:eastAsia="Times New Roman"/>
                <w:szCs w:val="22"/>
                <w:lang w:val="fr-FR"/>
              </w:rPr>
              <w:noBreakHyphen/>
            </w:r>
            <w:r w:rsidRPr="00477EAB">
              <w:rPr>
                <w:rFonts w:eastAsia="Times New Roman"/>
                <w:szCs w:val="22"/>
                <w:lang w:val="fr-FR"/>
              </w:rPr>
              <w:t>Vincent</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les Grenadines, Sao Tomé</w:t>
            </w:r>
            <w:r w:rsidR="00146784">
              <w:rPr>
                <w:rFonts w:eastAsia="Times New Roman"/>
                <w:szCs w:val="22"/>
                <w:lang w:val="fr-FR"/>
              </w:rPr>
              <w:noBreakHyphen/>
            </w:r>
            <w:r w:rsidRPr="00477EAB">
              <w:rPr>
                <w:rFonts w:eastAsia="Times New Roman"/>
                <w:szCs w:val="22"/>
                <w:lang w:val="fr-FR"/>
              </w:rPr>
              <w:t>et</w:t>
            </w:r>
            <w:r w:rsidR="00146784">
              <w:rPr>
                <w:rFonts w:eastAsia="Times New Roman"/>
                <w:szCs w:val="22"/>
                <w:lang w:val="fr-FR"/>
              </w:rPr>
              <w:noBreakHyphen/>
            </w:r>
            <w:r w:rsidRPr="00477EAB">
              <w:rPr>
                <w:rFonts w:eastAsia="Times New Roman"/>
                <w:szCs w:val="22"/>
                <w:lang w:val="fr-FR"/>
              </w:rPr>
              <w:t>Principe, Serbie, Seychelles, Singapour, Slovaquie, Suède, Suisse, Thaïlande, Turquie</w:t>
            </w:r>
          </w:p>
        </w:tc>
      </w:tr>
      <w:tr w:rsidR="0084003F" w:rsidRPr="00477EAB" w:rsidTr="00477EAB">
        <w:tc>
          <w:tcPr>
            <w:tcW w:w="1960"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hideMark/>
          </w:tcPr>
          <w:p w:rsidR="00C4000D" w:rsidRPr="00477EAB" w:rsidRDefault="00796ECB" w:rsidP="00477EAB">
            <w:pPr>
              <w:widowControl w:val="0"/>
              <w:rPr>
                <w:rFonts w:eastAsia="Times New Roman"/>
                <w:szCs w:val="22"/>
                <w:lang w:val="fr-FR"/>
              </w:rPr>
            </w:pPr>
            <w:r w:rsidRPr="00477EAB">
              <w:rPr>
                <w:rFonts w:eastAsia="Times New Roman"/>
                <w:szCs w:val="22"/>
                <w:lang w:val="fr-FR"/>
              </w:rPr>
              <w:t>Dispositions générales</w:t>
            </w:r>
            <w:r w:rsidR="00C4000D" w:rsidRPr="00477EAB">
              <w:rPr>
                <w:rFonts w:eastAsia="Times New Roman"/>
                <w:szCs w:val="22"/>
                <w:lang w:val="fr-FR"/>
              </w:rPr>
              <w:t xml:space="preserve"> (</w:t>
            </w:r>
            <w:r w:rsidRPr="00477EAB">
              <w:rPr>
                <w:rFonts w:eastAsia="Times New Roman"/>
                <w:szCs w:val="22"/>
                <w:lang w:val="fr-FR"/>
              </w:rPr>
              <w:t>usage loyal</w:t>
            </w:r>
            <w:r w:rsidR="00C4000D" w:rsidRPr="00477EAB">
              <w:rPr>
                <w:rFonts w:eastAsia="Times New Roman"/>
                <w:szCs w:val="22"/>
                <w:lang w:val="fr-FR"/>
              </w:rPr>
              <w:t xml:space="preserve">) </w:t>
            </w:r>
            <w:r w:rsidRPr="00477EAB">
              <w:rPr>
                <w:rFonts w:eastAsia="Times New Roman"/>
                <w:szCs w:val="22"/>
                <w:lang w:val="fr-FR"/>
              </w:rPr>
              <w:t>permettant la réalisation d</w:t>
            </w:r>
            <w:r w:rsidR="0064359F">
              <w:rPr>
                <w:rFonts w:eastAsia="Times New Roman"/>
                <w:szCs w:val="22"/>
                <w:lang w:val="fr-FR"/>
              </w:rPr>
              <w:t>’</w:t>
            </w:r>
            <w:r w:rsidRPr="00477EAB">
              <w:rPr>
                <w:rFonts w:eastAsia="Times New Roman"/>
                <w:szCs w:val="22"/>
                <w:lang w:val="fr-FR"/>
              </w:rPr>
              <w:t>exemplaires en format accessible</w:t>
            </w:r>
          </w:p>
        </w:tc>
        <w:tc>
          <w:tcPr>
            <w:tcW w:w="1301"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6</w:t>
            </w:r>
          </w:p>
        </w:tc>
        <w:tc>
          <w:tcPr>
            <w:tcW w:w="5985" w:type="dxa"/>
            <w:tcBorders>
              <w:top w:val="single" w:sz="4" w:space="0" w:color="auto"/>
              <w:left w:val="nil"/>
              <w:bottom w:val="single" w:sz="4" w:space="0" w:color="auto"/>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Dominique, États</w:t>
            </w:r>
            <w:r w:rsidR="00146784">
              <w:rPr>
                <w:rFonts w:eastAsia="Times New Roman"/>
                <w:szCs w:val="22"/>
                <w:lang w:val="fr-FR"/>
              </w:rPr>
              <w:noBreakHyphen/>
            </w:r>
            <w:r w:rsidRPr="00477EAB">
              <w:rPr>
                <w:rFonts w:eastAsia="Times New Roman"/>
                <w:szCs w:val="22"/>
                <w:lang w:val="fr-FR"/>
              </w:rPr>
              <w:t>Unis d</w:t>
            </w:r>
            <w:r w:rsidR="0064359F">
              <w:rPr>
                <w:rFonts w:eastAsia="Times New Roman"/>
                <w:szCs w:val="22"/>
                <w:lang w:val="fr-FR"/>
              </w:rPr>
              <w:t>’</w:t>
            </w:r>
            <w:r w:rsidRPr="00477EAB">
              <w:rPr>
                <w:rFonts w:eastAsia="Times New Roman"/>
                <w:szCs w:val="22"/>
                <w:lang w:val="fr-FR"/>
              </w:rPr>
              <w:t xml:space="preserve">Amérique, Israël, Kirghizistan, </w:t>
            </w:r>
            <w:r w:rsidRPr="00477EAB">
              <w:rPr>
                <w:szCs w:val="22"/>
                <w:lang w:val="fr-FR"/>
              </w:rPr>
              <w:t>Micronésie (États fédérés de)</w:t>
            </w:r>
            <w:r w:rsidRPr="00477EAB">
              <w:rPr>
                <w:rFonts w:eastAsia="Times New Roman"/>
                <w:szCs w:val="22"/>
                <w:lang w:val="fr-FR"/>
              </w:rPr>
              <w:t>, Sri</w:t>
            </w:r>
            <w:r w:rsidR="002E22BD">
              <w:rPr>
                <w:rFonts w:eastAsia="Times New Roman"/>
                <w:szCs w:val="22"/>
                <w:lang w:val="fr-FR"/>
              </w:rPr>
              <w:t> </w:t>
            </w:r>
            <w:r w:rsidRPr="00477EAB">
              <w:rPr>
                <w:rFonts w:eastAsia="Times New Roman"/>
                <w:szCs w:val="22"/>
                <w:lang w:val="fr-FR"/>
              </w:rPr>
              <w:t>Lanka</w:t>
            </w:r>
          </w:p>
        </w:tc>
      </w:tr>
      <w:tr w:rsidR="0084003F" w:rsidRPr="00477EAB" w:rsidTr="00477EAB">
        <w:tc>
          <w:tcPr>
            <w:tcW w:w="1960"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796ECB" w:rsidP="00477EAB">
            <w:pPr>
              <w:widowControl w:val="0"/>
              <w:rPr>
                <w:rFonts w:eastAsia="Times New Roman"/>
                <w:szCs w:val="22"/>
                <w:lang w:val="fr-FR"/>
              </w:rPr>
            </w:pPr>
            <w:r w:rsidRPr="00477EAB">
              <w:rPr>
                <w:rFonts w:eastAsia="Times New Roman"/>
                <w:szCs w:val="22"/>
                <w:lang w:val="fr-FR"/>
              </w:rPr>
              <w:t>Dispositions relatives à l</w:t>
            </w:r>
            <w:r w:rsidR="0064359F">
              <w:rPr>
                <w:rFonts w:eastAsia="Times New Roman"/>
                <w:szCs w:val="22"/>
                <w:lang w:val="fr-FR"/>
              </w:rPr>
              <w:t>’</w:t>
            </w:r>
            <w:r w:rsidRPr="00477EAB">
              <w:rPr>
                <w:rFonts w:eastAsia="Times New Roman"/>
                <w:szCs w:val="22"/>
                <w:lang w:val="fr-FR"/>
              </w:rPr>
              <w:t>i</w:t>
            </w:r>
            <w:r w:rsidR="00C4000D" w:rsidRPr="00477EAB">
              <w:rPr>
                <w:rFonts w:eastAsia="Times New Roman"/>
                <w:szCs w:val="22"/>
                <w:lang w:val="fr-FR"/>
              </w:rPr>
              <w:t>mport</w:t>
            </w:r>
            <w:r w:rsidRPr="00477EAB">
              <w:rPr>
                <w:rFonts w:eastAsia="Times New Roman"/>
                <w:szCs w:val="22"/>
                <w:lang w:val="fr-FR"/>
              </w:rPr>
              <w:t>ation ou à l</w:t>
            </w:r>
            <w:r w:rsidR="0064359F">
              <w:rPr>
                <w:rFonts w:eastAsia="Times New Roman"/>
                <w:szCs w:val="22"/>
                <w:lang w:val="fr-FR"/>
              </w:rPr>
              <w:t>’</w:t>
            </w:r>
            <w:r w:rsidR="00C4000D" w:rsidRPr="00477EAB">
              <w:rPr>
                <w:rFonts w:eastAsia="Times New Roman"/>
                <w:szCs w:val="22"/>
                <w:lang w:val="fr-FR"/>
              </w:rPr>
              <w:t>export</w:t>
            </w:r>
            <w:r w:rsidRPr="00477EAB">
              <w:rPr>
                <w:rFonts w:eastAsia="Times New Roman"/>
                <w:szCs w:val="22"/>
                <w:lang w:val="fr-FR"/>
              </w:rPr>
              <w:t>ation</w:t>
            </w:r>
          </w:p>
        </w:tc>
        <w:tc>
          <w:tcPr>
            <w:tcW w:w="1301"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13</w:t>
            </w:r>
          </w:p>
        </w:tc>
        <w:tc>
          <w:tcPr>
            <w:tcW w:w="5985" w:type="dxa"/>
            <w:tcBorders>
              <w:top w:val="single" w:sz="4" w:space="0" w:color="auto"/>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Canada (import</w:t>
            </w:r>
            <w:r w:rsidR="001522F8" w:rsidRPr="00477EAB">
              <w:rPr>
                <w:rFonts w:eastAsia="Times New Roman"/>
                <w:szCs w:val="22"/>
                <w:lang w:val="fr-FR"/>
              </w:rPr>
              <w:t xml:space="preserve">ation et </w:t>
            </w:r>
            <w:r w:rsidRPr="00477EAB">
              <w:rPr>
                <w:rFonts w:eastAsia="Times New Roman"/>
                <w:szCs w:val="22"/>
                <w:lang w:val="fr-FR"/>
              </w:rPr>
              <w:t>export</w:t>
            </w:r>
            <w:r w:rsidR="001522F8" w:rsidRPr="00477EAB">
              <w:rPr>
                <w:rFonts w:eastAsia="Times New Roman"/>
                <w:szCs w:val="22"/>
                <w:lang w:val="fr-FR"/>
              </w:rPr>
              <w:t>ation</w:t>
            </w:r>
            <w:r w:rsidRPr="00477EAB">
              <w:rPr>
                <w:rFonts w:eastAsia="Times New Roman"/>
                <w:szCs w:val="22"/>
                <w:lang w:val="fr-FR"/>
              </w:rPr>
              <w:t>), États</w:t>
            </w:r>
            <w:r w:rsidR="00146784">
              <w:rPr>
                <w:rFonts w:eastAsia="Times New Roman"/>
                <w:szCs w:val="22"/>
                <w:lang w:val="fr-FR"/>
              </w:rPr>
              <w:noBreakHyphen/>
            </w:r>
            <w:r w:rsidRPr="00477EAB">
              <w:rPr>
                <w:rFonts w:eastAsia="Times New Roman"/>
                <w:szCs w:val="22"/>
                <w:lang w:val="fr-FR"/>
              </w:rPr>
              <w:t>Unis d</w:t>
            </w:r>
            <w:r w:rsidR="0064359F">
              <w:rPr>
                <w:rFonts w:eastAsia="Times New Roman"/>
                <w:szCs w:val="22"/>
                <w:lang w:val="fr-FR"/>
              </w:rPr>
              <w:t>’</w:t>
            </w:r>
            <w:r w:rsidRPr="00477EAB">
              <w:rPr>
                <w:rFonts w:eastAsia="Times New Roman"/>
                <w:szCs w:val="22"/>
                <w:lang w:val="fr-FR"/>
              </w:rPr>
              <w:t>Amérique (import</w:t>
            </w:r>
            <w:r w:rsidR="001522F8" w:rsidRPr="00477EAB">
              <w:rPr>
                <w:rFonts w:eastAsia="Times New Roman"/>
                <w:szCs w:val="22"/>
                <w:lang w:val="fr-FR"/>
              </w:rPr>
              <w:t xml:space="preserve">ation et </w:t>
            </w:r>
            <w:r w:rsidRPr="00477EAB">
              <w:rPr>
                <w:rFonts w:eastAsia="Times New Roman"/>
                <w:szCs w:val="22"/>
                <w:lang w:val="fr-FR"/>
              </w:rPr>
              <w:t>export</w:t>
            </w:r>
            <w:r w:rsidR="001522F8" w:rsidRPr="00477EAB">
              <w:rPr>
                <w:rFonts w:eastAsia="Times New Roman"/>
                <w:szCs w:val="22"/>
                <w:lang w:val="fr-FR"/>
              </w:rPr>
              <w:t>ation</w:t>
            </w:r>
            <w:r w:rsidRPr="00477EAB">
              <w:rPr>
                <w:rFonts w:eastAsia="Times New Roman"/>
                <w:szCs w:val="22"/>
                <w:lang w:val="fr-FR"/>
              </w:rPr>
              <w:t>), Îles Cook (</w:t>
            </w:r>
            <w:r w:rsidR="001522F8" w:rsidRPr="00477EAB">
              <w:rPr>
                <w:rFonts w:eastAsia="Times New Roman"/>
                <w:szCs w:val="22"/>
                <w:lang w:val="fr-FR"/>
              </w:rPr>
              <w:t>importation et exportation</w:t>
            </w:r>
            <w:r w:rsidRPr="00477EAB">
              <w:rPr>
                <w:rFonts w:eastAsia="Times New Roman"/>
                <w:szCs w:val="22"/>
                <w:lang w:val="fr-FR"/>
              </w:rPr>
              <w:t>), Indonésie (</w:t>
            </w:r>
            <w:r w:rsidR="001522F8" w:rsidRPr="00477EAB">
              <w:rPr>
                <w:rFonts w:eastAsia="Times New Roman"/>
                <w:szCs w:val="22"/>
                <w:lang w:val="fr-FR"/>
              </w:rPr>
              <w:t>importation et exportation</w:t>
            </w:r>
            <w:r w:rsidRPr="00477EAB">
              <w:rPr>
                <w:rFonts w:eastAsia="Times New Roman"/>
                <w:szCs w:val="22"/>
                <w:lang w:val="fr-FR"/>
              </w:rPr>
              <w:t>), Japon (</w:t>
            </w:r>
            <w:r w:rsidR="001522F8" w:rsidRPr="00477EAB">
              <w:rPr>
                <w:rFonts w:eastAsia="Times New Roman"/>
                <w:szCs w:val="22"/>
                <w:lang w:val="fr-FR"/>
              </w:rPr>
              <w:t>importation et exportation</w:t>
            </w:r>
            <w:r w:rsidRPr="00477EAB">
              <w:rPr>
                <w:rFonts w:eastAsia="Times New Roman"/>
                <w:szCs w:val="22"/>
                <w:lang w:val="fr-FR"/>
              </w:rPr>
              <w:t>), Libéria (</w:t>
            </w:r>
            <w:r w:rsidR="001522F8" w:rsidRPr="00477EAB">
              <w:rPr>
                <w:rFonts w:eastAsia="Times New Roman"/>
                <w:szCs w:val="22"/>
                <w:lang w:val="fr-FR"/>
              </w:rPr>
              <w:t>i</w:t>
            </w:r>
            <w:r w:rsidRPr="00477EAB">
              <w:rPr>
                <w:rFonts w:eastAsia="Times New Roman"/>
                <w:szCs w:val="22"/>
                <w:lang w:val="fr-FR"/>
              </w:rPr>
              <w:t>mport</w:t>
            </w:r>
            <w:r w:rsidR="001522F8" w:rsidRPr="00477EAB">
              <w:rPr>
                <w:rFonts w:eastAsia="Times New Roman"/>
                <w:szCs w:val="22"/>
                <w:lang w:val="fr-FR"/>
              </w:rPr>
              <w:t>ation</w:t>
            </w:r>
            <w:r w:rsidRPr="00477EAB">
              <w:rPr>
                <w:rFonts w:eastAsia="Times New Roman"/>
                <w:szCs w:val="22"/>
                <w:lang w:val="fr-FR"/>
              </w:rPr>
              <w:t>), Maurice (</w:t>
            </w:r>
            <w:r w:rsidR="001522F8" w:rsidRPr="00477EAB">
              <w:rPr>
                <w:rFonts w:eastAsia="Times New Roman"/>
                <w:szCs w:val="22"/>
                <w:lang w:val="fr-FR"/>
              </w:rPr>
              <w:t>importation et exportation</w:t>
            </w:r>
            <w:r w:rsidRPr="00477EAB">
              <w:rPr>
                <w:rFonts w:eastAsia="Times New Roman"/>
                <w:szCs w:val="22"/>
                <w:lang w:val="fr-FR"/>
              </w:rPr>
              <w:t>), Norvège (</w:t>
            </w:r>
            <w:r w:rsidR="001522F8" w:rsidRPr="00477EAB">
              <w:rPr>
                <w:rFonts w:eastAsia="Times New Roman"/>
                <w:szCs w:val="22"/>
                <w:lang w:val="fr-FR"/>
              </w:rPr>
              <w:t>importation et exportation</w:t>
            </w:r>
            <w:r w:rsidRPr="00477EAB">
              <w:rPr>
                <w:rFonts w:eastAsia="Times New Roman"/>
                <w:szCs w:val="22"/>
                <w:lang w:val="fr-FR"/>
              </w:rPr>
              <w:t>), Rwanda (import</w:t>
            </w:r>
            <w:r w:rsidR="001522F8" w:rsidRPr="00477EAB">
              <w:rPr>
                <w:rFonts w:eastAsia="Times New Roman"/>
                <w:szCs w:val="22"/>
                <w:lang w:val="fr-FR"/>
              </w:rPr>
              <w:t>ation</w:t>
            </w:r>
            <w:r w:rsidRPr="00477EAB">
              <w:rPr>
                <w:rFonts w:eastAsia="Times New Roman"/>
                <w:szCs w:val="22"/>
                <w:lang w:val="fr-FR"/>
              </w:rPr>
              <w:t>), Seychelles (import</w:t>
            </w:r>
            <w:r w:rsidR="001522F8" w:rsidRPr="00477EAB">
              <w:rPr>
                <w:rFonts w:eastAsia="Times New Roman"/>
                <w:szCs w:val="22"/>
                <w:lang w:val="fr-FR"/>
              </w:rPr>
              <w:t>ation</w:t>
            </w:r>
            <w:r w:rsidRPr="00477EAB">
              <w:rPr>
                <w:rFonts w:eastAsia="Times New Roman"/>
                <w:szCs w:val="22"/>
                <w:lang w:val="fr-FR"/>
              </w:rPr>
              <w:t>), Singapour</w:t>
            </w:r>
            <w:r w:rsidR="001522F8" w:rsidRPr="00477EAB">
              <w:rPr>
                <w:rFonts w:eastAsia="Times New Roman"/>
                <w:szCs w:val="22"/>
                <w:lang w:val="fr-FR"/>
              </w:rPr>
              <w:t xml:space="preserve"> (importation et exportation</w:t>
            </w:r>
            <w:r w:rsidRPr="00477EAB">
              <w:rPr>
                <w:rFonts w:eastAsia="Times New Roman"/>
                <w:szCs w:val="22"/>
                <w:lang w:val="fr-FR"/>
              </w:rPr>
              <w:t>), Slovaquie (</w:t>
            </w:r>
            <w:r w:rsidR="001522F8" w:rsidRPr="00477EAB">
              <w:rPr>
                <w:rFonts w:eastAsia="Times New Roman"/>
                <w:szCs w:val="22"/>
                <w:lang w:val="fr-FR"/>
              </w:rPr>
              <w:t>importation et exportation</w:t>
            </w:r>
            <w:r w:rsidRPr="00477EAB">
              <w:rPr>
                <w:rFonts w:eastAsia="Times New Roman"/>
                <w:szCs w:val="22"/>
                <w:lang w:val="fr-FR"/>
              </w:rPr>
              <w:t>), Suisse (</w:t>
            </w:r>
            <w:r w:rsidR="001522F8" w:rsidRPr="00477EAB">
              <w:rPr>
                <w:rFonts w:eastAsia="Times New Roman"/>
                <w:szCs w:val="22"/>
                <w:lang w:val="fr-FR"/>
              </w:rPr>
              <w:t>e</w:t>
            </w:r>
            <w:r w:rsidRPr="00477EAB">
              <w:rPr>
                <w:rFonts w:eastAsia="Times New Roman"/>
                <w:szCs w:val="22"/>
                <w:lang w:val="fr-FR"/>
              </w:rPr>
              <w:t>xport</w:t>
            </w:r>
            <w:r w:rsidR="001522F8" w:rsidRPr="00477EAB">
              <w:rPr>
                <w:rFonts w:eastAsia="Times New Roman"/>
                <w:szCs w:val="22"/>
                <w:lang w:val="fr-FR"/>
              </w:rPr>
              <w:t>ation</w:t>
            </w:r>
            <w:r w:rsidRPr="00477EAB">
              <w:rPr>
                <w:rFonts w:eastAsia="Times New Roman"/>
                <w:szCs w:val="22"/>
                <w:lang w:val="fr-FR"/>
              </w:rPr>
              <w:t>)</w:t>
            </w:r>
          </w:p>
        </w:tc>
      </w:tr>
      <w:tr w:rsidR="0084003F" w:rsidRPr="00477EAB" w:rsidTr="00477EAB">
        <w:trPr>
          <w:cantSplit/>
        </w:trPr>
        <w:tc>
          <w:tcPr>
            <w:tcW w:w="1960" w:type="dxa"/>
            <w:tcBorders>
              <w:top w:val="nil"/>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755494" w:rsidP="00477EAB">
            <w:pPr>
              <w:widowControl w:val="0"/>
              <w:rPr>
                <w:rFonts w:eastAsia="Times New Roman"/>
                <w:szCs w:val="22"/>
                <w:lang w:val="fr-FR"/>
              </w:rPr>
            </w:pPr>
            <w:r w:rsidRPr="00477EAB">
              <w:rPr>
                <w:rFonts w:eastAsia="Times New Roman"/>
                <w:szCs w:val="22"/>
                <w:lang w:val="fr-FR"/>
              </w:rPr>
              <w:lastRenderedPageBreak/>
              <w:t>Antineutralisation des mesures techniques de p</w:t>
            </w:r>
            <w:r w:rsidR="00C4000D" w:rsidRPr="00477EAB">
              <w:rPr>
                <w:rFonts w:eastAsia="Times New Roman"/>
                <w:szCs w:val="22"/>
                <w:lang w:val="fr-FR"/>
              </w:rPr>
              <w:t>rotection</w:t>
            </w:r>
            <w:r w:rsidRPr="00477EAB">
              <w:rPr>
                <w:rFonts w:eastAsia="Times New Roman"/>
                <w:szCs w:val="22"/>
                <w:lang w:val="fr-FR"/>
              </w:rPr>
              <w:t xml:space="preserve"> </w:t>
            </w:r>
            <w:r w:rsidR="00C4000D" w:rsidRPr="00477EAB">
              <w:rPr>
                <w:rFonts w:eastAsia="Times New Roman"/>
                <w:szCs w:val="22"/>
                <w:lang w:val="fr-FR"/>
              </w:rPr>
              <w:t>– Ex</w:t>
            </w:r>
            <w:r w:rsidRPr="00477EAB">
              <w:rPr>
                <w:rFonts w:eastAsia="Times New Roman"/>
                <w:szCs w:val="22"/>
                <w:lang w:val="fr-FR"/>
              </w:rPr>
              <w:t>ception en faveur des personnes handicapées</w:t>
            </w:r>
          </w:p>
        </w:tc>
        <w:tc>
          <w:tcPr>
            <w:tcW w:w="1301"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23</w:t>
            </w:r>
          </w:p>
        </w:tc>
        <w:tc>
          <w:tcPr>
            <w:tcW w:w="5985"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Allemagne, Argentine, Australie, Bélarus, Croatie, Danemark, Équateur, États</w:t>
            </w:r>
            <w:r w:rsidR="00146784">
              <w:rPr>
                <w:rFonts w:eastAsia="Times New Roman"/>
                <w:szCs w:val="22"/>
                <w:lang w:val="fr-FR"/>
              </w:rPr>
              <w:noBreakHyphen/>
            </w:r>
            <w:r w:rsidRPr="00477EAB">
              <w:rPr>
                <w:rFonts w:eastAsia="Times New Roman"/>
                <w:szCs w:val="22"/>
                <w:lang w:val="fr-FR"/>
              </w:rPr>
              <w:t>Unis d</w:t>
            </w:r>
            <w:r w:rsidR="0064359F">
              <w:rPr>
                <w:rFonts w:eastAsia="Times New Roman"/>
                <w:szCs w:val="22"/>
                <w:lang w:val="fr-FR"/>
              </w:rPr>
              <w:t>’</w:t>
            </w:r>
            <w:r w:rsidRPr="00477EAB">
              <w:rPr>
                <w:rFonts w:eastAsia="Times New Roman"/>
                <w:szCs w:val="22"/>
                <w:lang w:val="fr-FR"/>
              </w:rPr>
              <w:t>Amérique, France, Grèce, Îles Cook, Indonésie, Jamaïque, Japon, Libéria, Lituanie, Malawi, Pays</w:t>
            </w:r>
            <w:r w:rsidR="00146784">
              <w:rPr>
                <w:rFonts w:eastAsia="Times New Roman"/>
                <w:szCs w:val="22"/>
                <w:lang w:val="fr-FR"/>
              </w:rPr>
              <w:noBreakHyphen/>
            </w:r>
            <w:r w:rsidRPr="00477EAB">
              <w:rPr>
                <w:rFonts w:eastAsia="Times New Roman"/>
                <w:szCs w:val="22"/>
                <w:lang w:val="fr-FR"/>
              </w:rPr>
              <w:t>Bas, Portugal, Roumanie, Singapour, Slovaquie, Suède</w:t>
            </w:r>
          </w:p>
        </w:tc>
      </w:tr>
      <w:tr w:rsidR="0084003F" w:rsidRPr="00477EAB" w:rsidTr="00477EAB">
        <w:tc>
          <w:tcPr>
            <w:tcW w:w="1960" w:type="dxa"/>
            <w:tcBorders>
              <w:top w:val="nil"/>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D</w:t>
            </w:r>
            <w:r w:rsidR="00F23F92" w:rsidRPr="00477EAB">
              <w:rPr>
                <w:rFonts w:eastAsia="Times New Roman"/>
                <w:szCs w:val="22"/>
                <w:lang w:val="fr-FR"/>
              </w:rPr>
              <w:t xml:space="preserve">isposition ne </w:t>
            </w:r>
            <w:r w:rsidR="004D5B43" w:rsidRPr="00477EAB">
              <w:rPr>
                <w:rFonts w:eastAsia="Times New Roman"/>
                <w:szCs w:val="22"/>
                <w:lang w:val="fr-FR"/>
              </w:rPr>
              <w:t>traitant</w:t>
            </w:r>
            <w:r w:rsidR="00F23F92" w:rsidRPr="00477EAB">
              <w:rPr>
                <w:rFonts w:eastAsia="Times New Roman"/>
                <w:szCs w:val="22"/>
                <w:lang w:val="fr-FR"/>
              </w:rPr>
              <w:t xml:space="preserve"> pas expressément </w:t>
            </w:r>
            <w:r w:rsidR="004D5B43" w:rsidRPr="00477EAB">
              <w:rPr>
                <w:rFonts w:eastAsia="Times New Roman"/>
                <w:szCs w:val="22"/>
                <w:lang w:val="fr-FR"/>
              </w:rPr>
              <w:t>d</w:t>
            </w:r>
            <w:r w:rsidR="00D22A21" w:rsidRPr="00477EAB">
              <w:rPr>
                <w:rFonts w:eastAsia="Times New Roman"/>
                <w:szCs w:val="22"/>
                <w:lang w:val="fr-FR"/>
              </w:rPr>
              <w:t>es handicap</w:t>
            </w:r>
            <w:r w:rsidR="00B7474A" w:rsidRPr="00477EAB">
              <w:rPr>
                <w:rFonts w:eastAsia="Times New Roman"/>
                <w:szCs w:val="22"/>
                <w:lang w:val="fr-FR"/>
              </w:rPr>
              <w:t>s</w:t>
            </w:r>
            <w:r w:rsidRPr="00477EAB">
              <w:rPr>
                <w:rFonts w:eastAsia="Times New Roman"/>
                <w:szCs w:val="22"/>
                <w:lang w:val="fr-FR"/>
              </w:rPr>
              <w:t xml:space="preserve">, </w:t>
            </w:r>
            <w:r w:rsidR="00B7474A" w:rsidRPr="00477EAB">
              <w:rPr>
                <w:rFonts w:eastAsia="Times New Roman"/>
                <w:szCs w:val="22"/>
                <w:lang w:val="fr-FR"/>
              </w:rPr>
              <w:t xml:space="preserve">mais autorisant généralement la </w:t>
            </w:r>
            <w:r w:rsidRPr="00477EAB">
              <w:rPr>
                <w:rFonts w:eastAsia="Times New Roman"/>
                <w:szCs w:val="22"/>
                <w:lang w:val="fr-FR"/>
              </w:rPr>
              <w:t xml:space="preserve">modification, </w:t>
            </w:r>
            <w:r w:rsidR="00B7474A" w:rsidRPr="00477EAB">
              <w:rPr>
                <w:rFonts w:eastAsia="Times New Roman"/>
                <w:szCs w:val="22"/>
                <w:lang w:val="fr-FR"/>
              </w:rPr>
              <w:t xml:space="preserve">la </w:t>
            </w:r>
            <w:r w:rsidRPr="00477EAB">
              <w:rPr>
                <w:rFonts w:eastAsia="Times New Roman"/>
                <w:szCs w:val="22"/>
                <w:lang w:val="fr-FR"/>
              </w:rPr>
              <w:t>tra</w:t>
            </w:r>
            <w:r w:rsidR="00B7474A" w:rsidRPr="00477EAB">
              <w:rPr>
                <w:rFonts w:eastAsia="Times New Roman"/>
                <w:szCs w:val="22"/>
                <w:lang w:val="fr-FR"/>
              </w:rPr>
              <w:t>duction</w:t>
            </w:r>
            <w:r w:rsidR="00CC7392" w:rsidRPr="00477EAB">
              <w:rPr>
                <w:rFonts w:eastAsia="Times New Roman"/>
                <w:szCs w:val="22"/>
                <w:lang w:val="fr-FR"/>
              </w:rPr>
              <w:t xml:space="preserve"> et </w:t>
            </w:r>
            <w:r w:rsidR="00B7474A" w:rsidRPr="00477EAB">
              <w:rPr>
                <w:rFonts w:eastAsia="Times New Roman"/>
                <w:szCs w:val="22"/>
                <w:lang w:val="fr-FR"/>
              </w:rPr>
              <w:t xml:space="preserve">la transformation des œuvres ou leur </w:t>
            </w:r>
            <w:r w:rsidR="00876092" w:rsidRPr="00477EAB">
              <w:rPr>
                <w:rFonts w:eastAsia="Times New Roman"/>
                <w:szCs w:val="22"/>
                <w:lang w:val="fr-FR"/>
              </w:rPr>
              <w:t>utilisation aux fins de la création d</w:t>
            </w:r>
            <w:r w:rsidR="0064359F">
              <w:rPr>
                <w:rFonts w:eastAsia="Times New Roman"/>
                <w:szCs w:val="22"/>
                <w:lang w:val="fr-FR"/>
              </w:rPr>
              <w:t>’</w:t>
            </w:r>
            <w:r w:rsidR="00876092" w:rsidRPr="00477EAB">
              <w:rPr>
                <w:rFonts w:eastAsia="Times New Roman"/>
                <w:szCs w:val="22"/>
                <w:lang w:val="fr-FR"/>
              </w:rPr>
              <w:t>une autre œuvre</w:t>
            </w:r>
          </w:p>
        </w:tc>
        <w:tc>
          <w:tcPr>
            <w:tcW w:w="1301"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1</w:t>
            </w:r>
          </w:p>
        </w:tc>
        <w:tc>
          <w:tcPr>
            <w:tcW w:w="5985"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84003F" w:rsidP="00477EAB">
            <w:pPr>
              <w:widowControl w:val="0"/>
              <w:rPr>
                <w:rFonts w:eastAsia="Times New Roman"/>
                <w:szCs w:val="22"/>
                <w:lang w:val="fr-FR"/>
              </w:rPr>
            </w:pPr>
            <w:r w:rsidRPr="00477EAB">
              <w:rPr>
                <w:rFonts w:eastAsia="Times New Roman"/>
                <w:szCs w:val="22"/>
                <w:lang w:val="fr-FR"/>
              </w:rPr>
              <w:t>Koweït</w:t>
            </w:r>
          </w:p>
        </w:tc>
      </w:tr>
      <w:tr w:rsidR="0084003F" w:rsidRPr="00477EAB" w:rsidTr="00477EAB">
        <w:tc>
          <w:tcPr>
            <w:tcW w:w="1960" w:type="dxa"/>
            <w:tcBorders>
              <w:top w:val="nil"/>
              <w:left w:val="single" w:sz="8" w:space="0" w:color="000000"/>
              <w:bottom w:val="single" w:sz="8" w:space="0" w:color="000000"/>
              <w:right w:val="single" w:sz="8" w:space="0" w:color="000000"/>
            </w:tcBorders>
            <w:tcMar>
              <w:top w:w="57" w:type="dxa"/>
              <w:left w:w="108" w:type="dxa"/>
              <w:bottom w:w="57" w:type="dxa"/>
              <w:right w:w="108" w:type="dxa"/>
            </w:tcMar>
            <w:hideMark/>
          </w:tcPr>
          <w:p w:rsidR="00C4000D" w:rsidRPr="00477EAB" w:rsidRDefault="00876092" w:rsidP="00477EAB">
            <w:pPr>
              <w:widowControl w:val="0"/>
              <w:rPr>
                <w:rFonts w:eastAsia="Times New Roman"/>
                <w:szCs w:val="22"/>
                <w:lang w:val="fr-FR"/>
              </w:rPr>
            </w:pPr>
            <w:r w:rsidRPr="00477EAB">
              <w:rPr>
                <w:rFonts w:eastAsia="Times New Roman"/>
                <w:szCs w:val="22"/>
                <w:lang w:val="fr-FR"/>
              </w:rPr>
              <w:t>Impossible à déterminer en raison de la barrière linguistique</w:t>
            </w:r>
          </w:p>
        </w:tc>
        <w:tc>
          <w:tcPr>
            <w:tcW w:w="1301"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C4000D" w:rsidP="00477EAB">
            <w:pPr>
              <w:widowControl w:val="0"/>
              <w:rPr>
                <w:rFonts w:eastAsia="Times New Roman"/>
                <w:szCs w:val="22"/>
                <w:lang w:val="fr-FR"/>
              </w:rPr>
            </w:pPr>
            <w:r w:rsidRPr="00477EAB">
              <w:rPr>
                <w:rFonts w:eastAsia="Times New Roman"/>
                <w:szCs w:val="22"/>
                <w:lang w:val="fr-FR"/>
              </w:rPr>
              <w:t>3</w:t>
            </w:r>
          </w:p>
        </w:tc>
        <w:tc>
          <w:tcPr>
            <w:tcW w:w="5985" w:type="dxa"/>
            <w:tcBorders>
              <w:top w:val="nil"/>
              <w:left w:val="nil"/>
              <w:bottom w:val="single" w:sz="8" w:space="0" w:color="000000"/>
              <w:right w:val="single" w:sz="8" w:space="0" w:color="000000"/>
            </w:tcBorders>
            <w:tcMar>
              <w:top w:w="57" w:type="dxa"/>
              <w:left w:w="108" w:type="dxa"/>
              <w:bottom w:w="57" w:type="dxa"/>
              <w:right w:w="108" w:type="dxa"/>
            </w:tcMar>
            <w:hideMark/>
          </w:tcPr>
          <w:p w:rsidR="00C4000D" w:rsidRPr="00477EAB" w:rsidRDefault="009058D1" w:rsidP="00477EAB">
            <w:pPr>
              <w:widowControl w:val="0"/>
              <w:rPr>
                <w:rFonts w:eastAsia="Times New Roman"/>
                <w:szCs w:val="22"/>
                <w:lang w:val="fr-FR"/>
              </w:rPr>
            </w:pPr>
            <w:r w:rsidRPr="00477EAB">
              <w:rPr>
                <w:rFonts w:eastAsia="Times New Roman"/>
                <w:szCs w:val="22"/>
                <w:lang w:val="fr-FR"/>
              </w:rPr>
              <w:t>Fédération de Russie</w:t>
            </w:r>
            <w:r w:rsidR="0084003F" w:rsidRPr="00477EAB">
              <w:rPr>
                <w:rFonts w:eastAsia="Times New Roman"/>
                <w:szCs w:val="22"/>
                <w:lang w:val="fr-FR"/>
              </w:rPr>
              <w:t>, République centrafricaine, Saint</w:t>
            </w:r>
            <w:r w:rsidR="00146784">
              <w:rPr>
                <w:rFonts w:eastAsia="Times New Roman"/>
                <w:szCs w:val="22"/>
                <w:lang w:val="fr-FR"/>
              </w:rPr>
              <w:noBreakHyphen/>
            </w:r>
            <w:r w:rsidR="0084003F" w:rsidRPr="00477EAB">
              <w:rPr>
                <w:rFonts w:eastAsia="Times New Roman"/>
                <w:szCs w:val="22"/>
                <w:lang w:val="fr-FR"/>
              </w:rPr>
              <w:t>Siège</w:t>
            </w:r>
          </w:p>
        </w:tc>
      </w:tr>
    </w:tbl>
    <w:p w:rsidR="00EC1FFD" w:rsidRPr="00477EAB" w:rsidRDefault="00EC1FFD" w:rsidP="00CA79F8">
      <w:pPr>
        <w:rPr>
          <w:rFonts w:eastAsia="Arial"/>
          <w:bCs/>
          <w:i/>
          <w:szCs w:val="22"/>
          <w:lang w:val="fr-FR" w:eastAsia="en-US"/>
        </w:rPr>
      </w:pPr>
      <w:bookmarkStart w:id="52" w:name="_Toc536636754"/>
    </w:p>
    <w:p w:rsidR="00EC1FFD" w:rsidRPr="00477EAB" w:rsidRDefault="00C4000D" w:rsidP="00477EAB">
      <w:pPr>
        <w:pStyle w:val="ONUMFS"/>
        <w:numPr>
          <w:ilvl w:val="0"/>
          <w:numId w:val="0"/>
        </w:numPr>
      </w:pPr>
      <w:r w:rsidRPr="00477EAB">
        <w:t>N.</w:t>
      </w:r>
      <w:r w:rsidR="009058D1" w:rsidRPr="00477EAB">
        <w:t> </w:t>
      </w:r>
      <w:r w:rsidRPr="00477EAB">
        <w:t>B.</w:t>
      </w:r>
      <w:r w:rsidR="0064359F">
        <w:t> :</w:t>
      </w:r>
      <w:r w:rsidRPr="00477EAB">
        <w:t xml:space="preserve"> </w:t>
      </w:r>
      <w:r w:rsidR="00CC7392" w:rsidRPr="00477EAB">
        <w:t>le tableau avec tous les États membres de l</w:t>
      </w:r>
      <w:r w:rsidR="0064359F">
        <w:t>’</w:t>
      </w:r>
      <w:r w:rsidR="00CC7392" w:rsidRPr="00477EAB">
        <w:t>OMPI figure dans la version anglaise</w:t>
      </w:r>
      <w:r w:rsidRPr="00477EAB">
        <w:t>.</w:t>
      </w:r>
    </w:p>
    <w:bookmarkEnd w:id="52"/>
    <w:p w:rsidR="00EC1FFD" w:rsidRPr="00477EAB" w:rsidRDefault="00EC1FFD" w:rsidP="00CA79F8">
      <w:pPr>
        <w:widowControl w:val="0"/>
        <w:rPr>
          <w:lang w:val="fr-FR"/>
        </w:rPr>
      </w:pPr>
    </w:p>
    <w:p w:rsidR="00EC1FFD" w:rsidRPr="00477EAB" w:rsidRDefault="00EC1FFD" w:rsidP="00CA79F8">
      <w:pPr>
        <w:widowControl w:val="0"/>
        <w:rPr>
          <w:lang w:val="fr-FR"/>
        </w:rPr>
      </w:pPr>
    </w:p>
    <w:p w:rsidR="00EC1FFD" w:rsidRPr="00477EAB" w:rsidRDefault="007862C0" w:rsidP="00477EAB">
      <w:pPr>
        <w:pStyle w:val="Endofdocument-Annex"/>
      </w:pPr>
      <w:r w:rsidRPr="00477EAB">
        <w:t>[</w:t>
      </w:r>
      <w:r w:rsidR="00CC7392" w:rsidRPr="00477EAB">
        <w:t xml:space="preserve">Fin du </w:t>
      </w:r>
      <w:r w:rsidRPr="00477EAB">
        <w:t>document]</w:t>
      </w:r>
    </w:p>
    <w:sectPr w:rsidR="00EC1FFD" w:rsidRPr="00477EAB" w:rsidSect="00477EAB">
      <w:headerReference w:type="default" r:id="rId9"/>
      <w:footerReference w:type="default" r:id="rId10"/>
      <w:pgSz w:w="11909" w:h="16834"/>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F8" w:rsidRDefault="001522F8" w:rsidP="00972CE9">
      <w:r>
        <w:separator/>
      </w:r>
    </w:p>
  </w:endnote>
  <w:endnote w:type="continuationSeparator" w:id="0">
    <w:p w:rsidR="001522F8" w:rsidRDefault="001522F8" w:rsidP="00972CE9">
      <w:r>
        <w:continuationSeparator/>
      </w:r>
    </w:p>
  </w:endnote>
  <w:endnote w:type="continuationNotice" w:id="1">
    <w:p w:rsidR="00B3748B" w:rsidRDefault="00B3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48B" w:rsidRDefault="00B3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F8" w:rsidRDefault="001522F8" w:rsidP="00972CE9">
      <w:r>
        <w:separator/>
      </w:r>
    </w:p>
  </w:footnote>
  <w:footnote w:type="continuationSeparator" w:id="0">
    <w:p w:rsidR="001522F8" w:rsidRDefault="001522F8" w:rsidP="00972CE9">
      <w:r>
        <w:continuationSeparator/>
      </w:r>
    </w:p>
  </w:footnote>
  <w:footnote w:type="continuationNotice" w:id="1">
    <w:p w:rsidR="00B3748B" w:rsidRDefault="00B3748B"/>
  </w:footnote>
  <w:footnote w:id="2">
    <w:p w:rsidR="001522F8" w:rsidRPr="001D37B9" w:rsidRDefault="001522F8" w:rsidP="00BB7F98">
      <w:pPr>
        <w:pStyle w:val="FootnoteText"/>
        <w:rPr>
          <w:szCs w:val="18"/>
        </w:rPr>
      </w:pPr>
      <w:r w:rsidRPr="001D37B9">
        <w:rPr>
          <w:rStyle w:val="FootnoteReference"/>
          <w:szCs w:val="18"/>
        </w:rPr>
        <w:footnoteRef/>
      </w:r>
      <w:r w:rsidRPr="001D37B9">
        <w:rPr>
          <w:szCs w:val="18"/>
        </w:rPr>
        <w:t xml:space="preserve"> </w:t>
      </w:r>
      <w:r w:rsidR="001D37B9" w:rsidRPr="001D37B9">
        <w:rPr>
          <w:szCs w:val="18"/>
        </w:rPr>
        <w:tab/>
      </w:r>
      <w:r w:rsidRPr="001D37B9">
        <w:rPr>
          <w:szCs w:val="18"/>
        </w:rPr>
        <w:t>La création de formats accessibles peut impliquer les droits de reproduction et de distribution.  Premièrement, modifier le contenu des œuvres originales protégées par le droit d</w:t>
      </w:r>
      <w:r w:rsidR="00F9633E">
        <w:rPr>
          <w:szCs w:val="18"/>
        </w:rPr>
        <w:t>’</w:t>
      </w:r>
      <w:r w:rsidRPr="001D37B9">
        <w:rPr>
          <w:szCs w:val="18"/>
        </w:rPr>
        <w:t>auteur pour les rendre accessibles constitue souvent une violation du droit exclusif de reproduction.  Deuxièmement, les efforts d</w:t>
      </w:r>
      <w:r w:rsidR="00F9633E">
        <w:rPr>
          <w:szCs w:val="18"/>
        </w:rPr>
        <w:t>’</w:t>
      </w:r>
      <w:r w:rsidRPr="001D37B9">
        <w:rPr>
          <w:szCs w:val="18"/>
        </w:rPr>
        <w:t>accessibilité ne sont efficaces que dans la mesure où les résultats obtenus sont fournis ou distribués aux personnes handicapées.  Par conséquent, les efforts d</w:t>
      </w:r>
      <w:r w:rsidR="00F9633E">
        <w:rPr>
          <w:szCs w:val="18"/>
        </w:rPr>
        <w:t>’</w:t>
      </w:r>
      <w:r w:rsidRPr="001D37B9">
        <w:rPr>
          <w:szCs w:val="18"/>
        </w:rPr>
        <w:t>accessibilité peuvent aussi impliquer des droits de distribution, également exclusifs.</w:t>
      </w:r>
    </w:p>
  </w:footnote>
  <w:footnote w:id="3">
    <w:p w:rsidR="001522F8" w:rsidRPr="001D37B9" w:rsidRDefault="001522F8" w:rsidP="00343A3F">
      <w:pPr>
        <w:pStyle w:val="FootnoteText"/>
        <w:rPr>
          <w:szCs w:val="18"/>
        </w:rPr>
      </w:pPr>
      <w:r w:rsidRPr="001D37B9">
        <w:rPr>
          <w:rStyle w:val="FootnoteReference"/>
          <w:szCs w:val="18"/>
        </w:rPr>
        <w:footnoteRef/>
      </w:r>
      <w:r w:rsidRPr="001D37B9">
        <w:rPr>
          <w:szCs w:val="18"/>
        </w:rPr>
        <w:t xml:space="preserve"> </w:t>
      </w:r>
      <w:r w:rsidR="001D37B9" w:rsidRPr="001D37B9">
        <w:rPr>
          <w:szCs w:val="18"/>
        </w:rPr>
        <w:tab/>
      </w:r>
      <w:r w:rsidRPr="001D37B9">
        <w:rPr>
          <w:szCs w:val="18"/>
        </w:rPr>
        <w:t>Voir, par exemple, le projet de rapport de la trent</w:t>
      </w:r>
      <w:r w:rsidR="00F9633E">
        <w:rPr>
          <w:szCs w:val="18"/>
        </w:rPr>
        <w:t>ième session</w:t>
      </w:r>
      <w:r w:rsidRPr="001D37B9">
        <w:rPr>
          <w:szCs w:val="18"/>
        </w:rPr>
        <w:t xml:space="preserve"> du Comité permanent du droit d</w:t>
      </w:r>
      <w:r w:rsidR="00F9633E">
        <w:rPr>
          <w:szCs w:val="18"/>
        </w:rPr>
        <w:t>’</w:t>
      </w:r>
      <w:r w:rsidRPr="001D37B9">
        <w:rPr>
          <w:szCs w:val="18"/>
        </w:rPr>
        <w:t>auteur et des droits connexes de l</w:t>
      </w:r>
      <w:r w:rsidR="00F9633E">
        <w:rPr>
          <w:szCs w:val="18"/>
        </w:rPr>
        <w:t>’</w:t>
      </w:r>
      <w:r w:rsidRPr="001D37B9">
        <w:rPr>
          <w:szCs w:val="18"/>
        </w:rPr>
        <w:t>OMPI, 99 (14 septembre 2015).</w:t>
      </w:r>
    </w:p>
  </w:footnote>
  <w:footnote w:id="4">
    <w:p w:rsidR="001522F8" w:rsidRPr="001D37B9" w:rsidRDefault="001522F8" w:rsidP="009E7A53">
      <w:pPr>
        <w:pStyle w:val="FootnoteText"/>
        <w:rPr>
          <w:szCs w:val="18"/>
        </w:rPr>
      </w:pPr>
      <w:r w:rsidRPr="001D37B9">
        <w:rPr>
          <w:rStyle w:val="FootnoteReference"/>
          <w:szCs w:val="18"/>
        </w:rPr>
        <w:footnoteRef/>
      </w:r>
      <w:r w:rsidRPr="001D37B9">
        <w:rPr>
          <w:szCs w:val="18"/>
        </w:rPr>
        <w:t xml:space="preserve"> </w:t>
      </w:r>
      <w:r w:rsidR="001D37B9" w:rsidRPr="001D37B9">
        <w:rPr>
          <w:szCs w:val="18"/>
        </w:rPr>
        <w:tab/>
      </w:r>
      <w:r w:rsidRPr="001D37B9">
        <w:rPr>
          <w:szCs w:val="18"/>
        </w:rPr>
        <w:t>Comité permanent du droit d</w:t>
      </w:r>
      <w:r w:rsidR="00F9633E">
        <w:rPr>
          <w:szCs w:val="18"/>
        </w:rPr>
        <w:t>’</w:t>
      </w:r>
      <w:r w:rsidRPr="001D37B9">
        <w:rPr>
          <w:szCs w:val="18"/>
        </w:rPr>
        <w:t>auteur et des droits connexes de l</w:t>
      </w:r>
      <w:r w:rsidR="00F9633E">
        <w:rPr>
          <w:szCs w:val="18"/>
        </w:rPr>
        <w:t>’</w:t>
      </w:r>
      <w:r w:rsidRPr="001D37B9">
        <w:rPr>
          <w:szCs w:val="18"/>
        </w:rPr>
        <w:t>OMPI, Étude exploratoire sur l</w:t>
      </w:r>
      <w:r w:rsidR="00F9633E">
        <w:rPr>
          <w:szCs w:val="18"/>
        </w:rPr>
        <w:t>’</w:t>
      </w:r>
      <w:r w:rsidRPr="001D37B9">
        <w:rPr>
          <w:szCs w:val="18"/>
        </w:rPr>
        <w:t>accès des personnes handicapées aux œuvres protégées par le droit d</w:t>
      </w:r>
      <w:r w:rsidR="00F9633E">
        <w:rPr>
          <w:szCs w:val="18"/>
        </w:rPr>
        <w:t>’</w:t>
      </w:r>
      <w:r w:rsidRPr="001D37B9">
        <w:rPr>
          <w:szCs w:val="18"/>
        </w:rPr>
        <w:t>auteur (13 – 17 novembre 2017).</w:t>
      </w:r>
    </w:p>
  </w:footnote>
  <w:footnote w:id="5">
    <w:p w:rsidR="001522F8" w:rsidRPr="001D37B9" w:rsidRDefault="001522F8">
      <w:pPr>
        <w:pStyle w:val="FootnoteText"/>
        <w:rPr>
          <w:szCs w:val="18"/>
        </w:rPr>
      </w:pPr>
      <w:r w:rsidRPr="001D37B9">
        <w:rPr>
          <w:rStyle w:val="FootnoteReference"/>
          <w:szCs w:val="18"/>
        </w:rPr>
        <w:footnoteRef/>
      </w:r>
      <w:r w:rsidRPr="001D37B9">
        <w:rPr>
          <w:szCs w:val="18"/>
        </w:rPr>
        <w:t xml:space="preserve"> </w:t>
      </w:r>
      <w:r w:rsidR="001D37B9" w:rsidRPr="001D37B9">
        <w:rPr>
          <w:szCs w:val="18"/>
        </w:rPr>
        <w:tab/>
      </w:r>
      <w:r w:rsidRPr="001D37B9">
        <w:rPr>
          <w:szCs w:val="18"/>
        </w:rPr>
        <w:t>Organisation mondiale de la Santé, Handicap et santé, principaux repères (nov</w:t>
      </w:r>
      <w:r w:rsidR="00B3748B">
        <w:rPr>
          <w:szCs w:val="18"/>
        </w:rPr>
        <w:t>embre </w:t>
      </w:r>
      <w:r w:rsidRPr="001D37B9">
        <w:rPr>
          <w:szCs w:val="18"/>
        </w:rPr>
        <w:t xml:space="preserve">2016), </w:t>
      </w:r>
      <w:hyperlink r:id="rId1" w:history="1">
        <w:r w:rsidRPr="001D37B9">
          <w:rPr>
            <w:rStyle w:val="Hyperlink"/>
            <w:szCs w:val="18"/>
          </w:rPr>
          <w:t>http://www.who.int/mediacentre/factsheets/fs352/fr/</w:t>
        </w:r>
      </w:hyperlink>
      <w:r w:rsidRPr="001D37B9">
        <w:rPr>
          <w:szCs w:val="18"/>
        </w:rPr>
        <w:t>.</w:t>
      </w:r>
    </w:p>
  </w:footnote>
  <w:footnote w:id="6">
    <w:p w:rsidR="001522F8" w:rsidRPr="001D37B9" w:rsidRDefault="001522F8">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Id.</w:t>
      </w:r>
    </w:p>
  </w:footnote>
  <w:footnote w:id="7">
    <w:p w:rsidR="001522F8" w:rsidRPr="001D37B9" w:rsidRDefault="001522F8">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Id.</w:t>
      </w:r>
    </w:p>
  </w:footnote>
  <w:footnote w:id="8">
    <w:p w:rsidR="001522F8" w:rsidRPr="001D37B9" w:rsidRDefault="001522F8" w:rsidP="00C4000D">
      <w:pPr>
        <w:rPr>
          <w:sz w:val="18"/>
          <w:szCs w:val="18"/>
        </w:rPr>
      </w:pPr>
      <w:r w:rsidRPr="001D37B9">
        <w:rPr>
          <w:rStyle w:val="FootnoteReference"/>
          <w:sz w:val="18"/>
          <w:szCs w:val="18"/>
        </w:rPr>
        <w:footnoteRef/>
      </w:r>
      <w:r w:rsidRPr="001D37B9">
        <w:rPr>
          <w:sz w:val="18"/>
          <w:szCs w:val="18"/>
        </w:rPr>
        <w:t xml:space="preserve"> </w:t>
      </w:r>
      <w:r w:rsidR="001D37B9">
        <w:rPr>
          <w:sz w:val="18"/>
          <w:szCs w:val="18"/>
        </w:rPr>
        <w:tab/>
      </w:r>
      <w:r w:rsidRPr="001D37B9">
        <w:rPr>
          <w:sz w:val="18"/>
          <w:szCs w:val="18"/>
        </w:rPr>
        <w:t>CDPH, supra, note 1, préambule.</w:t>
      </w:r>
    </w:p>
  </w:footnote>
  <w:footnote w:id="9">
    <w:p w:rsidR="001522F8" w:rsidRPr="001D37B9" w:rsidRDefault="001522F8" w:rsidP="00C4000D">
      <w:pPr>
        <w:rPr>
          <w:sz w:val="18"/>
          <w:szCs w:val="18"/>
        </w:rPr>
      </w:pPr>
      <w:r w:rsidRPr="001D37B9">
        <w:rPr>
          <w:rStyle w:val="FootnoteReference"/>
          <w:sz w:val="18"/>
          <w:szCs w:val="18"/>
        </w:rPr>
        <w:footnoteRef/>
      </w:r>
      <w:r w:rsidRPr="001D37B9">
        <w:rPr>
          <w:sz w:val="18"/>
          <w:szCs w:val="18"/>
        </w:rPr>
        <w:t xml:space="preserve"> </w:t>
      </w:r>
      <w:r w:rsidR="001D37B9">
        <w:rPr>
          <w:sz w:val="18"/>
          <w:szCs w:val="18"/>
        </w:rPr>
        <w:tab/>
      </w:r>
      <w:r w:rsidRPr="001D37B9">
        <w:rPr>
          <w:sz w:val="18"/>
          <w:szCs w:val="18"/>
        </w:rPr>
        <w:t>Voir</w:t>
      </w:r>
      <w:r w:rsidRPr="001D37B9">
        <w:rPr>
          <w:i/>
          <w:sz w:val="18"/>
          <w:szCs w:val="18"/>
        </w:rPr>
        <w:t xml:space="preserve"> </w:t>
      </w:r>
      <w:r w:rsidRPr="001D37B9">
        <w:rPr>
          <w:sz w:val="18"/>
          <w:szCs w:val="18"/>
        </w:rPr>
        <w:t xml:space="preserve">Marit Rasmussen et Oliver Lewis, </w:t>
      </w:r>
      <w:r w:rsidRPr="001D37B9">
        <w:rPr>
          <w:i/>
          <w:sz w:val="18"/>
          <w:szCs w:val="18"/>
        </w:rPr>
        <w:t>Introductory Note to the United Nations Convention on the Rights of Persons with Disabilities</w:t>
      </w:r>
      <w:r w:rsidRPr="001D37B9">
        <w:rPr>
          <w:sz w:val="18"/>
          <w:szCs w:val="18"/>
        </w:rPr>
        <w:t>, 46 I.L.M. 441 (2007).</w:t>
      </w:r>
    </w:p>
  </w:footnote>
  <w:footnote w:id="10">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t xml:space="preserve">Voir </w:t>
      </w:r>
      <w:hyperlink r:id="rId2" w:history="1">
        <w:r w:rsidRPr="001D37B9">
          <w:rPr>
            <w:rStyle w:val="Hyperlink"/>
            <w:szCs w:val="18"/>
          </w:rPr>
          <w:t>https://www.wipo.int/edocs/mdocs/copyright/</w:t>
        </w:r>
        <w:r w:rsidR="007802D9" w:rsidRPr="001D37B9">
          <w:rPr>
            <w:rStyle w:val="Hyperlink"/>
            <w:szCs w:val="18"/>
          </w:rPr>
          <w:t>fr</w:t>
        </w:r>
        <w:r w:rsidRPr="001D37B9">
          <w:rPr>
            <w:rStyle w:val="Hyperlink"/>
            <w:szCs w:val="18"/>
          </w:rPr>
          <w:t>/sccr_35/sccr_35_3_rev.pdf</w:t>
        </w:r>
      </w:hyperlink>
      <w:r w:rsidR="001D37B9">
        <w:rPr>
          <w:szCs w:val="18"/>
        </w:rPr>
        <w:t>.</w:t>
      </w:r>
    </w:p>
  </w:footnote>
  <w:footnote w:id="11">
    <w:p w:rsidR="001522F8" w:rsidRPr="001D37B9" w:rsidRDefault="001522F8" w:rsidP="00281842">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Certains pays peuvent considérer les traités comme directement applicables.  Voir les réponses des États membres dans le tableau</w:t>
      </w:r>
      <w:r w:rsidR="009058D1" w:rsidRPr="001D37B9">
        <w:rPr>
          <w:szCs w:val="18"/>
        </w:rPr>
        <w:t> </w:t>
      </w:r>
      <w:r w:rsidRPr="001D37B9">
        <w:rPr>
          <w:szCs w:val="18"/>
        </w:rPr>
        <w:t>6 de l</w:t>
      </w:r>
      <w:r w:rsidR="00F9633E">
        <w:rPr>
          <w:szCs w:val="18"/>
        </w:rPr>
        <w:t>’</w:t>
      </w:r>
      <w:r w:rsidRPr="001D37B9">
        <w:rPr>
          <w:szCs w:val="18"/>
        </w:rPr>
        <w:t xml:space="preserve">appendice. </w:t>
      </w:r>
      <w:r w:rsidR="002E22BD">
        <w:rPr>
          <w:szCs w:val="18"/>
        </w:rPr>
        <w:t xml:space="preserve"> </w:t>
      </w:r>
    </w:p>
  </w:footnote>
  <w:footnote w:id="12">
    <w:p w:rsidR="001522F8" w:rsidRPr="001D37B9" w:rsidRDefault="001522F8" w:rsidP="00C4000D">
      <w:pPr>
        <w:pStyle w:val="FootnoteText"/>
        <w:rPr>
          <w:szCs w:val="18"/>
        </w:rPr>
      </w:pPr>
      <w:r w:rsidRPr="001D37B9">
        <w:rPr>
          <w:szCs w:val="18"/>
          <w:vertAlign w:val="superscript"/>
        </w:rPr>
        <w:footnoteRef/>
      </w:r>
      <w:r w:rsidRPr="001D37B9">
        <w:rPr>
          <w:szCs w:val="18"/>
        </w:rPr>
        <w:t xml:space="preserve"> </w:t>
      </w:r>
      <w:r w:rsidR="001D37B9">
        <w:rPr>
          <w:szCs w:val="18"/>
        </w:rPr>
        <w:tab/>
      </w:r>
      <w:r w:rsidRPr="001D37B9">
        <w:rPr>
          <w:szCs w:val="18"/>
        </w:rPr>
        <w:t xml:space="preserve">Judith Sullivan, </w:t>
      </w:r>
      <w:r w:rsidRPr="001D37B9">
        <w:rPr>
          <w:i/>
          <w:szCs w:val="18"/>
        </w:rPr>
        <w:t>Study on Copyright Limitations and Exceptions for the Visually Impaired</w:t>
      </w:r>
      <w:r w:rsidRPr="001D37B9">
        <w:rPr>
          <w:szCs w:val="18"/>
        </w:rPr>
        <w:t>, 16 (2006).</w:t>
      </w:r>
    </w:p>
  </w:footnote>
  <w:footnote w:id="13">
    <w:p w:rsidR="001522F8" w:rsidRPr="001D37B9" w:rsidRDefault="001522F8">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Tom Smionite, Machine Learning opens Up New Ways to Help People with Disabilities, MIT Technology Review (</w:t>
      </w:r>
      <w:r w:rsidR="001D37B9">
        <w:rPr>
          <w:szCs w:val="18"/>
        </w:rPr>
        <w:t>23 mars </w:t>
      </w:r>
      <w:r w:rsidRPr="001D37B9">
        <w:rPr>
          <w:szCs w:val="18"/>
        </w:rPr>
        <w:t xml:space="preserve">2017), </w:t>
      </w:r>
      <w:hyperlink r:id="rId3" w:history="1">
        <w:r w:rsidRPr="001D37B9">
          <w:rPr>
            <w:rStyle w:val="Hyperlink"/>
            <w:szCs w:val="18"/>
          </w:rPr>
          <w:t>https://www.technologyreview.com/s/603899/machine</w:t>
        </w:r>
        <w:r w:rsidR="00F9633E">
          <w:rPr>
            <w:rStyle w:val="Hyperlink"/>
            <w:szCs w:val="18"/>
          </w:rPr>
          <w:t>-</w:t>
        </w:r>
        <w:r w:rsidRPr="001D37B9">
          <w:rPr>
            <w:rStyle w:val="Hyperlink"/>
            <w:szCs w:val="18"/>
          </w:rPr>
          <w:t>learning</w:t>
        </w:r>
        <w:r w:rsidR="00F9633E">
          <w:rPr>
            <w:rStyle w:val="Hyperlink"/>
            <w:szCs w:val="18"/>
          </w:rPr>
          <w:t>-</w:t>
        </w:r>
        <w:r w:rsidRPr="001D37B9">
          <w:rPr>
            <w:rStyle w:val="Hyperlink"/>
            <w:szCs w:val="18"/>
          </w:rPr>
          <w:t>opens</w:t>
        </w:r>
        <w:r w:rsidR="00F9633E">
          <w:rPr>
            <w:rStyle w:val="Hyperlink"/>
            <w:szCs w:val="18"/>
          </w:rPr>
          <w:t>-</w:t>
        </w:r>
        <w:r w:rsidRPr="001D37B9">
          <w:rPr>
            <w:rStyle w:val="Hyperlink"/>
            <w:szCs w:val="18"/>
          </w:rPr>
          <w:t>up</w:t>
        </w:r>
        <w:r w:rsidR="00F9633E">
          <w:rPr>
            <w:rStyle w:val="Hyperlink"/>
            <w:szCs w:val="18"/>
          </w:rPr>
          <w:t>-</w:t>
        </w:r>
        <w:r w:rsidRPr="001D37B9">
          <w:rPr>
            <w:rStyle w:val="Hyperlink"/>
            <w:szCs w:val="18"/>
          </w:rPr>
          <w:t>new</w:t>
        </w:r>
        <w:r w:rsidR="00F9633E">
          <w:rPr>
            <w:rStyle w:val="Hyperlink"/>
            <w:szCs w:val="18"/>
          </w:rPr>
          <w:t>-</w:t>
        </w:r>
        <w:r w:rsidRPr="001D37B9">
          <w:rPr>
            <w:rStyle w:val="Hyperlink"/>
            <w:szCs w:val="18"/>
          </w:rPr>
          <w:t>ways</w:t>
        </w:r>
        <w:r w:rsidR="00F9633E">
          <w:rPr>
            <w:rStyle w:val="Hyperlink"/>
            <w:szCs w:val="18"/>
          </w:rPr>
          <w:t>-</w:t>
        </w:r>
        <w:r w:rsidRPr="001D37B9">
          <w:rPr>
            <w:rStyle w:val="Hyperlink"/>
            <w:szCs w:val="18"/>
          </w:rPr>
          <w:t>to</w:t>
        </w:r>
        <w:r w:rsidR="00F9633E">
          <w:rPr>
            <w:rStyle w:val="Hyperlink"/>
            <w:szCs w:val="18"/>
          </w:rPr>
          <w:t>-</w:t>
        </w:r>
        <w:r w:rsidRPr="001D37B9">
          <w:rPr>
            <w:rStyle w:val="Hyperlink"/>
            <w:szCs w:val="18"/>
          </w:rPr>
          <w:t>help</w:t>
        </w:r>
        <w:r w:rsidR="00F9633E">
          <w:rPr>
            <w:rStyle w:val="Hyperlink"/>
            <w:szCs w:val="18"/>
          </w:rPr>
          <w:t>-</w:t>
        </w:r>
        <w:r w:rsidRPr="001D37B9">
          <w:rPr>
            <w:rStyle w:val="Hyperlink"/>
            <w:szCs w:val="18"/>
          </w:rPr>
          <w:t>disabled</w:t>
        </w:r>
        <w:r w:rsidR="00F9633E">
          <w:rPr>
            <w:rStyle w:val="Hyperlink"/>
            <w:szCs w:val="18"/>
          </w:rPr>
          <w:t>-</w:t>
        </w:r>
        <w:r w:rsidRPr="001D37B9">
          <w:rPr>
            <w:rStyle w:val="Hyperlink"/>
            <w:szCs w:val="18"/>
          </w:rPr>
          <w:t>people/</w:t>
        </w:r>
      </w:hyperlink>
      <w:r w:rsidR="001D37B9">
        <w:rPr>
          <w:szCs w:val="18"/>
        </w:rPr>
        <w:t>.</w:t>
      </w:r>
    </w:p>
  </w:footnote>
  <w:footnote w:id="14">
    <w:p w:rsidR="001522F8" w:rsidRPr="001D37B9" w:rsidRDefault="001522F8">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 xml:space="preserve">Joe Chidzik, 5 Ways AI Could Transform Digital Accessibility, </w:t>
      </w:r>
      <w:hyperlink r:id="rId4" w:history="1">
        <w:r w:rsidRPr="001D37B9">
          <w:rPr>
            <w:rStyle w:val="Hyperlink"/>
            <w:szCs w:val="18"/>
          </w:rPr>
          <w:t>https://www.abilitynet.org.uk/news</w:t>
        </w:r>
        <w:r w:rsidR="00F9633E">
          <w:rPr>
            <w:rStyle w:val="Hyperlink"/>
            <w:szCs w:val="18"/>
          </w:rPr>
          <w:t>-</w:t>
        </w:r>
        <w:r w:rsidRPr="001D37B9">
          <w:rPr>
            <w:rStyle w:val="Hyperlink"/>
            <w:szCs w:val="18"/>
          </w:rPr>
          <w:t>blogs/5</w:t>
        </w:r>
        <w:r w:rsidR="00F9633E">
          <w:rPr>
            <w:rStyle w:val="Hyperlink"/>
            <w:szCs w:val="18"/>
          </w:rPr>
          <w:t>-</w:t>
        </w:r>
        <w:r w:rsidRPr="001D37B9">
          <w:rPr>
            <w:rStyle w:val="Hyperlink"/>
            <w:szCs w:val="18"/>
          </w:rPr>
          <w:t>ways</w:t>
        </w:r>
        <w:r w:rsidR="00F9633E">
          <w:rPr>
            <w:rStyle w:val="Hyperlink"/>
            <w:szCs w:val="18"/>
          </w:rPr>
          <w:t>-</w:t>
        </w:r>
        <w:r w:rsidRPr="001D37B9">
          <w:rPr>
            <w:rStyle w:val="Hyperlink"/>
            <w:szCs w:val="18"/>
          </w:rPr>
          <w:t>ai</w:t>
        </w:r>
        <w:r w:rsidR="00F9633E">
          <w:rPr>
            <w:rStyle w:val="Hyperlink"/>
            <w:szCs w:val="18"/>
          </w:rPr>
          <w:t>-</w:t>
        </w:r>
        <w:r w:rsidRPr="001D37B9">
          <w:rPr>
            <w:rStyle w:val="Hyperlink"/>
            <w:szCs w:val="18"/>
          </w:rPr>
          <w:t>could</w:t>
        </w:r>
        <w:r w:rsidR="00F9633E">
          <w:rPr>
            <w:rStyle w:val="Hyperlink"/>
            <w:szCs w:val="18"/>
          </w:rPr>
          <w:t>-</w:t>
        </w:r>
        <w:r w:rsidRPr="001D37B9">
          <w:rPr>
            <w:rStyle w:val="Hyperlink"/>
            <w:szCs w:val="18"/>
          </w:rPr>
          <w:t>transform</w:t>
        </w:r>
        <w:r w:rsidR="00F9633E">
          <w:rPr>
            <w:rStyle w:val="Hyperlink"/>
            <w:szCs w:val="18"/>
          </w:rPr>
          <w:t>-</w:t>
        </w:r>
        <w:r w:rsidRPr="001D37B9">
          <w:rPr>
            <w:rStyle w:val="Hyperlink"/>
            <w:szCs w:val="18"/>
          </w:rPr>
          <w:t>digital</w:t>
        </w:r>
        <w:r w:rsidR="00F9633E">
          <w:rPr>
            <w:rStyle w:val="Hyperlink"/>
            <w:szCs w:val="18"/>
          </w:rPr>
          <w:t>-</w:t>
        </w:r>
        <w:r w:rsidRPr="001D37B9">
          <w:rPr>
            <w:rStyle w:val="Hyperlink"/>
            <w:szCs w:val="18"/>
          </w:rPr>
          <w:t>accessibility</w:t>
        </w:r>
      </w:hyperlink>
      <w:r w:rsidR="001D37B9">
        <w:rPr>
          <w:szCs w:val="18"/>
        </w:rPr>
        <w:t>.</w:t>
      </w:r>
    </w:p>
  </w:footnote>
  <w:footnote w:id="15">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bookmarkStart w:id="20" w:name="OLE_LINK24"/>
      <w:bookmarkStart w:id="21" w:name="OLE_LINK23"/>
      <w:r w:rsidR="001D37B9">
        <w:rPr>
          <w:szCs w:val="18"/>
        </w:rPr>
        <w:tab/>
      </w:r>
      <w:r w:rsidRPr="001D37B9">
        <w:rPr>
          <w:szCs w:val="18"/>
        </w:rPr>
        <w:t xml:space="preserve">Clayton Lewis, </w:t>
      </w:r>
      <w:r w:rsidRPr="001D37B9">
        <w:rPr>
          <w:i/>
          <w:szCs w:val="18"/>
          <w:lang w:eastAsia="en-US"/>
        </w:rPr>
        <w:t>Implications of Developments in Machine Learning for People with Cognitive Disabilities</w:t>
      </w:r>
      <w:bookmarkEnd w:id="20"/>
      <w:bookmarkEnd w:id="21"/>
      <w:r w:rsidRPr="001D37B9">
        <w:rPr>
          <w:szCs w:val="18"/>
          <w:lang w:eastAsia="en-US"/>
        </w:rPr>
        <w:t>, Coleman Institute for Cognitive Disabilities (</w:t>
      </w:r>
      <w:r w:rsidR="00F9633E">
        <w:rPr>
          <w:szCs w:val="18"/>
          <w:lang w:eastAsia="en-US"/>
        </w:rPr>
        <w:t>2 novembre </w:t>
      </w:r>
      <w:r w:rsidR="00F9633E" w:rsidRPr="001D37B9">
        <w:rPr>
          <w:szCs w:val="18"/>
          <w:lang w:eastAsia="en-US"/>
        </w:rPr>
        <w:t>20</w:t>
      </w:r>
      <w:r w:rsidRPr="001D37B9">
        <w:rPr>
          <w:szCs w:val="18"/>
          <w:lang w:eastAsia="en-US"/>
        </w:rPr>
        <w:t xml:space="preserve">18), </w:t>
      </w:r>
      <w:hyperlink r:id="rId5" w:history="1">
        <w:r w:rsidRPr="001D37B9">
          <w:rPr>
            <w:rStyle w:val="Hyperlink"/>
            <w:szCs w:val="18"/>
            <w:lang w:eastAsia="en-US"/>
          </w:rPr>
          <w:t>https://www.colemaninstitute.org/wp</w:t>
        </w:r>
        <w:r w:rsidR="00F9633E">
          <w:rPr>
            <w:rStyle w:val="Hyperlink"/>
            <w:szCs w:val="18"/>
            <w:lang w:eastAsia="en-US"/>
          </w:rPr>
          <w:t>-</w:t>
        </w:r>
        <w:r w:rsidRPr="001D37B9">
          <w:rPr>
            <w:rStyle w:val="Hyperlink"/>
            <w:szCs w:val="18"/>
            <w:lang w:eastAsia="en-US"/>
          </w:rPr>
          <w:t>content/uploads/2018/12/white</w:t>
        </w:r>
        <w:r w:rsidR="00F9633E">
          <w:rPr>
            <w:rStyle w:val="Hyperlink"/>
            <w:szCs w:val="18"/>
            <w:lang w:eastAsia="en-US"/>
          </w:rPr>
          <w:t>-</w:t>
        </w:r>
        <w:r w:rsidRPr="001D37B9">
          <w:rPr>
            <w:rStyle w:val="Hyperlink"/>
            <w:szCs w:val="18"/>
            <w:lang w:eastAsia="en-US"/>
          </w:rPr>
          <w:t>paper</w:t>
        </w:r>
        <w:r w:rsidR="00F9633E">
          <w:rPr>
            <w:rStyle w:val="Hyperlink"/>
            <w:szCs w:val="18"/>
            <w:lang w:eastAsia="en-US"/>
          </w:rPr>
          <w:t>-</w:t>
        </w:r>
        <w:r w:rsidRPr="001D37B9">
          <w:rPr>
            <w:rStyle w:val="Hyperlink"/>
            <w:szCs w:val="18"/>
            <w:lang w:eastAsia="en-US"/>
          </w:rPr>
          <w:t>coleman</w:t>
        </w:r>
        <w:r w:rsidR="00F9633E">
          <w:rPr>
            <w:rStyle w:val="Hyperlink"/>
            <w:szCs w:val="18"/>
            <w:lang w:eastAsia="en-US"/>
          </w:rPr>
          <w:t>-</w:t>
        </w:r>
        <w:r w:rsidRPr="001D37B9">
          <w:rPr>
            <w:rStyle w:val="Hyperlink"/>
            <w:szCs w:val="18"/>
            <w:lang w:eastAsia="en-US"/>
          </w:rPr>
          <w:t>version</w:t>
        </w:r>
        <w:r w:rsidR="00F9633E">
          <w:rPr>
            <w:rStyle w:val="Hyperlink"/>
            <w:szCs w:val="18"/>
            <w:lang w:eastAsia="en-US"/>
          </w:rPr>
          <w:t>-</w:t>
        </w:r>
        <w:r w:rsidRPr="001D37B9">
          <w:rPr>
            <w:rStyle w:val="Hyperlink"/>
            <w:szCs w:val="18"/>
            <w:lang w:eastAsia="en-US"/>
          </w:rPr>
          <w:t>1.pdf</w:t>
        </w:r>
      </w:hyperlink>
      <w:r w:rsidRPr="001D37B9">
        <w:rPr>
          <w:szCs w:val="18"/>
          <w:lang w:eastAsia="en-US"/>
        </w:rPr>
        <w:t>.</w:t>
      </w:r>
    </w:p>
  </w:footnote>
  <w:footnote w:id="16">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 xml:space="preserve">Id. </w:t>
      </w:r>
      <w:r w:rsidR="002E22BD">
        <w:rPr>
          <w:szCs w:val="18"/>
        </w:rPr>
        <w:t xml:space="preserve"> </w:t>
      </w:r>
    </w:p>
  </w:footnote>
  <w:footnote w:id="17">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 xml:space="preserve">Loi </w:t>
      </w:r>
      <w:r w:rsidR="00F9633E" w:rsidRPr="001D37B9">
        <w:rPr>
          <w:szCs w:val="18"/>
        </w:rPr>
        <w:t>de</w:t>
      </w:r>
      <w:r w:rsidR="00F9633E">
        <w:rPr>
          <w:szCs w:val="18"/>
        </w:rPr>
        <w:t> </w:t>
      </w:r>
      <w:r w:rsidR="00F9633E" w:rsidRPr="001D37B9">
        <w:rPr>
          <w:szCs w:val="18"/>
        </w:rPr>
        <w:t>1968</w:t>
      </w:r>
      <w:r w:rsidRPr="001D37B9">
        <w:rPr>
          <w:szCs w:val="18"/>
        </w:rPr>
        <w:t xml:space="preserve"> sur le droit d</w:t>
      </w:r>
      <w:r w:rsidR="00F9633E">
        <w:rPr>
          <w:szCs w:val="18"/>
        </w:rPr>
        <w:t>’</w:t>
      </w:r>
      <w:r w:rsidRPr="001D37B9">
        <w:rPr>
          <w:szCs w:val="18"/>
        </w:rPr>
        <w:t>auteur (codifiée à compter du</w:t>
      </w:r>
      <w:r w:rsidR="00F9633E">
        <w:rPr>
          <w:szCs w:val="18"/>
        </w:rPr>
        <w:t xml:space="preserve"> 1</w:t>
      </w:r>
      <w:r w:rsidR="00F9633E" w:rsidRPr="00F9633E">
        <w:rPr>
          <w:szCs w:val="18"/>
          <w:vertAlign w:val="superscript"/>
        </w:rPr>
        <w:t>er</w:t>
      </w:r>
      <w:r w:rsidR="00F9633E">
        <w:rPr>
          <w:szCs w:val="18"/>
        </w:rPr>
        <w:t> </w:t>
      </w:r>
      <w:r w:rsidRPr="001D37B9">
        <w:rPr>
          <w:szCs w:val="18"/>
        </w:rPr>
        <w:t>janvier 2019) disponible à l</w:t>
      </w:r>
      <w:r w:rsidR="00F9633E">
        <w:rPr>
          <w:szCs w:val="18"/>
        </w:rPr>
        <w:t>’</w:t>
      </w:r>
      <w:r w:rsidRPr="001D37B9">
        <w:rPr>
          <w:szCs w:val="18"/>
        </w:rPr>
        <w:t xml:space="preserve">adresse </w:t>
      </w:r>
      <w:hyperlink r:id="rId6" w:history="1">
        <w:r w:rsidR="001D37B9" w:rsidRPr="001D37B9">
          <w:rPr>
            <w:rStyle w:val="Hyperlink"/>
            <w:szCs w:val="18"/>
          </w:rPr>
          <w:t>https://wipolex.wipo.int/fr/text/501166</w:t>
        </w:r>
      </w:hyperlink>
      <w:r w:rsidR="001D37B9">
        <w:rPr>
          <w:szCs w:val="18"/>
        </w:rPr>
        <w:t>.</w:t>
      </w:r>
    </w:p>
  </w:footnote>
  <w:footnote w:id="18">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Loi de la République d</w:t>
      </w:r>
      <w:r w:rsidR="00F9633E">
        <w:rPr>
          <w:szCs w:val="18"/>
        </w:rPr>
        <w:t>’</w:t>
      </w:r>
      <w:r w:rsidRPr="001D37B9">
        <w:rPr>
          <w:szCs w:val="18"/>
        </w:rPr>
        <w:t>Arménie du 15 juin 2006 sur le droit d</w:t>
      </w:r>
      <w:r w:rsidR="00F9633E">
        <w:rPr>
          <w:szCs w:val="18"/>
        </w:rPr>
        <w:t>’</w:t>
      </w:r>
      <w:r w:rsidRPr="001D37B9">
        <w:rPr>
          <w:szCs w:val="18"/>
        </w:rPr>
        <w:t>auteur et les droits connexes (telle que modifiée le 30 septembre 2013), disponible à l</w:t>
      </w:r>
      <w:r w:rsidR="00F9633E">
        <w:rPr>
          <w:szCs w:val="18"/>
        </w:rPr>
        <w:t>’</w:t>
      </w:r>
      <w:r w:rsidRPr="001D37B9">
        <w:rPr>
          <w:szCs w:val="18"/>
        </w:rPr>
        <w:t xml:space="preserve">adresse </w:t>
      </w:r>
      <w:hyperlink r:id="rId7" w:history="1">
        <w:r w:rsidR="001D37B9" w:rsidRPr="001D37B9">
          <w:rPr>
            <w:rStyle w:val="Hyperlink"/>
            <w:szCs w:val="18"/>
          </w:rPr>
          <w:t>https://wipolex.wipo.int/fr/text/490086</w:t>
        </w:r>
      </w:hyperlink>
      <w:r w:rsidR="001D37B9">
        <w:rPr>
          <w:szCs w:val="18"/>
        </w:rPr>
        <w:t>.</w:t>
      </w:r>
    </w:p>
  </w:footnote>
  <w:footnote w:id="19">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szCs w:val="18"/>
        </w:rPr>
        <w:t>17 U.S.C. § 107.</w:t>
      </w:r>
    </w:p>
  </w:footnote>
  <w:footnote w:id="20">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1D37B9">
        <w:rPr>
          <w:szCs w:val="18"/>
        </w:rPr>
        <w:tab/>
      </w:r>
      <w:r w:rsidRPr="001D37B9">
        <w:rPr>
          <w:i/>
          <w:szCs w:val="18"/>
        </w:rPr>
        <w:t xml:space="preserve">Golan </w:t>
      </w:r>
      <w:r w:rsidR="00EC5D18" w:rsidRPr="00EC5D18">
        <w:rPr>
          <w:szCs w:val="18"/>
        </w:rPr>
        <w:t>c</w:t>
      </w:r>
      <w:r w:rsidRPr="00146784">
        <w:rPr>
          <w:i/>
        </w:rPr>
        <w:t>.</w:t>
      </w:r>
      <w:r w:rsidR="00136CA9">
        <w:rPr>
          <w:i/>
          <w:szCs w:val="18"/>
        </w:rPr>
        <w:t> </w:t>
      </w:r>
      <w:r w:rsidRPr="001D37B9">
        <w:rPr>
          <w:i/>
          <w:szCs w:val="18"/>
        </w:rPr>
        <w:t>Holder</w:t>
      </w:r>
      <w:r w:rsidRPr="001D37B9">
        <w:rPr>
          <w:szCs w:val="18"/>
        </w:rPr>
        <w:t xml:space="preserve">, 565 U.S. 302, 328 (2012) (citant </w:t>
      </w:r>
      <w:r w:rsidRPr="001D37B9">
        <w:rPr>
          <w:i/>
          <w:szCs w:val="18"/>
        </w:rPr>
        <w:t xml:space="preserve">Eldred </w:t>
      </w:r>
      <w:r w:rsidR="00EC5D18" w:rsidRPr="00EC5D18">
        <w:rPr>
          <w:szCs w:val="18"/>
        </w:rPr>
        <w:t>c</w:t>
      </w:r>
      <w:r w:rsidRPr="00146784">
        <w:rPr>
          <w:i/>
        </w:rPr>
        <w:t>.</w:t>
      </w:r>
      <w:r w:rsidR="00136CA9">
        <w:rPr>
          <w:i/>
          <w:szCs w:val="18"/>
        </w:rPr>
        <w:t> </w:t>
      </w:r>
      <w:r w:rsidRPr="001D37B9">
        <w:rPr>
          <w:i/>
          <w:szCs w:val="18"/>
        </w:rPr>
        <w:t>Ashcroft</w:t>
      </w:r>
      <w:r w:rsidRPr="001D37B9">
        <w:rPr>
          <w:szCs w:val="18"/>
        </w:rPr>
        <w:t>, 537 U.S. 186, 219 (2003)).</w:t>
      </w:r>
    </w:p>
  </w:footnote>
  <w:footnote w:id="21">
    <w:p w:rsidR="006D255F" w:rsidRDefault="006D255F">
      <w:pPr>
        <w:pStyle w:val="FootnoteText"/>
      </w:pPr>
      <w:r>
        <w:rPr>
          <w:rStyle w:val="FootnoteReference"/>
        </w:rPr>
        <w:footnoteRef/>
      </w:r>
      <w:r>
        <w:t xml:space="preserve"> </w:t>
      </w:r>
      <w:r>
        <w:tab/>
      </w:r>
      <w:r>
        <w:rPr>
          <w:i/>
        </w:rPr>
        <w:t>HathiTrust</w:t>
      </w:r>
      <w:r>
        <w:t>, 755 F.3d at 101-03.</w:t>
      </w:r>
    </w:p>
  </w:footnote>
  <w:footnote w:id="22">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17 U.S.C. §§ 121, 121A.</w:t>
      </w:r>
    </w:p>
  </w:footnote>
  <w:footnote w:id="23">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P.L. 104–197, 110 Stat. 2394 (16 septembre 1996).</w:t>
      </w:r>
    </w:p>
  </w:footnote>
  <w:footnote w:id="24">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Loi portant mise en œuvre du Traité de Marrakech, P.L. 115</w:t>
      </w:r>
      <w:r w:rsidR="00F9633E">
        <w:rPr>
          <w:szCs w:val="18"/>
        </w:rPr>
        <w:t>-</w:t>
      </w:r>
      <w:r w:rsidRPr="001D37B9">
        <w:rPr>
          <w:szCs w:val="18"/>
        </w:rPr>
        <w:t>261, 132 Stat. 3667 (9 octobre 2018).</w:t>
      </w:r>
    </w:p>
  </w:footnote>
  <w:footnote w:id="25">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Loi sur le droit d</w:t>
      </w:r>
      <w:r w:rsidR="00F9633E">
        <w:rPr>
          <w:szCs w:val="18"/>
        </w:rPr>
        <w:t>’</w:t>
      </w:r>
      <w:r w:rsidRPr="001D37B9">
        <w:rPr>
          <w:szCs w:val="18"/>
        </w:rPr>
        <w:t xml:space="preserve">auteur </w:t>
      </w:r>
      <w:r w:rsidR="00F9633E" w:rsidRPr="001D37B9">
        <w:rPr>
          <w:szCs w:val="18"/>
        </w:rPr>
        <w:t>de</w:t>
      </w:r>
      <w:r w:rsidR="00F9633E">
        <w:rPr>
          <w:szCs w:val="18"/>
        </w:rPr>
        <w:t> </w:t>
      </w:r>
      <w:r w:rsidR="00F9633E" w:rsidRPr="001D37B9">
        <w:rPr>
          <w:szCs w:val="18"/>
        </w:rPr>
        <w:t>2007</w:t>
      </w:r>
      <w:r w:rsidRPr="001D37B9">
        <w:rPr>
          <w:szCs w:val="18"/>
        </w:rPr>
        <w:t xml:space="preserve"> (telle que modifiée le 28 juillet 2011) disponible à l</w:t>
      </w:r>
      <w:r w:rsidR="00F9633E">
        <w:rPr>
          <w:szCs w:val="18"/>
        </w:rPr>
        <w:t>’</w:t>
      </w:r>
      <w:r w:rsidRPr="001D37B9">
        <w:rPr>
          <w:szCs w:val="18"/>
        </w:rPr>
        <w:t xml:space="preserve">adresse </w:t>
      </w:r>
      <w:hyperlink r:id="rId8" w:history="1">
        <w:r w:rsidR="00EC5D18" w:rsidRPr="00EC5D18">
          <w:rPr>
            <w:rStyle w:val="Hyperlink"/>
            <w:szCs w:val="18"/>
          </w:rPr>
          <w:t>https://wipolex.wipo.int/fr/text/495410</w:t>
        </w:r>
      </w:hyperlink>
      <w:r w:rsidRPr="001D37B9">
        <w:rPr>
          <w:szCs w:val="18"/>
        </w:rPr>
        <w:t xml:space="preserve"> et modifiée par la </w:t>
      </w:r>
      <w:r w:rsidR="00EC5D18" w:rsidRPr="001D37B9">
        <w:rPr>
          <w:szCs w:val="18"/>
        </w:rPr>
        <w:t xml:space="preserve">loi </w:t>
      </w:r>
      <w:r w:rsidRPr="001D37B9">
        <w:rPr>
          <w:szCs w:val="18"/>
        </w:rPr>
        <w:t>n° 5774</w:t>
      </w:r>
      <w:r w:rsidR="00F9633E">
        <w:rPr>
          <w:szCs w:val="18"/>
        </w:rPr>
        <w:t>-</w:t>
      </w:r>
      <w:r w:rsidRPr="001D37B9">
        <w:rPr>
          <w:szCs w:val="18"/>
        </w:rPr>
        <w:t>2014 visant à rendre les œuvres, les représentations et les émissions accessibles aux personnes handicapées (modifications législatives) disponible à l</w:t>
      </w:r>
      <w:r w:rsidR="00F9633E">
        <w:rPr>
          <w:szCs w:val="18"/>
        </w:rPr>
        <w:t>’</w:t>
      </w:r>
      <w:r w:rsidRPr="001D37B9">
        <w:rPr>
          <w:szCs w:val="18"/>
        </w:rPr>
        <w:t xml:space="preserve">adresse </w:t>
      </w:r>
      <w:hyperlink r:id="rId9" w:history="1">
        <w:r w:rsidRPr="00EC5D18">
          <w:rPr>
            <w:rStyle w:val="Hyperlink"/>
            <w:szCs w:val="18"/>
          </w:rPr>
          <w:t>http://www.wipo.int/edocs/lexdocs/laws/en/il/il035en.pdf</w:t>
        </w:r>
      </w:hyperlink>
      <w:r w:rsidR="00EC5D18">
        <w:rPr>
          <w:szCs w:val="18"/>
        </w:rPr>
        <w:t>.</w:t>
      </w:r>
    </w:p>
  </w:footnote>
  <w:footnote w:id="26">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00F9633E" w:rsidRPr="001D37B9">
        <w:rPr>
          <w:szCs w:val="18"/>
        </w:rPr>
        <w:t>Article</w:t>
      </w:r>
      <w:r w:rsidR="00F9633E">
        <w:rPr>
          <w:szCs w:val="18"/>
        </w:rPr>
        <w:t> </w:t>
      </w:r>
      <w:r w:rsidR="00F9633E" w:rsidRPr="001D37B9">
        <w:rPr>
          <w:szCs w:val="18"/>
        </w:rPr>
        <w:t>3</w:t>
      </w:r>
      <w:r w:rsidRPr="001D37B9">
        <w:rPr>
          <w:szCs w:val="18"/>
        </w:rPr>
        <w:t>6 de la loi argentine n° 11.723 du 28 septembre 1933 sur le système juridique de la propriété intellectuelle (loi sur le droit d</w:t>
      </w:r>
      <w:r w:rsidR="00F9633E">
        <w:rPr>
          <w:szCs w:val="18"/>
        </w:rPr>
        <w:t>’</w:t>
      </w:r>
      <w:r w:rsidRPr="001D37B9">
        <w:rPr>
          <w:szCs w:val="18"/>
        </w:rPr>
        <w:t>auteur, modifiée jusqu</w:t>
      </w:r>
      <w:r w:rsidR="00F9633E">
        <w:rPr>
          <w:szCs w:val="18"/>
        </w:rPr>
        <w:t>’</w:t>
      </w:r>
      <w:r w:rsidRPr="001D37B9">
        <w:rPr>
          <w:szCs w:val="18"/>
        </w:rPr>
        <w:t>à la loi n° 26.570 du 25 novembre 2009)</w:t>
      </w:r>
    </w:p>
  </w:footnote>
  <w:footnote w:id="27">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00F9633E" w:rsidRPr="001D37B9">
        <w:rPr>
          <w:szCs w:val="18"/>
        </w:rPr>
        <w:t>Article</w:t>
      </w:r>
      <w:r w:rsidR="00F9633E">
        <w:rPr>
          <w:szCs w:val="18"/>
        </w:rPr>
        <w:t> </w:t>
      </w:r>
      <w:r w:rsidR="00F9633E" w:rsidRPr="001D37B9">
        <w:rPr>
          <w:szCs w:val="18"/>
        </w:rPr>
        <w:t>2</w:t>
      </w:r>
      <w:r w:rsidRPr="001D37B9">
        <w:rPr>
          <w:szCs w:val="18"/>
        </w:rPr>
        <w:t>2 de la Loi de la République d</w:t>
      </w:r>
      <w:r w:rsidR="00F9633E">
        <w:rPr>
          <w:szCs w:val="18"/>
        </w:rPr>
        <w:t>’</w:t>
      </w:r>
      <w:r w:rsidRPr="001D37B9">
        <w:rPr>
          <w:szCs w:val="18"/>
        </w:rPr>
        <w:t>Arménie du 15 juin 2006 sur le droit d</w:t>
      </w:r>
      <w:r w:rsidR="00F9633E">
        <w:rPr>
          <w:szCs w:val="18"/>
        </w:rPr>
        <w:t>’</w:t>
      </w:r>
      <w:r w:rsidRPr="001D37B9">
        <w:rPr>
          <w:szCs w:val="18"/>
        </w:rPr>
        <w:t>auteur et les droits connexes (telle que modifiée le 30 septembre 2013), disponible à l</w:t>
      </w:r>
      <w:r w:rsidR="00F9633E">
        <w:rPr>
          <w:szCs w:val="18"/>
        </w:rPr>
        <w:t>’</w:t>
      </w:r>
      <w:r w:rsidRPr="001D37B9">
        <w:rPr>
          <w:szCs w:val="18"/>
        </w:rPr>
        <w:t xml:space="preserve">adresse </w:t>
      </w:r>
      <w:hyperlink r:id="rId10" w:history="1">
        <w:r w:rsidR="00EC5D18" w:rsidRPr="00EC5D18">
          <w:rPr>
            <w:rStyle w:val="Hyperlink"/>
            <w:szCs w:val="18"/>
          </w:rPr>
          <w:t>https://wipolex.wipo.int/fr/text/490086</w:t>
        </w:r>
      </w:hyperlink>
      <w:r w:rsidRPr="001D37B9">
        <w:rPr>
          <w:szCs w:val="18"/>
        </w:rPr>
        <w:t>.  Cette section a trait à l</w:t>
      </w:r>
      <w:r w:rsidR="00F9633E">
        <w:rPr>
          <w:szCs w:val="18"/>
        </w:rPr>
        <w:t>’</w:t>
      </w:r>
      <w:r w:rsidRPr="001D37B9">
        <w:rPr>
          <w:szCs w:val="18"/>
        </w:rPr>
        <w:t>utilisation gratuite du matériel par les personnes aveugles.</w:t>
      </w:r>
    </w:p>
  </w:footnote>
  <w:footnote w:id="28">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Article 52.1) (zb) (mise à la disposition des personnes handicapées d</w:t>
      </w:r>
      <w:r w:rsidR="00F9633E">
        <w:rPr>
          <w:szCs w:val="18"/>
        </w:rPr>
        <w:t>’</w:t>
      </w:r>
      <w:r w:rsidRPr="001D37B9">
        <w:rPr>
          <w:szCs w:val="18"/>
        </w:rPr>
        <w:t xml:space="preserve">œuvres en format accessible pour leur usage privé ou personnel, à des fins éducatives ou de recherche) et </w:t>
      </w:r>
      <w:r w:rsidR="00F9633E" w:rsidRPr="001D37B9">
        <w:rPr>
          <w:szCs w:val="18"/>
        </w:rPr>
        <w:t>article</w:t>
      </w:r>
      <w:r w:rsidR="00F9633E">
        <w:rPr>
          <w:szCs w:val="18"/>
        </w:rPr>
        <w:t> </w:t>
      </w:r>
      <w:r w:rsidR="00F9633E" w:rsidRPr="001D37B9">
        <w:rPr>
          <w:szCs w:val="18"/>
        </w:rPr>
        <w:t>3</w:t>
      </w:r>
      <w:r w:rsidRPr="001D37B9">
        <w:rPr>
          <w:szCs w:val="18"/>
        </w:rPr>
        <w:t>1B (licences obligatoires pour la production et la distribution d</w:t>
      </w:r>
      <w:r w:rsidR="00F9633E">
        <w:rPr>
          <w:szCs w:val="18"/>
        </w:rPr>
        <w:t>’</w:t>
      </w:r>
      <w:r w:rsidRPr="001D37B9">
        <w:rPr>
          <w:szCs w:val="18"/>
        </w:rPr>
        <w:t>œuvres en format accessible à toute autre fin contre paiement).</w:t>
      </w:r>
    </w:p>
  </w:footnote>
  <w:footnote w:id="29">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szCs w:val="18"/>
        </w:rPr>
        <w:t>Article 28A</w:t>
      </w:r>
      <w:r w:rsidR="00F9633E">
        <w:rPr>
          <w:szCs w:val="18"/>
        </w:rPr>
        <w:t>-</w:t>
      </w:r>
      <w:r w:rsidRPr="001D37B9">
        <w:rPr>
          <w:szCs w:val="18"/>
        </w:rPr>
        <w:t xml:space="preserve">E de la loi israélienne </w:t>
      </w:r>
      <w:r w:rsidR="00F9633E" w:rsidRPr="001D37B9">
        <w:rPr>
          <w:szCs w:val="18"/>
        </w:rPr>
        <w:t>de</w:t>
      </w:r>
      <w:r w:rsidR="00F9633E">
        <w:rPr>
          <w:szCs w:val="18"/>
        </w:rPr>
        <w:t> </w:t>
      </w:r>
      <w:r w:rsidR="00F9633E" w:rsidRPr="001D37B9">
        <w:rPr>
          <w:szCs w:val="18"/>
        </w:rPr>
        <w:t>2007</w:t>
      </w:r>
      <w:r w:rsidRPr="001D37B9">
        <w:rPr>
          <w:szCs w:val="18"/>
        </w:rPr>
        <w:t xml:space="preserve"> sur le droit d</w:t>
      </w:r>
      <w:r w:rsidR="00F9633E">
        <w:rPr>
          <w:szCs w:val="18"/>
        </w:rPr>
        <w:t>’</w:t>
      </w:r>
      <w:r w:rsidRPr="001D37B9">
        <w:rPr>
          <w:szCs w:val="18"/>
        </w:rPr>
        <w:t xml:space="preserve">auteur, introduit par les amendements </w:t>
      </w:r>
      <w:r w:rsidR="00F9633E" w:rsidRPr="001D37B9">
        <w:rPr>
          <w:szCs w:val="18"/>
        </w:rPr>
        <w:t>de</w:t>
      </w:r>
      <w:r w:rsidR="00F9633E">
        <w:rPr>
          <w:szCs w:val="18"/>
        </w:rPr>
        <w:t> </w:t>
      </w:r>
      <w:r w:rsidR="00F9633E" w:rsidRPr="001D37B9">
        <w:rPr>
          <w:szCs w:val="18"/>
        </w:rPr>
        <w:t>2014</w:t>
      </w:r>
      <w:r w:rsidRPr="001D37B9">
        <w:rPr>
          <w:szCs w:val="18"/>
        </w:rPr>
        <w:t xml:space="preserve"> (visant à rendre les œuvres, les représentations et les émissions accessibles aux personnes handicapées (modifications législatives), 2014), le Traité de Marrakech, la décision de la Cour suprême israélienne dans l</w:t>
      </w:r>
      <w:r w:rsidR="00F9633E">
        <w:rPr>
          <w:szCs w:val="18"/>
        </w:rPr>
        <w:t>’</w:t>
      </w:r>
      <w:r w:rsidRPr="001D37B9">
        <w:rPr>
          <w:szCs w:val="18"/>
        </w:rPr>
        <w:t xml:space="preserve">affaire HCJ 8536/11 </w:t>
      </w:r>
      <w:r w:rsidRPr="00EC5D18">
        <w:rPr>
          <w:i/>
          <w:szCs w:val="18"/>
        </w:rPr>
        <w:t>Bizchut – Centre israélien des droits de l</w:t>
      </w:r>
      <w:r w:rsidR="00F9633E">
        <w:rPr>
          <w:i/>
          <w:szCs w:val="18"/>
        </w:rPr>
        <w:t>’</w:t>
      </w:r>
      <w:r w:rsidRPr="00EC5D18">
        <w:rPr>
          <w:i/>
          <w:szCs w:val="18"/>
        </w:rPr>
        <w:t>homme</w:t>
      </w:r>
      <w:r w:rsidRPr="001D37B9">
        <w:rPr>
          <w:szCs w:val="18"/>
        </w:rPr>
        <w:t xml:space="preserve"> c</w:t>
      </w:r>
      <w:r w:rsidR="00EC5D18">
        <w:rPr>
          <w:szCs w:val="18"/>
        </w:rPr>
        <w:t>.</w:t>
      </w:r>
      <w:r w:rsidR="00136CA9">
        <w:rPr>
          <w:szCs w:val="18"/>
        </w:rPr>
        <w:t> </w:t>
      </w:r>
      <w:r w:rsidRPr="00EC5D18">
        <w:rPr>
          <w:i/>
          <w:szCs w:val="18"/>
        </w:rPr>
        <w:t>Ministère de l</w:t>
      </w:r>
      <w:r w:rsidR="00F9633E">
        <w:rPr>
          <w:i/>
          <w:szCs w:val="18"/>
        </w:rPr>
        <w:t>’</w:t>
      </w:r>
      <w:r w:rsidRPr="00EC5D18">
        <w:rPr>
          <w:i/>
          <w:szCs w:val="18"/>
        </w:rPr>
        <w:t>éducation</w:t>
      </w:r>
      <w:r w:rsidRPr="001D37B9">
        <w:rPr>
          <w:szCs w:val="18"/>
        </w:rPr>
        <w:t xml:space="preserve"> (1</w:t>
      </w:r>
      <w:r w:rsidR="00F9633E" w:rsidRPr="001D37B9">
        <w:rPr>
          <w:szCs w:val="18"/>
        </w:rPr>
        <w:t>9</w:t>
      </w:r>
      <w:r w:rsidR="00F9633E">
        <w:rPr>
          <w:szCs w:val="18"/>
        </w:rPr>
        <w:t> </w:t>
      </w:r>
      <w:r w:rsidR="00F9633E" w:rsidRPr="001D37B9">
        <w:rPr>
          <w:szCs w:val="18"/>
        </w:rPr>
        <w:t>décembre</w:t>
      </w:r>
      <w:r w:rsidR="00F9633E">
        <w:rPr>
          <w:szCs w:val="18"/>
        </w:rPr>
        <w:t> </w:t>
      </w:r>
      <w:r w:rsidR="00F9633E" w:rsidRPr="001D37B9">
        <w:rPr>
          <w:szCs w:val="18"/>
        </w:rPr>
        <w:t>20</w:t>
      </w:r>
      <w:r w:rsidRPr="001D37B9">
        <w:rPr>
          <w:szCs w:val="18"/>
        </w:rPr>
        <w:t xml:space="preserve">13) et la loi </w:t>
      </w:r>
      <w:r w:rsidR="00F9633E" w:rsidRPr="001D37B9">
        <w:rPr>
          <w:szCs w:val="18"/>
        </w:rPr>
        <w:t>de</w:t>
      </w:r>
      <w:r w:rsidR="00F9633E">
        <w:rPr>
          <w:szCs w:val="18"/>
        </w:rPr>
        <w:t> </w:t>
      </w:r>
      <w:r w:rsidR="00F9633E" w:rsidRPr="001D37B9">
        <w:rPr>
          <w:szCs w:val="18"/>
        </w:rPr>
        <w:t>1998</w:t>
      </w:r>
      <w:r w:rsidRPr="001D37B9">
        <w:rPr>
          <w:szCs w:val="18"/>
        </w:rPr>
        <w:t xml:space="preserve"> sur les droits des personnes handicapées à l</w:t>
      </w:r>
      <w:r w:rsidR="00F9633E">
        <w:rPr>
          <w:szCs w:val="18"/>
        </w:rPr>
        <w:t>’</w:t>
      </w:r>
      <w:r w:rsidRPr="001D37B9">
        <w:rPr>
          <w:szCs w:val="18"/>
        </w:rPr>
        <w:t>égalité</w:t>
      </w:r>
      <w:r w:rsidRPr="001D37B9">
        <w:rPr>
          <w:rFonts w:eastAsia="Times New Roman"/>
          <w:szCs w:val="18"/>
          <w:lang w:eastAsia="en-US"/>
        </w:rPr>
        <w:t>.</w:t>
      </w:r>
    </w:p>
  </w:footnote>
  <w:footnote w:id="30">
    <w:p w:rsidR="001522F8" w:rsidRPr="001D37B9" w:rsidRDefault="001522F8" w:rsidP="00C4000D">
      <w:pPr>
        <w:pStyle w:val="FootnoteText"/>
        <w:rPr>
          <w:szCs w:val="18"/>
          <w:lang w:val="en"/>
        </w:rPr>
      </w:pPr>
      <w:r w:rsidRPr="001D37B9">
        <w:rPr>
          <w:szCs w:val="18"/>
          <w:vertAlign w:val="superscript"/>
        </w:rPr>
        <w:footnoteRef/>
      </w:r>
      <w:r w:rsidRPr="001D37B9">
        <w:rPr>
          <w:szCs w:val="18"/>
        </w:rPr>
        <w:t xml:space="preserve"> </w:t>
      </w:r>
      <w:r w:rsidR="00EC5D18">
        <w:rPr>
          <w:szCs w:val="18"/>
        </w:rPr>
        <w:tab/>
      </w:r>
      <w:r w:rsidRPr="001D37B9">
        <w:rPr>
          <w:i/>
          <w:szCs w:val="18"/>
        </w:rPr>
        <w:t xml:space="preserve">Sony </w:t>
      </w:r>
      <w:r w:rsidRPr="001D37B9">
        <w:rPr>
          <w:szCs w:val="18"/>
        </w:rPr>
        <w:t>c</w:t>
      </w:r>
      <w:r w:rsidR="00EC5D18" w:rsidRPr="00146784">
        <w:rPr>
          <w:i/>
        </w:rPr>
        <w:t>.</w:t>
      </w:r>
      <w:r w:rsidR="00136CA9">
        <w:rPr>
          <w:i/>
          <w:szCs w:val="18"/>
        </w:rPr>
        <w:t> </w:t>
      </w:r>
      <w:r w:rsidRPr="001D37B9">
        <w:rPr>
          <w:i/>
          <w:szCs w:val="18"/>
        </w:rPr>
        <w:t>Universal City Studios</w:t>
      </w:r>
      <w:r w:rsidRPr="001D37B9">
        <w:rPr>
          <w:szCs w:val="18"/>
        </w:rPr>
        <w:t xml:space="preserve">, </w:t>
      </w:r>
      <w:bookmarkStart w:id="42" w:name="OLE_LINK8"/>
      <w:bookmarkStart w:id="43" w:name="OLE_LINK7"/>
      <w:r w:rsidRPr="001D37B9">
        <w:rPr>
          <w:szCs w:val="18"/>
        </w:rPr>
        <w:t>464 U.S. 417</w:t>
      </w:r>
      <w:bookmarkEnd w:id="42"/>
      <w:bookmarkEnd w:id="43"/>
      <w:r w:rsidRPr="001D37B9">
        <w:rPr>
          <w:szCs w:val="18"/>
        </w:rPr>
        <w:t xml:space="preserve"> (1984). </w:t>
      </w:r>
      <w:r w:rsidR="002E22BD">
        <w:rPr>
          <w:szCs w:val="18"/>
        </w:rPr>
        <w:t xml:space="preserve"> </w:t>
      </w:r>
    </w:p>
  </w:footnote>
  <w:footnote w:id="31">
    <w:p w:rsidR="001522F8" w:rsidRPr="001D37B9" w:rsidRDefault="001522F8" w:rsidP="00C4000D">
      <w:pPr>
        <w:pStyle w:val="FootnoteText"/>
        <w:rPr>
          <w:szCs w:val="18"/>
        </w:rPr>
      </w:pPr>
      <w:r w:rsidRPr="001D37B9">
        <w:rPr>
          <w:rStyle w:val="FootnoteReference"/>
          <w:szCs w:val="18"/>
        </w:rPr>
        <w:footnoteRef/>
      </w:r>
      <w:r w:rsidRPr="001D37B9">
        <w:rPr>
          <w:szCs w:val="18"/>
        </w:rPr>
        <w:t xml:space="preserve"> </w:t>
      </w:r>
      <w:r w:rsidR="00EC5D18">
        <w:rPr>
          <w:szCs w:val="18"/>
        </w:rPr>
        <w:tab/>
      </w:r>
      <w:r w:rsidRPr="001D37B9">
        <w:rPr>
          <w:i/>
          <w:szCs w:val="18"/>
        </w:rPr>
        <w:t>HathiTrust</w:t>
      </w:r>
      <w:r w:rsidRPr="001D37B9">
        <w:rPr>
          <w:szCs w:val="18"/>
        </w:rPr>
        <w:t xml:space="preserve">, </w:t>
      </w:r>
      <w:bookmarkStart w:id="44" w:name="OLE_LINK2"/>
      <w:bookmarkStart w:id="45" w:name="OLE_LINK1"/>
      <w:bookmarkStart w:id="46" w:name="OLE_LINK12"/>
      <w:bookmarkStart w:id="47" w:name="OLE_LINK11"/>
      <w:r w:rsidRPr="001D37B9">
        <w:rPr>
          <w:szCs w:val="18"/>
        </w:rPr>
        <w:t xml:space="preserve">755 F.3d </w:t>
      </w:r>
      <w:bookmarkEnd w:id="44"/>
      <w:bookmarkEnd w:id="45"/>
      <w:r w:rsidRPr="001D37B9">
        <w:rPr>
          <w:szCs w:val="18"/>
        </w:rPr>
        <w:t>at 101</w:t>
      </w:r>
      <w:r w:rsidR="00F9633E">
        <w:rPr>
          <w:szCs w:val="18"/>
        </w:rPr>
        <w:t>-</w:t>
      </w:r>
      <w:r w:rsidRPr="001D37B9">
        <w:rPr>
          <w:szCs w:val="18"/>
        </w:rPr>
        <w:t>03</w:t>
      </w:r>
      <w:bookmarkEnd w:id="46"/>
      <w:bookmarkEnd w:id="47"/>
      <w:r w:rsidRPr="001D37B9">
        <w:rPr>
          <w:szCs w:val="18"/>
        </w:rPr>
        <w:t>.</w:t>
      </w:r>
    </w:p>
  </w:footnote>
  <w:footnote w:id="32">
    <w:p w:rsidR="001522F8" w:rsidRPr="001D37B9" w:rsidRDefault="001522F8" w:rsidP="00C4000D">
      <w:pPr>
        <w:pStyle w:val="FootnoteText"/>
        <w:rPr>
          <w:noProof/>
          <w:color w:val="000000" w:themeColor="text1"/>
          <w:szCs w:val="18"/>
        </w:rPr>
      </w:pPr>
      <w:r w:rsidRPr="001D37B9">
        <w:rPr>
          <w:rStyle w:val="FootnoteReference"/>
          <w:szCs w:val="18"/>
        </w:rPr>
        <w:footnoteRef/>
      </w:r>
      <w:r w:rsidRPr="001D37B9">
        <w:rPr>
          <w:szCs w:val="18"/>
        </w:rPr>
        <w:t xml:space="preserve"> </w:t>
      </w:r>
      <w:r w:rsidR="00EC5D18">
        <w:rPr>
          <w:szCs w:val="18"/>
        </w:rPr>
        <w:tab/>
      </w:r>
      <w:r w:rsidRPr="001D37B9">
        <w:rPr>
          <w:noProof/>
          <w:color w:val="000000" w:themeColor="text1"/>
          <w:szCs w:val="18"/>
        </w:rPr>
        <w:t>Loi sur le droit d</w:t>
      </w:r>
      <w:r w:rsidR="00F9633E">
        <w:rPr>
          <w:noProof/>
          <w:color w:val="000000" w:themeColor="text1"/>
          <w:szCs w:val="18"/>
        </w:rPr>
        <w:t>’</w:t>
      </w:r>
      <w:r w:rsidRPr="001D37B9">
        <w:rPr>
          <w:noProof/>
          <w:color w:val="000000" w:themeColor="text1"/>
          <w:szCs w:val="18"/>
        </w:rPr>
        <w:t xml:space="preserve">auteur </w:t>
      </w:r>
      <w:r w:rsidR="00F9633E" w:rsidRPr="001D37B9">
        <w:rPr>
          <w:noProof/>
          <w:color w:val="000000" w:themeColor="text1"/>
          <w:szCs w:val="18"/>
        </w:rPr>
        <w:t>de</w:t>
      </w:r>
      <w:r w:rsidR="00F9633E">
        <w:rPr>
          <w:noProof/>
          <w:color w:val="000000" w:themeColor="text1"/>
          <w:szCs w:val="18"/>
        </w:rPr>
        <w:t> </w:t>
      </w:r>
      <w:r w:rsidR="00F9633E" w:rsidRPr="001D37B9">
        <w:rPr>
          <w:noProof/>
          <w:color w:val="000000" w:themeColor="text1"/>
          <w:szCs w:val="18"/>
        </w:rPr>
        <w:t>2007</w:t>
      </w:r>
      <w:r w:rsidRPr="001D37B9">
        <w:rPr>
          <w:noProof/>
          <w:color w:val="000000" w:themeColor="text1"/>
          <w:szCs w:val="18"/>
        </w:rPr>
        <w:t xml:space="preserve"> (telle que modifiée le 28 juillet 2011) disponible à l</w:t>
      </w:r>
      <w:r w:rsidR="00F9633E">
        <w:rPr>
          <w:noProof/>
          <w:color w:val="000000" w:themeColor="text1"/>
          <w:szCs w:val="18"/>
        </w:rPr>
        <w:t>’</w:t>
      </w:r>
      <w:r w:rsidRPr="001D37B9">
        <w:rPr>
          <w:noProof/>
          <w:color w:val="000000" w:themeColor="text1"/>
          <w:szCs w:val="18"/>
        </w:rPr>
        <w:t xml:space="preserve">adresse </w:t>
      </w:r>
      <w:hyperlink r:id="rId11" w:history="1">
        <w:r w:rsidR="00EC5D18" w:rsidRPr="00EC5D18">
          <w:rPr>
            <w:rStyle w:val="Hyperlink"/>
            <w:noProof/>
            <w:szCs w:val="18"/>
          </w:rPr>
          <w:t>https://wipolex.wipo.int/fr/text/495410</w:t>
        </w:r>
      </w:hyperlink>
      <w:r w:rsidRPr="001D37B9">
        <w:rPr>
          <w:noProof/>
          <w:color w:val="000000" w:themeColor="text1"/>
          <w:szCs w:val="18"/>
        </w:rPr>
        <w:t xml:space="preserve"> et modifiée par la </w:t>
      </w:r>
      <w:r w:rsidR="00EC5D18" w:rsidRPr="001D37B9">
        <w:rPr>
          <w:noProof/>
          <w:color w:val="000000" w:themeColor="text1"/>
          <w:szCs w:val="18"/>
        </w:rPr>
        <w:t xml:space="preserve">loi </w:t>
      </w:r>
      <w:r w:rsidRPr="001D37B9">
        <w:rPr>
          <w:noProof/>
          <w:color w:val="000000" w:themeColor="text1"/>
          <w:szCs w:val="18"/>
        </w:rPr>
        <w:t>n° 5774</w:t>
      </w:r>
      <w:r w:rsidR="00F9633E">
        <w:rPr>
          <w:noProof/>
          <w:color w:val="000000" w:themeColor="text1"/>
          <w:szCs w:val="18"/>
        </w:rPr>
        <w:t>-</w:t>
      </w:r>
      <w:r w:rsidRPr="001D37B9">
        <w:rPr>
          <w:noProof/>
          <w:color w:val="000000" w:themeColor="text1"/>
          <w:szCs w:val="18"/>
        </w:rPr>
        <w:t>2014 visant à rendre les œuvres, les représentations et les émissions accessibles aux personnes handicapées (modifications législatives) disponible à l</w:t>
      </w:r>
      <w:r w:rsidR="00F9633E">
        <w:rPr>
          <w:noProof/>
          <w:color w:val="000000" w:themeColor="text1"/>
          <w:szCs w:val="18"/>
        </w:rPr>
        <w:t>’</w:t>
      </w:r>
      <w:r w:rsidRPr="001D37B9">
        <w:rPr>
          <w:noProof/>
          <w:color w:val="000000" w:themeColor="text1"/>
          <w:szCs w:val="18"/>
        </w:rPr>
        <w:t xml:space="preserve">adresse </w:t>
      </w:r>
      <w:hyperlink r:id="rId12" w:history="1">
        <w:r w:rsidRPr="00EC5D18">
          <w:rPr>
            <w:rStyle w:val="Hyperlink"/>
            <w:noProof/>
            <w:szCs w:val="18"/>
          </w:rPr>
          <w:t>http://www.wipo.int/edocs/lexdocs/laws/en/il/il035en.pdf</w:t>
        </w:r>
      </w:hyperlink>
      <w:r w:rsidRPr="001D37B9">
        <w:rPr>
          <w:rStyle w:val="Hyperlink"/>
          <w:noProof/>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AB" w:rsidRDefault="00477EAB" w:rsidP="00477EAB">
    <w:pPr>
      <w:pStyle w:val="Header"/>
      <w:jc w:val="right"/>
    </w:pPr>
    <w:r>
      <w:t>SCCR/38/3</w:t>
    </w:r>
  </w:p>
  <w:p w:rsidR="00477EAB" w:rsidRDefault="00477EAB" w:rsidP="00477EAB">
    <w:pPr>
      <w:pStyle w:val="Header"/>
      <w:jc w:val="right"/>
    </w:pPr>
    <w:r>
      <w:t xml:space="preserve">page </w:t>
    </w:r>
    <w:r>
      <w:fldChar w:fldCharType="begin"/>
    </w:r>
    <w:r>
      <w:instrText xml:space="preserve"> PAGE   \* MERGEFORMAT </w:instrText>
    </w:r>
    <w:r>
      <w:fldChar w:fldCharType="separate"/>
    </w:r>
    <w:r w:rsidR="0084374B">
      <w:rPr>
        <w:noProof/>
      </w:rPr>
      <w:t>12</w:t>
    </w:r>
    <w:r>
      <w:rPr>
        <w:noProof/>
      </w:rPr>
      <w:fldChar w:fldCharType="end"/>
    </w:r>
  </w:p>
  <w:p w:rsidR="00477EAB" w:rsidRDefault="00477EAB" w:rsidP="00477EAB">
    <w:pPr>
      <w:pStyle w:val="Header"/>
      <w:jc w:val="right"/>
    </w:pPr>
  </w:p>
  <w:p w:rsidR="00477EAB" w:rsidRDefault="00477EAB" w:rsidP="00477E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63E08F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F1CEF"/>
    <w:multiLevelType w:val="multilevel"/>
    <w:tmpl w:val="2AFEC3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2177A5"/>
    <w:multiLevelType w:val="hybridMultilevel"/>
    <w:tmpl w:val="FAD44806"/>
    <w:lvl w:ilvl="0" w:tplc="A656C3CE">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C26D3D"/>
    <w:multiLevelType w:val="multilevel"/>
    <w:tmpl w:val="98A686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D627CF"/>
    <w:multiLevelType w:val="multilevel"/>
    <w:tmpl w:val="71A068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6427AB"/>
    <w:multiLevelType w:val="multilevel"/>
    <w:tmpl w:val="911C45E6"/>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8" w15:restartNumberingAfterBreak="0">
    <w:nsid w:val="398723A2"/>
    <w:multiLevelType w:val="multilevel"/>
    <w:tmpl w:val="710A2B4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9E5521F"/>
    <w:multiLevelType w:val="hybridMultilevel"/>
    <w:tmpl w:val="6AD87E0E"/>
    <w:lvl w:ilvl="0" w:tplc="5748E570">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271ABB"/>
    <w:multiLevelType w:val="multilevel"/>
    <w:tmpl w:val="5C244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100F20"/>
    <w:multiLevelType w:val="multilevel"/>
    <w:tmpl w:val="6C02E24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7769F8"/>
    <w:multiLevelType w:val="multilevel"/>
    <w:tmpl w:val="41FEFD0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9E662A"/>
    <w:multiLevelType w:val="multilevel"/>
    <w:tmpl w:val="3BB29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5141F3"/>
    <w:multiLevelType w:val="multilevel"/>
    <w:tmpl w:val="946C8C46"/>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691F0C64"/>
    <w:multiLevelType w:val="multilevel"/>
    <w:tmpl w:val="3878DD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B52F7E"/>
    <w:multiLevelType w:val="multilevel"/>
    <w:tmpl w:val="D24A12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0"/>
  </w:num>
  <w:num w:numId="3">
    <w:abstractNumId w:val="2"/>
  </w:num>
  <w:num w:numId="4">
    <w:abstractNumId w:val="16"/>
  </w:num>
  <w:num w:numId="5">
    <w:abstractNumId w:val="17"/>
  </w:num>
  <w:num w:numId="6">
    <w:abstractNumId w:val="4"/>
  </w:num>
  <w:num w:numId="7">
    <w:abstractNumId w:val="6"/>
  </w:num>
  <w:num w:numId="8">
    <w:abstractNumId w:val="7"/>
  </w:num>
  <w:num w:numId="9">
    <w:abstractNumId w:val="11"/>
  </w:num>
  <w:num w:numId="10">
    <w:abstractNumId w:val="9"/>
  </w:num>
  <w:num w:numId="11">
    <w:abstractNumId w:val="3"/>
  </w:num>
  <w:num w:numId="12">
    <w:abstractNumId w:val="0"/>
  </w:num>
  <w:num w:numId="13">
    <w:abstractNumId w:val="13"/>
  </w:num>
  <w:num w:numId="14">
    <w:abstractNumId w:val="1"/>
  </w:num>
  <w:num w:numId="15">
    <w:abstractNumId w:val="5"/>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567"/>
  <w:hyphenationZone w:val="425"/>
  <w:characterSpacingControl w:val="doNotCompress"/>
  <w:hdrShapeDefaults>
    <o:shapedefaults v:ext="edit" spidmax="337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53D5A"/>
    <w:rsid w:val="0002043B"/>
    <w:rsid w:val="00024032"/>
    <w:rsid w:val="00055157"/>
    <w:rsid w:val="000738A4"/>
    <w:rsid w:val="00083BC4"/>
    <w:rsid w:val="00087B53"/>
    <w:rsid w:val="000C3678"/>
    <w:rsid w:val="000C6FB7"/>
    <w:rsid w:val="000F3FF6"/>
    <w:rsid w:val="00114697"/>
    <w:rsid w:val="00117728"/>
    <w:rsid w:val="00136CA9"/>
    <w:rsid w:val="00146784"/>
    <w:rsid w:val="00147C7A"/>
    <w:rsid w:val="001522F8"/>
    <w:rsid w:val="001D37B9"/>
    <w:rsid w:val="001D70EE"/>
    <w:rsid w:val="002267BB"/>
    <w:rsid w:val="002318EF"/>
    <w:rsid w:val="00246774"/>
    <w:rsid w:val="0024788B"/>
    <w:rsid w:val="002716F5"/>
    <w:rsid w:val="00281842"/>
    <w:rsid w:val="00286038"/>
    <w:rsid w:val="0029658A"/>
    <w:rsid w:val="002C6E33"/>
    <w:rsid w:val="002E22BD"/>
    <w:rsid w:val="002E5E4C"/>
    <w:rsid w:val="002F1DB0"/>
    <w:rsid w:val="002F3303"/>
    <w:rsid w:val="002F3CEE"/>
    <w:rsid w:val="002F44B6"/>
    <w:rsid w:val="00302E93"/>
    <w:rsid w:val="003141B0"/>
    <w:rsid w:val="00317C8B"/>
    <w:rsid w:val="00322A7E"/>
    <w:rsid w:val="00343A3F"/>
    <w:rsid w:val="003447A5"/>
    <w:rsid w:val="003B251B"/>
    <w:rsid w:val="003C3941"/>
    <w:rsid w:val="003E070C"/>
    <w:rsid w:val="004109CE"/>
    <w:rsid w:val="00435AED"/>
    <w:rsid w:val="00477EAB"/>
    <w:rsid w:val="004B0797"/>
    <w:rsid w:val="004D1638"/>
    <w:rsid w:val="004D5B43"/>
    <w:rsid w:val="004D6B5A"/>
    <w:rsid w:val="00514590"/>
    <w:rsid w:val="00523592"/>
    <w:rsid w:val="00552181"/>
    <w:rsid w:val="005755E2"/>
    <w:rsid w:val="00575CB3"/>
    <w:rsid w:val="00576022"/>
    <w:rsid w:val="00596A61"/>
    <w:rsid w:val="005B3F09"/>
    <w:rsid w:val="005C7EAD"/>
    <w:rsid w:val="005E12D2"/>
    <w:rsid w:val="005E1E2D"/>
    <w:rsid w:val="005E70D0"/>
    <w:rsid w:val="00606DE2"/>
    <w:rsid w:val="006170ED"/>
    <w:rsid w:val="006351E1"/>
    <w:rsid w:val="0064359F"/>
    <w:rsid w:val="00660779"/>
    <w:rsid w:val="00677CE0"/>
    <w:rsid w:val="00680D79"/>
    <w:rsid w:val="006911BE"/>
    <w:rsid w:val="006B4E0D"/>
    <w:rsid w:val="006D255F"/>
    <w:rsid w:val="006D39E8"/>
    <w:rsid w:val="006E7EB6"/>
    <w:rsid w:val="006F6BCD"/>
    <w:rsid w:val="0072274D"/>
    <w:rsid w:val="0072714A"/>
    <w:rsid w:val="00751E9B"/>
    <w:rsid w:val="00755494"/>
    <w:rsid w:val="007568E4"/>
    <w:rsid w:val="00774F75"/>
    <w:rsid w:val="007802D9"/>
    <w:rsid w:val="007807F3"/>
    <w:rsid w:val="007862C0"/>
    <w:rsid w:val="00791359"/>
    <w:rsid w:val="00796ECB"/>
    <w:rsid w:val="007A7ECD"/>
    <w:rsid w:val="007B4424"/>
    <w:rsid w:val="008001C9"/>
    <w:rsid w:val="0083754F"/>
    <w:rsid w:val="0084003F"/>
    <w:rsid w:val="0084374B"/>
    <w:rsid w:val="0085441F"/>
    <w:rsid w:val="00876092"/>
    <w:rsid w:val="00892EE4"/>
    <w:rsid w:val="008B0B7B"/>
    <w:rsid w:val="008D76EA"/>
    <w:rsid w:val="008F1A4A"/>
    <w:rsid w:val="008F2710"/>
    <w:rsid w:val="009058D1"/>
    <w:rsid w:val="00953D5A"/>
    <w:rsid w:val="00972CE9"/>
    <w:rsid w:val="009745A6"/>
    <w:rsid w:val="009900B7"/>
    <w:rsid w:val="00991552"/>
    <w:rsid w:val="00991D53"/>
    <w:rsid w:val="009936E0"/>
    <w:rsid w:val="009A6BDA"/>
    <w:rsid w:val="009E22E2"/>
    <w:rsid w:val="009E7A53"/>
    <w:rsid w:val="009F2822"/>
    <w:rsid w:val="009F7C2C"/>
    <w:rsid w:val="00A47FD0"/>
    <w:rsid w:val="00A60798"/>
    <w:rsid w:val="00A86C34"/>
    <w:rsid w:val="00A96DB5"/>
    <w:rsid w:val="00AA0D84"/>
    <w:rsid w:val="00AB1294"/>
    <w:rsid w:val="00AB6D6D"/>
    <w:rsid w:val="00AB78B3"/>
    <w:rsid w:val="00AF4715"/>
    <w:rsid w:val="00AF7884"/>
    <w:rsid w:val="00B1038D"/>
    <w:rsid w:val="00B22DD6"/>
    <w:rsid w:val="00B305C0"/>
    <w:rsid w:val="00B3246D"/>
    <w:rsid w:val="00B3748B"/>
    <w:rsid w:val="00B42077"/>
    <w:rsid w:val="00B6402F"/>
    <w:rsid w:val="00B73F2B"/>
    <w:rsid w:val="00B7474A"/>
    <w:rsid w:val="00B93888"/>
    <w:rsid w:val="00BA1AAA"/>
    <w:rsid w:val="00BB7F98"/>
    <w:rsid w:val="00BD166C"/>
    <w:rsid w:val="00BF6B06"/>
    <w:rsid w:val="00C02069"/>
    <w:rsid w:val="00C30939"/>
    <w:rsid w:val="00C33543"/>
    <w:rsid w:val="00C4000D"/>
    <w:rsid w:val="00C4247B"/>
    <w:rsid w:val="00C54D98"/>
    <w:rsid w:val="00C55A2C"/>
    <w:rsid w:val="00C55B16"/>
    <w:rsid w:val="00C5765F"/>
    <w:rsid w:val="00C62CE0"/>
    <w:rsid w:val="00C64283"/>
    <w:rsid w:val="00C642F2"/>
    <w:rsid w:val="00C94DEF"/>
    <w:rsid w:val="00C96684"/>
    <w:rsid w:val="00CA79F8"/>
    <w:rsid w:val="00CC0CB6"/>
    <w:rsid w:val="00CC7392"/>
    <w:rsid w:val="00CD1487"/>
    <w:rsid w:val="00CD2012"/>
    <w:rsid w:val="00CD253F"/>
    <w:rsid w:val="00CD3421"/>
    <w:rsid w:val="00D108F2"/>
    <w:rsid w:val="00D16C6E"/>
    <w:rsid w:val="00D22A21"/>
    <w:rsid w:val="00D25BB2"/>
    <w:rsid w:val="00D25CC8"/>
    <w:rsid w:val="00D747A4"/>
    <w:rsid w:val="00D75D07"/>
    <w:rsid w:val="00D912B8"/>
    <w:rsid w:val="00DA33ED"/>
    <w:rsid w:val="00DB286C"/>
    <w:rsid w:val="00DB3313"/>
    <w:rsid w:val="00DC726D"/>
    <w:rsid w:val="00DD0CFD"/>
    <w:rsid w:val="00DE10D9"/>
    <w:rsid w:val="00DE5AC8"/>
    <w:rsid w:val="00DE64DA"/>
    <w:rsid w:val="00DF37C0"/>
    <w:rsid w:val="00E105DD"/>
    <w:rsid w:val="00E46906"/>
    <w:rsid w:val="00E47022"/>
    <w:rsid w:val="00EA3AC8"/>
    <w:rsid w:val="00EC1FFD"/>
    <w:rsid w:val="00EC5D18"/>
    <w:rsid w:val="00ED1C84"/>
    <w:rsid w:val="00ED601E"/>
    <w:rsid w:val="00F03155"/>
    <w:rsid w:val="00F23606"/>
    <w:rsid w:val="00F23F92"/>
    <w:rsid w:val="00F30CA7"/>
    <w:rsid w:val="00F416A1"/>
    <w:rsid w:val="00F463D1"/>
    <w:rsid w:val="00F476B7"/>
    <w:rsid w:val="00F47BC8"/>
    <w:rsid w:val="00F74AF3"/>
    <w:rsid w:val="00F85A83"/>
    <w:rsid w:val="00F92B20"/>
    <w:rsid w:val="00F95B66"/>
    <w:rsid w:val="00F9633E"/>
    <w:rsid w:val="00FC3C9F"/>
    <w:rsid w:val="00FC739A"/>
    <w:rsid w:val="00FF59B9"/>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9F882ED0-8E4D-45BF-87A8-06CA10D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EAB"/>
    <w:rPr>
      <w:rFonts w:ascii="Arial" w:eastAsia="SimSun" w:hAnsi="Arial" w:cs="Arial"/>
      <w:sz w:val="22"/>
      <w:lang w:val="fr-CH" w:eastAsia="zh-CN"/>
    </w:rPr>
  </w:style>
  <w:style w:type="paragraph" w:styleId="Heading1">
    <w:name w:val="heading 1"/>
    <w:basedOn w:val="Normal"/>
    <w:next w:val="Normal"/>
    <w:qFormat/>
    <w:rsid w:val="00477EAB"/>
    <w:pPr>
      <w:keepNext/>
      <w:spacing w:before="240" w:after="60"/>
      <w:outlineLvl w:val="0"/>
    </w:pPr>
    <w:rPr>
      <w:b/>
      <w:bCs/>
      <w:caps/>
      <w:kern w:val="32"/>
      <w:szCs w:val="32"/>
    </w:rPr>
  </w:style>
  <w:style w:type="paragraph" w:styleId="Heading2">
    <w:name w:val="heading 2"/>
    <w:basedOn w:val="Normal"/>
    <w:next w:val="Normal"/>
    <w:qFormat/>
    <w:rsid w:val="00477EAB"/>
    <w:pPr>
      <w:keepNext/>
      <w:spacing w:before="240" w:after="60"/>
      <w:outlineLvl w:val="1"/>
    </w:pPr>
    <w:rPr>
      <w:bCs/>
      <w:iCs/>
      <w:caps/>
      <w:szCs w:val="28"/>
    </w:rPr>
  </w:style>
  <w:style w:type="paragraph" w:styleId="Heading3">
    <w:name w:val="heading 3"/>
    <w:basedOn w:val="Normal"/>
    <w:next w:val="Normal"/>
    <w:qFormat/>
    <w:rsid w:val="00477EAB"/>
    <w:pPr>
      <w:keepNext/>
      <w:spacing w:before="240" w:after="60"/>
      <w:outlineLvl w:val="2"/>
    </w:pPr>
    <w:rPr>
      <w:bCs/>
      <w:szCs w:val="26"/>
      <w:u w:val="single"/>
    </w:rPr>
  </w:style>
  <w:style w:type="paragraph" w:styleId="Heading4">
    <w:name w:val="heading 4"/>
    <w:basedOn w:val="Normal"/>
    <w:next w:val="Normal"/>
    <w:qFormat/>
    <w:rsid w:val="00477EAB"/>
    <w:pPr>
      <w:keepNext/>
      <w:spacing w:before="240" w:after="60"/>
      <w:outlineLvl w:val="3"/>
    </w:pPr>
    <w:rPr>
      <w:bCs/>
      <w:i/>
      <w:szCs w:val="28"/>
    </w:rPr>
  </w:style>
  <w:style w:type="paragraph" w:styleId="Heading5">
    <w:name w:val="heading 5"/>
    <w:basedOn w:val="Normal"/>
    <w:next w:val="Normal"/>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semiHidden/>
    <w:rsid w:val="00477EAB"/>
    <w:rPr>
      <w:sz w:val="18"/>
    </w:rPr>
  </w:style>
  <w:style w:type="character" w:customStyle="1" w:styleId="CommentTextChar">
    <w:name w:val="Comment Text Char"/>
    <w:basedOn w:val="DefaultParagraphFont"/>
    <w:link w:val="CommentText"/>
    <w:semiHidden/>
    <w:rPr>
      <w:rFonts w:ascii="Arial" w:eastAsia="SimSun" w:hAnsi="Arial" w:cs="Arial"/>
      <w:sz w:val="18"/>
      <w:lang w:val="fr-CH" w:eastAsia="zh-CN"/>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7C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7CE0"/>
    <w:rPr>
      <w:rFonts w:ascii="Times New Roman" w:hAnsi="Times New Roman" w:cs="Times New Roman"/>
      <w:sz w:val="18"/>
      <w:szCs w:val="18"/>
    </w:rPr>
  </w:style>
  <w:style w:type="paragraph" w:styleId="Header">
    <w:name w:val="header"/>
    <w:basedOn w:val="Normal"/>
    <w:link w:val="HeaderChar"/>
    <w:rsid w:val="00477EAB"/>
    <w:pPr>
      <w:tabs>
        <w:tab w:val="center" w:pos="4536"/>
        <w:tab w:val="right" w:pos="9072"/>
      </w:tabs>
    </w:pPr>
  </w:style>
  <w:style w:type="character" w:customStyle="1" w:styleId="HeaderChar">
    <w:name w:val="Header Char"/>
    <w:basedOn w:val="DefaultParagraphFont"/>
    <w:link w:val="Header"/>
    <w:rsid w:val="00972CE9"/>
    <w:rPr>
      <w:rFonts w:ascii="Arial" w:eastAsia="SimSun" w:hAnsi="Arial" w:cs="Arial"/>
      <w:sz w:val="22"/>
      <w:lang w:val="fr-CH" w:eastAsia="zh-CN"/>
    </w:rPr>
  </w:style>
  <w:style w:type="paragraph" w:styleId="Footer">
    <w:name w:val="footer"/>
    <w:basedOn w:val="Normal"/>
    <w:link w:val="FooterChar"/>
    <w:rsid w:val="00477EAB"/>
    <w:pPr>
      <w:tabs>
        <w:tab w:val="center" w:pos="4320"/>
        <w:tab w:val="right" w:pos="8640"/>
      </w:tabs>
    </w:pPr>
  </w:style>
  <w:style w:type="character" w:customStyle="1" w:styleId="FooterChar">
    <w:name w:val="Footer Char"/>
    <w:basedOn w:val="DefaultParagraphFont"/>
    <w:link w:val="Footer"/>
    <w:rsid w:val="00972CE9"/>
    <w:rPr>
      <w:rFonts w:ascii="Arial" w:eastAsia="SimSun" w:hAnsi="Arial" w:cs="Arial"/>
      <w:sz w:val="22"/>
      <w:lang w:val="fr-CH" w:eastAsia="zh-CN"/>
    </w:rPr>
  </w:style>
  <w:style w:type="paragraph" w:styleId="FootnoteText">
    <w:name w:val="footnote text"/>
    <w:basedOn w:val="Normal"/>
    <w:link w:val="FootnoteTextChar"/>
    <w:rsid w:val="00477EAB"/>
    <w:rPr>
      <w:sz w:val="18"/>
    </w:rPr>
  </w:style>
  <w:style w:type="character" w:customStyle="1" w:styleId="FootnoteTextChar">
    <w:name w:val="Footnote Text Char"/>
    <w:basedOn w:val="DefaultParagraphFont"/>
    <w:link w:val="FootnoteText"/>
    <w:rsid w:val="00DB286C"/>
    <w:rPr>
      <w:rFonts w:ascii="Arial" w:eastAsia="SimSun" w:hAnsi="Arial" w:cs="Arial"/>
      <w:sz w:val="18"/>
      <w:lang w:val="fr-CH" w:eastAsia="zh-CN"/>
    </w:rPr>
  </w:style>
  <w:style w:type="character" w:styleId="FootnoteReference">
    <w:name w:val="footnote reference"/>
    <w:basedOn w:val="DefaultParagraphFont"/>
    <w:uiPriority w:val="99"/>
    <w:unhideWhenUsed/>
    <w:rsid w:val="00DB286C"/>
    <w:rPr>
      <w:vertAlign w:val="superscript"/>
    </w:rPr>
  </w:style>
  <w:style w:type="paragraph" w:styleId="CommentSubject">
    <w:name w:val="annotation subject"/>
    <w:basedOn w:val="CommentText"/>
    <w:next w:val="CommentText"/>
    <w:link w:val="CommentSubjectChar"/>
    <w:uiPriority w:val="99"/>
    <w:semiHidden/>
    <w:unhideWhenUsed/>
    <w:rsid w:val="009745A6"/>
    <w:rPr>
      <w:b/>
      <w:bCs/>
      <w:sz w:val="20"/>
    </w:rPr>
  </w:style>
  <w:style w:type="character" w:customStyle="1" w:styleId="CommentSubjectChar">
    <w:name w:val="Comment Subject Char"/>
    <w:basedOn w:val="CommentTextChar"/>
    <w:link w:val="CommentSubject"/>
    <w:uiPriority w:val="99"/>
    <w:semiHidden/>
    <w:rsid w:val="009745A6"/>
    <w:rPr>
      <w:rFonts w:ascii="Arial" w:eastAsia="SimSun" w:hAnsi="Arial" w:cs="Arial"/>
      <w:b/>
      <w:bCs/>
      <w:sz w:val="20"/>
      <w:szCs w:val="20"/>
      <w:lang w:val="fr-CH" w:eastAsia="zh-CN"/>
    </w:rPr>
  </w:style>
  <w:style w:type="paragraph" w:styleId="Revision">
    <w:name w:val="Revision"/>
    <w:hidden/>
    <w:uiPriority w:val="99"/>
    <w:semiHidden/>
    <w:rsid w:val="009745A6"/>
  </w:style>
  <w:style w:type="paragraph" w:styleId="Caption">
    <w:name w:val="caption"/>
    <w:basedOn w:val="Normal"/>
    <w:next w:val="Normal"/>
    <w:qFormat/>
    <w:rsid w:val="00477EAB"/>
    <w:rPr>
      <w:b/>
      <w:bCs/>
      <w:sz w:val="18"/>
    </w:rPr>
  </w:style>
  <w:style w:type="paragraph" w:styleId="ListParagraph">
    <w:name w:val="List Paragraph"/>
    <w:basedOn w:val="Normal"/>
    <w:uiPriority w:val="34"/>
    <w:qFormat/>
    <w:rsid w:val="00477EAB"/>
    <w:pPr>
      <w:ind w:left="720"/>
      <w:contextualSpacing/>
    </w:pPr>
  </w:style>
  <w:style w:type="character" w:styleId="Hyperlink">
    <w:name w:val="Hyperlink"/>
    <w:basedOn w:val="DefaultParagraphFont"/>
    <w:uiPriority w:val="99"/>
    <w:unhideWhenUsed/>
    <w:rsid w:val="00C4000D"/>
    <w:rPr>
      <w:color w:val="000000" w:themeColor="text1"/>
      <w:u w:val="single"/>
    </w:rPr>
  </w:style>
  <w:style w:type="paragraph" w:customStyle="1" w:styleId="WIPOBodyStyle">
    <w:name w:val="WIPO Body Style"/>
    <w:basedOn w:val="Normal"/>
    <w:rsid w:val="00C4000D"/>
    <w:pPr>
      <w:spacing w:after="80" w:line="280" w:lineRule="exact"/>
    </w:pPr>
    <w:rPr>
      <w:rFonts w:eastAsia="Arial"/>
      <w:sz w:val="24"/>
      <w:szCs w:val="22"/>
      <w:lang w:eastAsia="en-ZA"/>
    </w:rPr>
  </w:style>
  <w:style w:type="paragraph" w:customStyle="1" w:styleId="Endofdocument-Annex">
    <w:name w:val="[End of document - Annex]"/>
    <w:basedOn w:val="Normal"/>
    <w:rsid w:val="00477EAB"/>
    <w:pPr>
      <w:ind w:left="5534"/>
    </w:pPr>
    <w:rPr>
      <w:lang w:val="en-US"/>
    </w:rPr>
  </w:style>
  <w:style w:type="paragraph" w:styleId="BodyText">
    <w:name w:val="Body Text"/>
    <w:basedOn w:val="Normal"/>
    <w:link w:val="BodyTextChar"/>
    <w:rsid w:val="00477EAB"/>
    <w:pPr>
      <w:spacing w:after="220"/>
    </w:pPr>
  </w:style>
  <w:style w:type="character" w:customStyle="1" w:styleId="BodyTextChar">
    <w:name w:val="Body Text Char"/>
    <w:basedOn w:val="DefaultParagraphFont"/>
    <w:link w:val="BodyText"/>
    <w:rsid w:val="00477EAB"/>
    <w:rPr>
      <w:rFonts w:ascii="Arial" w:eastAsia="SimSun" w:hAnsi="Arial" w:cs="Arial"/>
      <w:sz w:val="22"/>
      <w:lang w:val="fr-CH" w:eastAsia="zh-CN"/>
    </w:rPr>
  </w:style>
  <w:style w:type="paragraph" w:styleId="EndnoteText">
    <w:name w:val="endnote text"/>
    <w:basedOn w:val="Normal"/>
    <w:link w:val="EndnoteTextChar"/>
    <w:semiHidden/>
    <w:rsid w:val="00477EAB"/>
    <w:rPr>
      <w:sz w:val="18"/>
    </w:rPr>
  </w:style>
  <w:style w:type="character" w:customStyle="1" w:styleId="EndnoteTextChar">
    <w:name w:val="Endnote Text Char"/>
    <w:basedOn w:val="DefaultParagraphFont"/>
    <w:link w:val="EndnoteText"/>
    <w:semiHidden/>
    <w:rsid w:val="00477EAB"/>
    <w:rPr>
      <w:rFonts w:ascii="Arial" w:eastAsia="SimSun" w:hAnsi="Arial" w:cs="Arial"/>
      <w:sz w:val="18"/>
      <w:lang w:val="fr-CH" w:eastAsia="zh-CN"/>
    </w:rPr>
  </w:style>
  <w:style w:type="paragraph" w:styleId="ListNumber">
    <w:name w:val="List Number"/>
    <w:basedOn w:val="Normal"/>
    <w:semiHidden/>
    <w:rsid w:val="00477EAB"/>
    <w:pPr>
      <w:numPr>
        <w:numId w:val="13"/>
      </w:numPr>
    </w:pPr>
  </w:style>
  <w:style w:type="paragraph" w:customStyle="1" w:styleId="Meetingplacedate">
    <w:name w:val="Meeting place &amp; date"/>
    <w:basedOn w:val="Normal"/>
    <w:next w:val="Normal"/>
    <w:rsid w:val="00477EA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77EAB"/>
    <w:pPr>
      <w:spacing w:line="336" w:lineRule="exact"/>
      <w:ind w:left="1021"/>
    </w:pPr>
    <w:rPr>
      <w:rFonts w:eastAsia="Times New Roman" w:cs="Times New Roman"/>
      <w:b/>
      <w:sz w:val="28"/>
      <w:lang w:val="fr-FR" w:eastAsia="en-US"/>
    </w:rPr>
  </w:style>
  <w:style w:type="paragraph" w:customStyle="1" w:styleId="ONUME">
    <w:name w:val="ONUM E"/>
    <w:basedOn w:val="BodyText"/>
    <w:rsid w:val="00477EAB"/>
    <w:pPr>
      <w:numPr>
        <w:numId w:val="14"/>
      </w:numPr>
    </w:pPr>
  </w:style>
  <w:style w:type="paragraph" w:customStyle="1" w:styleId="ONUMFS">
    <w:name w:val="ONUM FS"/>
    <w:basedOn w:val="BodyText"/>
    <w:rsid w:val="00477EAB"/>
    <w:pPr>
      <w:numPr>
        <w:numId w:val="15"/>
      </w:numPr>
    </w:pPr>
  </w:style>
  <w:style w:type="paragraph" w:styleId="Salutation">
    <w:name w:val="Salutation"/>
    <w:basedOn w:val="Normal"/>
    <w:next w:val="Normal"/>
    <w:link w:val="SalutationChar"/>
    <w:semiHidden/>
    <w:rsid w:val="00477EAB"/>
  </w:style>
  <w:style w:type="character" w:customStyle="1" w:styleId="SalutationChar">
    <w:name w:val="Salutation Char"/>
    <w:basedOn w:val="DefaultParagraphFont"/>
    <w:link w:val="Salutation"/>
    <w:semiHidden/>
    <w:rsid w:val="00477EAB"/>
    <w:rPr>
      <w:rFonts w:ascii="Arial" w:eastAsia="SimSun" w:hAnsi="Arial" w:cs="Arial"/>
      <w:sz w:val="22"/>
      <w:lang w:val="fr-CH" w:eastAsia="zh-CN"/>
    </w:rPr>
  </w:style>
  <w:style w:type="paragraph" w:styleId="Signature">
    <w:name w:val="Signature"/>
    <w:basedOn w:val="Normal"/>
    <w:link w:val="SignatureChar"/>
    <w:semiHidden/>
    <w:rsid w:val="00477EAB"/>
    <w:pPr>
      <w:ind w:left="5250"/>
    </w:pPr>
  </w:style>
  <w:style w:type="character" w:customStyle="1" w:styleId="SignatureChar">
    <w:name w:val="Signature Char"/>
    <w:basedOn w:val="DefaultParagraphFont"/>
    <w:link w:val="Signature"/>
    <w:semiHidden/>
    <w:rsid w:val="00477EAB"/>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1435">
      <w:bodyDiv w:val="1"/>
      <w:marLeft w:val="0"/>
      <w:marRight w:val="0"/>
      <w:marTop w:val="0"/>
      <w:marBottom w:val="0"/>
      <w:divBdr>
        <w:top w:val="none" w:sz="0" w:space="0" w:color="auto"/>
        <w:left w:val="none" w:sz="0" w:space="0" w:color="auto"/>
        <w:bottom w:val="none" w:sz="0" w:space="0" w:color="auto"/>
        <w:right w:val="none" w:sz="0" w:space="0" w:color="auto"/>
      </w:divBdr>
    </w:div>
    <w:div w:id="1124083755">
      <w:bodyDiv w:val="1"/>
      <w:marLeft w:val="0"/>
      <w:marRight w:val="0"/>
      <w:marTop w:val="0"/>
      <w:marBottom w:val="0"/>
      <w:divBdr>
        <w:top w:val="none" w:sz="0" w:space="0" w:color="auto"/>
        <w:left w:val="none" w:sz="0" w:space="0" w:color="auto"/>
        <w:bottom w:val="none" w:sz="0" w:space="0" w:color="auto"/>
        <w:right w:val="none" w:sz="0" w:space="0" w:color="auto"/>
      </w:divBdr>
    </w:div>
    <w:div w:id="175034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ipolex.wipo.int/fr/text/495410" TargetMode="External"/><Relationship Id="rId3" Type="http://schemas.openxmlformats.org/officeDocument/2006/relationships/hyperlink" Target="https://www.technologyreview.com/s/603899/machine-learning-opens-up-new-ways-to-help-disabled-people/" TargetMode="External"/><Relationship Id="rId7" Type="http://schemas.openxmlformats.org/officeDocument/2006/relationships/hyperlink" Target="https://wipolex.wipo.int/fr/text/490086" TargetMode="External"/><Relationship Id="rId12" Type="http://schemas.openxmlformats.org/officeDocument/2006/relationships/hyperlink" Target="http://www.wipo.int/edocs/lexdocs/laws/en/il/il035en.pdf" TargetMode="External"/><Relationship Id="rId2" Type="http://schemas.openxmlformats.org/officeDocument/2006/relationships/hyperlink" Target="https://www.wipo.int/edocs/mdocs/copyright/fr/sccr_35/sccr_35_3_rev.pdf" TargetMode="External"/><Relationship Id="rId1" Type="http://schemas.openxmlformats.org/officeDocument/2006/relationships/hyperlink" Target="http://www.who.int/mediacentre/factsheets/fs352/fr/" TargetMode="External"/><Relationship Id="rId6" Type="http://schemas.openxmlformats.org/officeDocument/2006/relationships/hyperlink" Target="https://wipolex.wipo.int/fr/text/501166" TargetMode="External"/><Relationship Id="rId11" Type="http://schemas.openxmlformats.org/officeDocument/2006/relationships/hyperlink" Target="https://wipolex.wipo.int/fr/text/495410" TargetMode="External"/><Relationship Id="rId5" Type="http://schemas.openxmlformats.org/officeDocument/2006/relationships/hyperlink" Target="https://www.colemaninstitute.org/wp-content/uploads/2018/12/white-paper-coleman-version-1.pdf" TargetMode="External"/><Relationship Id="rId10" Type="http://schemas.openxmlformats.org/officeDocument/2006/relationships/hyperlink" Target="https://wipolex.wipo.int/fr/text/490086" TargetMode="External"/><Relationship Id="rId4" Type="http://schemas.openxmlformats.org/officeDocument/2006/relationships/hyperlink" Target="https://www.abilitynet.org.uk/news-blogs/5-ways-ai-could-transform-digital-accessibility" TargetMode="External"/><Relationship Id="rId9" Type="http://schemas.openxmlformats.org/officeDocument/2006/relationships/hyperlink" Target="http://www.wipo.int/edocs/lexdocs/laws/en/il/il03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5AED7-06C7-4BD8-8B09-90013C72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FERRAZ VAZQUEZ Rafael</dc:creator>
  <cp:keywords/>
  <dc:description/>
  <cp:lastModifiedBy>HAIZEL Francesca</cp:lastModifiedBy>
  <cp:revision>3</cp:revision>
  <cp:lastPrinted>2019-03-28T09:18:00Z</cp:lastPrinted>
  <dcterms:created xsi:type="dcterms:W3CDTF">2019-03-28T09:18:00Z</dcterms:created>
  <dcterms:modified xsi:type="dcterms:W3CDTF">2019-03-28T09:18:00Z</dcterms:modified>
</cp:coreProperties>
</file>