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5336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53363" w:rsidRDefault="0097203C" w:rsidP="00916EE2">
            <w:pPr>
              <w:rPr>
                <w:lang w:val="fr-FR"/>
              </w:rPr>
            </w:pPr>
            <w:bookmarkStart w:id="0" w:name="_GoBack"/>
            <w:bookmarkEnd w:id="0"/>
            <w:r>
              <w:rPr>
                <w:lang w:val="fr-FR"/>
              </w:rPr>
              <w:t>‘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53363" w:rsidRDefault="0060160C" w:rsidP="00916EE2">
            <w:pPr>
              <w:rPr>
                <w:lang w:val="fr-FR"/>
              </w:rPr>
            </w:pPr>
            <w:r w:rsidRPr="00A53363">
              <w:rPr>
                <w:noProof/>
                <w:lang w:eastAsia="en-US"/>
              </w:rPr>
              <w:drawing>
                <wp:inline distT="0" distB="0" distL="0" distR="0" wp14:anchorId="740C3895" wp14:editId="13E3A1B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53363" w:rsidRDefault="0060160C" w:rsidP="00916EE2">
            <w:pPr>
              <w:jc w:val="right"/>
              <w:rPr>
                <w:lang w:val="fr-FR"/>
              </w:rPr>
            </w:pPr>
            <w:r w:rsidRPr="00A5336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A5336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53363" w:rsidRDefault="00CC5AF2" w:rsidP="009634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53363">
              <w:rPr>
                <w:rFonts w:ascii="Arial Black" w:hAnsi="Arial Black"/>
                <w:caps/>
                <w:sz w:val="15"/>
                <w:lang w:val="fr-FR"/>
              </w:rPr>
              <w:t>SCCR/3</w:t>
            </w:r>
            <w:r w:rsidR="004A0453" w:rsidRPr="00A53363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Pr="00A53363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 w:rsidR="00963415" w:rsidRPr="00A53363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A42DAF" w:rsidRPr="00A5336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A5336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53363" w:rsidRDefault="008B2CC1" w:rsidP="00CD04F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5336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B5AB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1647D5" w:rsidRPr="00A5336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60160C" w:rsidRPr="00A5336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A5336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53363" w:rsidRDefault="008B2CC1" w:rsidP="0060160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5336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B5AB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1647D5" w:rsidRPr="00A5336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5512A1" w:rsidRPr="00A53363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r w:rsidR="0060160C" w:rsidRPr="00A53363">
              <w:rPr>
                <w:rFonts w:ascii="Arial Black" w:hAnsi="Arial Black"/>
                <w:caps/>
                <w:sz w:val="15"/>
                <w:lang w:val="fr-FR"/>
              </w:rPr>
              <w:t xml:space="preserve"> NOVEMBRE</w:t>
            </w:r>
            <w:r w:rsidR="005512A1" w:rsidRPr="00A53363">
              <w:rPr>
                <w:rFonts w:ascii="Arial Black" w:hAnsi="Arial Black"/>
                <w:caps/>
                <w:sz w:val="15"/>
                <w:lang w:val="fr-FR"/>
              </w:rPr>
              <w:t xml:space="preserve"> 2018</w:t>
            </w:r>
            <w:r w:rsidRPr="00A5336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</w:tbl>
    <w:p w:rsidR="00E47718" w:rsidRPr="00A53363" w:rsidRDefault="0060160C" w:rsidP="00024A64">
      <w:pPr>
        <w:spacing w:before="1200" w:after="600"/>
        <w:rPr>
          <w:b/>
          <w:sz w:val="28"/>
          <w:szCs w:val="28"/>
          <w:lang w:val="fr-FR"/>
        </w:rPr>
      </w:pPr>
      <w:r w:rsidRPr="00A53363">
        <w:rPr>
          <w:b/>
          <w:sz w:val="28"/>
          <w:szCs w:val="28"/>
          <w:lang w:val="fr-FR"/>
        </w:rPr>
        <w:t>Comité permanent du droit d</w:t>
      </w:r>
      <w:r w:rsidR="0097203C">
        <w:rPr>
          <w:b/>
          <w:sz w:val="28"/>
          <w:szCs w:val="28"/>
          <w:lang w:val="fr-FR"/>
        </w:rPr>
        <w:t>’</w:t>
      </w:r>
      <w:r w:rsidRPr="00A53363">
        <w:rPr>
          <w:b/>
          <w:sz w:val="28"/>
          <w:szCs w:val="28"/>
          <w:lang w:val="fr-FR"/>
        </w:rPr>
        <w:t>auteur et des droits connexes</w:t>
      </w:r>
    </w:p>
    <w:p w:rsidR="00E47718" w:rsidRPr="00A53363" w:rsidRDefault="0060160C" w:rsidP="0060160C">
      <w:pPr>
        <w:rPr>
          <w:b/>
          <w:sz w:val="24"/>
          <w:szCs w:val="24"/>
          <w:lang w:val="fr-FR"/>
        </w:rPr>
      </w:pPr>
      <w:r w:rsidRPr="00A53363">
        <w:rPr>
          <w:b/>
          <w:sz w:val="24"/>
          <w:szCs w:val="24"/>
          <w:lang w:val="fr-FR"/>
        </w:rPr>
        <w:t>Trente</w:t>
      </w:r>
      <w:r w:rsidR="00024A64">
        <w:rPr>
          <w:b/>
          <w:sz w:val="24"/>
          <w:szCs w:val="24"/>
          <w:lang w:val="fr-FR"/>
        </w:rPr>
        <w:noBreakHyphen/>
      </w:r>
      <w:r w:rsidRPr="00A53363">
        <w:rPr>
          <w:b/>
          <w:sz w:val="24"/>
          <w:szCs w:val="24"/>
          <w:lang w:val="fr-FR"/>
        </w:rPr>
        <w:t>sept</w:t>
      </w:r>
      <w:r w:rsidR="0097203C">
        <w:rPr>
          <w:b/>
          <w:sz w:val="24"/>
          <w:szCs w:val="24"/>
          <w:lang w:val="fr-FR"/>
        </w:rPr>
        <w:t>ième session</w:t>
      </w:r>
    </w:p>
    <w:p w:rsidR="00E47718" w:rsidRPr="00A53363" w:rsidRDefault="0060160C" w:rsidP="0060160C">
      <w:pPr>
        <w:rPr>
          <w:b/>
          <w:sz w:val="24"/>
          <w:szCs w:val="24"/>
          <w:lang w:val="fr-FR"/>
        </w:rPr>
      </w:pPr>
      <w:r w:rsidRPr="00A53363">
        <w:rPr>
          <w:b/>
          <w:sz w:val="24"/>
          <w:szCs w:val="24"/>
          <w:lang w:val="fr-FR"/>
        </w:rPr>
        <w:t>Genève, 26 – 3</w:t>
      </w:r>
      <w:r w:rsidR="0097203C" w:rsidRPr="00A53363">
        <w:rPr>
          <w:b/>
          <w:sz w:val="24"/>
          <w:szCs w:val="24"/>
          <w:lang w:val="fr-FR"/>
        </w:rPr>
        <w:t>0</w:t>
      </w:r>
      <w:r w:rsidR="0097203C">
        <w:rPr>
          <w:b/>
          <w:sz w:val="24"/>
          <w:szCs w:val="24"/>
          <w:lang w:val="fr-FR"/>
        </w:rPr>
        <w:t> </w:t>
      </w:r>
      <w:r w:rsidR="0097203C" w:rsidRPr="00A53363">
        <w:rPr>
          <w:b/>
          <w:sz w:val="24"/>
          <w:szCs w:val="24"/>
          <w:lang w:val="fr-FR"/>
        </w:rPr>
        <w:t>novembre</w:t>
      </w:r>
      <w:r w:rsidR="0097203C">
        <w:rPr>
          <w:b/>
          <w:sz w:val="24"/>
          <w:szCs w:val="24"/>
          <w:lang w:val="fr-FR"/>
        </w:rPr>
        <w:t> </w:t>
      </w:r>
      <w:r w:rsidR="0097203C" w:rsidRPr="00A53363">
        <w:rPr>
          <w:b/>
          <w:sz w:val="24"/>
          <w:szCs w:val="24"/>
          <w:lang w:val="fr-FR"/>
        </w:rPr>
        <w:t>20</w:t>
      </w:r>
      <w:r w:rsidRPr="00A53363">
        <w:rPr>
          <w:b/>
          <w:sz w:val="24"/>
          <w:szCs w:val="24"/>
          <w:lang w:val="fr-FR"/>
        </w:rPr>
        <w:t>18</w:t>
      </w:r>
    </w:p>
    <w:p w:rsidR="00E47718" w:rsidRPr="00A53363" w:rsidRDefault="003A6695" w:rsidP="00024A64">
      <w:pPr>
        <w:spacing w:before="600" w:after="360"/>
        <w:rPr>
          <w:caps/>
          <w:sz w:val="24"/>
          <w:lang w:val="fr-FR"/>
        </w:rPr>
      </w:pPr>
      <w:bookmarkStart w:id="4" w:name="TitleOfDoc"/>
      <w:bookmarkEnd w:id="4"/>
      <w:r w:rsidRPr="00A53363">
        <w:rPr>
          <w:caps/>
          <w:sz w:val="24"/>
          <w:lang w:val="fr-FR"/>
        </w:rPr>
        <w:t>ÉQUIPE D</w:t>
      </w:r>
      <w:r w:rsidR="0097203C">
        <w:rPr>
          <w:caps/>
          <w:sz w:val="24"/>
          <w:lang w:val="fr-FR"/>
        </w:rPr>
        <w:t>’</w:t>
      </w:r>
      <w:r w:rsidRPr="00A53363">
        <w:rPr>
          <w:caps/>
          <w:sz w:val="24"/>
          <w:lang w:val="fr-FR"/>
        </w:rPr>
        <w:t>EXPERTS SUR LE DROIT DE SUITE</w:t>
      </w:r>
    </w:p>
    <w:p w:rsidR="0097203C" w:rsidRDefault="003A6695" w:rsidP="00024A64">
      <w:pPr>
        <w:spacing w:after="960"/>
        <w:rPr>
          <w:i/>
          <w:lang w:val="fr-FR"/>
        </w:rPr>
      </w:pPr>
      <w:bookmarkStart w:id="5" w:name="Prepared"/>
      <w:bookmarkEnd w:id="5"/>
      <w:r w:rsidRPr="00A53363">
        <w:rPr>
          <w:i/>
          <w:lang w:val="fr-FR"/>
        </w:rPr>
        <w:t>Document établi par le Secrétariat</w:t>
      </w:r>
    </w:p>
    <w:p w:rsidR="00E47718" w:rsidRPr="00A53363" w:rsidRDefault="005512A1">
      <w:pPr>
        <w:rPr>
          <w:lang w:val="fr-FR"/>
        </w:rPr>
      </w:pPr>
      <w:r w:rsidRPr="00A53363">
        <w:rPr>
          <w:lang w:val="fr-FR"/>
        </w:rPr>
        <w:br w:type="page"/>
      </w:r>
    </w:p>
    <w:p w:rsidR="00024A64" w:rsidRDefault="00A53363" w:rsidP="00024A64">
      <w:pPr>
        <w:pStyle w:val="Default"/>
        <w:spacing w:after="220"/>
        <w:rPr>
          <w:sz w:val="22"/>
          <w:szCs w:val="22"/>
          <w:lang w:val="fr-FR"/>
        </w:rPr>
      </w:pPr>
      <w:r w:rsidRPr="00A53363">
        <w:rPr>
          <w:sz w:val="22"/>
          <w:szCs w:val="22"/>
          <w:lang w:val="fr-FR"/>
        </w:rPr>
        <w:lastRenderedPageBreak/>
        <w:t>L</w:t>
      </w:r>
      <w:r w:rsidR="003A6695" w:rsidRPr="00A53363">
        <w:rPr>
          <w:sz w:val="22"/>
          <w:szCs w:val="22"/>
          <w:lang w:val="fr-FR"/>
        </w:rPr>
        <w:t>e résumé présenté par le président de la trente</w:t>
      </w:r>
      <w:r w:rsidR="00024A64">
        <w:rPr>
          <w:sz w:val="22"/>
          <w:szCs w:val="22"/>
          <w:lang w:val="fr-FR"/>
        </w:rPr>
        <w:noBreakHyphen/>
      </w:r>
      <w:r w:rsidR="003A6695" w:rsidRPr="00A53363">
        <w:rPr>
          <w:sz w:val="22"/>
          <w:szCs w:val="22"/>
          <w:lang w:val="fr-FR"/>
        </w:rPr>
        <w:t>six</w:t>
      </w:r>
      <w:r w:rsidR="0097203C">
        <w:rPr>
          <w:sz w:val="22"/>
          <w:szCs w:val="22"/>
          <w:lang w:val="fr-FR"/>
        </w:rPr>
        <w:t>ième session</w:t>
      </w:r>
      <w:r w:rsidR="0097203C" w:rsidRPr="00A53363">
        <w:rPr>
          <w:sz w:val="22"/>
          <w:szCs w:val="22"/>
          <w:lang w:val="fr-FR"/>
        </w:rPr>
        <w:t xml:space="preserve"> du</w:t>
      </w:r>
      <w:r w:rsidR="0097203C">
        <w:rPr>
          <w:sz w:val="22"/>
          <w:szCs w:val="22"/>
          <w:lang w:val="fr-FR"/>
        </w:rPr>
        <w:t> </w:t>
      </w:r>
      <w:r w:rsidR="0097203C" w:rsidRPr="00A53363">
        <w:rPr>
          <w:sz w:val="22"/>
          <w:szCs w:val="22"/>
          <w:lang w:val="fr-FR"/>
        </w:rPr>
        <w:t>SCC</w:t>
      </w:r>
      <w:r w:rsidR="003A6695" w:rsidRPr="00A53363">
        <w:rPr>
          <w:sz w:val="22"/>
          <w:szCs w:val="22"/>
          <w:lang w:val="fr-FR"/>
        </w:rPr>
        <w:t xml:space="preserve">R tenue en </w:t>
      </w:r>
      <w:r w:rsidR="0097203C" w:rsidRPr="00A53363">
        <w:rPr>
          <w:sz w:val="22"/>
          <w:szCs w:val="22"/>
          <w:lang w:val="fr-FR"/>
        </w:rPr>
        <w:t>mai</w:t>
      </w:r>
      <w:r w:rsidR="0097203C">
        <w:rPr>
          <w:sz w:val="22"/>
          <w:szCs w:val="22"/>
          <w:lang w:val="fr-FR"/>
        </w:rPr>
        <w:t> </w:t>
      </w:r>
      <w:r w:rsidR="0097203C" w:rsidRPr="00A53363">
        <w:rPr>
          <w:sz w:val="22"/>
          <w:szCs w:val="22"/>
          <w:lang w:val="fr-FR"/>
        </w:rPr>
        <w:t>20</w:t>
      </w:r>
      <w:r w:rsidR="003A6695" w:rsidRPr="00A53363">
        <w:rPr>
          <w:sz w:val="22"/>
          <w:szCs w:val="22"/>
          <w:lang w:val="fr-FR"/>
        </w:rPr>
        <w:t>18</w:t>
      </w:r>
      <w:r w:rsidRPr="00A53363">
        <w:rPr>
          <w:sz w:val="22"/>
          <w:szCs w:val="22"/>
          <w:lang w:val="fr-FR"/>
        </w:rPr>
        <w:t xml:space="preserve"> indiquait qu</w:t>
      </w:r>
      <w:r w:rsidR="0097203C">
        <w:rPr>
          <w:sz w:val="22"/>
          <w:szCs w:val="22"/>
          <w:lang w:val="fr-FR"/>
        </w:rPr>
        <w:t>’</w:t>
      </w:r>
      <w:r w:rsidR="003A6695" w:rsidRPr="00A53363">
        <w:rPr>
          <w:sz w:val="22"/>
          <w:szCs w:val="22"/>
          <w:lang w:val="fr-FR"/>
        </w:rPr>
        <w:t>en ce qui concerne le droit de suite, le comité est convenu d</w:t>
      </w:r>
      <w:r w:rsidR="0097203C">
        <w:rPr>
          <w:sz w:val="22"/>
          <w:szCs w:val="22"/>
          <w:lang w:val="fr-FR"/>
        </w:rPr>
        <w:t>’</w:t>
      </w:r>
      <w:r w:rsidR="003A6695" w:rsidRPr="00A53363">
        <w:rPr>
          <w:sz w:val="22"/>
          <w:szCs w:val="22"/>
          <w:lang w:val="fr-FR"/>
        </w:rPr>
        <w:t>établir une équipe d</w:t>
      </w:r>
      <w:r w:rsidR="0097203C">
        <w:rPr>
          <w:sz w:val="22"/>
          <w:szCs w:val="22"/>
          <w:lang w:val="fr-FR"/>
        </w:rPr>
        <w:t>’</w:t>
      </w:r>
      <w:r w:rsidR="003A6695" w:rsidRPr="00A53363">
        <w:rPr>
          <w:sz w:val="22"/>
          <w:szCs w:val="22"/>
          <w:lang w:val="fr-FR"/>
        </w:rPr>
        <w:t>experts composée de membres et de parties prenantes afin de faire rapport au comité s</w:t>
      </w:r>
      <w:r w:rsidR="0097203C">
        <w:rPr>
          <w:sz w:val="22"/>
          <w:szCs w:val="22"/>
          <w:lang w:val="fr-FR"/>
        </w:rPr>
        <w:t>’</w:t>
      </w:r>
      <w:r w:rsidR="003A6695" w:rsidRPr="00A53363">
        <w:rPr>
          <w:sz w:val="22"/>
          <w:szCs w:val="22"/>
          <w:lang w:val="fr-FR"/>
        </w:rPr>
        <w:t>agissant des éléments pratiques liés au droit de suite des artist</w:t>
      </w:r>
      <w:r w:rsidR="00024A64" w:rsidRPr="00A53363">
        <w:rPr>
          <w:sz w:val="22"/>
          <w:szCs w:val="22"/>
          <w:lang w:val="fr-FR"/>
        </w:rPr>
        <w:t>es</w:t>
      </w:r>
      <w:r w:rsidR="00024A64">
        <w:rPr>
          <w:sz w:val="22"/>
          <w:szCs w:val="22"/>
          <w:lang w:val="fr-FR"/>
        </w:rPr>
        <w:t xml:space="preserve">.  </w:t>
      </w:r>
      <w:r w:rsidR="00024A64" w:rsidRPr="00A53363">
        <w:rPr>
          <w:sz w:val="22"/>
          <w:szCs w:val="22"/>
          <w:lang w:val="fr-FR"/>
        </w:rPr>
        <w:t>Ce</w:t>
      </w:r>
      <w:r w:rsidR="003A6695" w:rsidRPr="00A53363">
        <w:rPr>
          <w:sz w:val="22"/>
          <w:szCs w:val="22"/>
          <w:lang w:val="fr-FR"/>
        </w:rPr>
        <w:t xml:space="preserve">tte équipe </w:t>
      </w:r>
      <w:r w:rsidRPr="00A53363">
        <w:rPr>
          <w:sz w:val="22"/>
          <w:szCs w:val="22"/>
          <w:lang w:val="fr-FR"/>
        </w:rPr>
        <w:t>a été invitée à présenter</w:t>
      </w:r>
      <w:r w:rsidR="003A6695" w:rsidRPr="00A53363">
        <w:rPr>
          <w:sz w:val="22"/>
          <w:szCs w:val="22"/>
          <w:lang w:val="fr-FR"/>
        </w:rPr>
        <w:t xml:space="preserve"> un rapport intérimaire à la trente</w:t>
      </w:r>
      <w:r w:rsidR="00024A64">
        <w:rPr>
          <w:sz w:val="22"/>
          <w:szCs w:val="22"/>
          <w:lang w:val="fr-FR"/>
        </w:rPr>
        <w:noBreakHyphen/>
      </w:r>
      <w:r w:rsidR="003A6695" w:rsidRPr="00A53363">
        <w:rPr>
          <w:sz w:val="22"/>
          <w:szCs w:val="22"/>
          <w:lang w:val="fr-FR"/>
        </w:rPr>
        <w:t>sept</w:t>
      </w:r>
      <w:r w:rsidR="0097203C">
        <w:rPr>
          <w:sz w:val="22"/>
          <w:szCs w:val="22"/>
          <w:lang w:val="fr-FR"/>
        </w:rPr>
        <w:t>ième session</w:t>
      </w:r>
      <w:r w:rsidR="0097203C" w:rsidRPr="00A53363">
        <w:rPr>
          <w:sz w:val="22"/>
          <w:szCs w:val="22"/>
          <w:lang w:val="fr-FR"/>
        </w:rPr>
        <w:t xml:space="preserve"> du</w:t>
      </w:r>
      <w:r w:rsidR="0097203C">
        <w:rPr>
          <w:sz w:val="22"/>
          <w:szCs w:val="22"/>
          <w:lang w:val="fr-FR"/>
        </w:rPr>
        <w:t> </w:t>
      </w:r>
      <w:r w:rsidR="0097203C" w:rsidRPr="00A53363">
        <w:rPr>
          <w:sz w:val="22"/>
          <w:szCs w:val="22"/>
          <w:lang w:val="fr-FR"/>
        </w:rPr>
        <w:t>SCC</w:t>
      </w:r>
      <w:r w:rsidR="003A6695" w:rsidRPr="00A53363">
        <w:rPr>
          <w:sz w:val="22"/>
          <w:szCs w:val="22"/>
          <w:lang w:val="fr-FR"/>
        </w:rPr>
        <w:t>R.</w:t>
      </w:r>
    </w:p>
    <w:p w:rsidR="00024A64" w:rsidRDefault="003A6695" w:rsidP="00DC33C2">
      <w:pPr>
        <w:pStyle w:val="Default"/>
        <w:spacing w:after="480"/>
        <w:rPr>
          <w:sz w:val="22"/>
          <w:szCs w:val="22"/>
          <w:lang w:val="fr-FR"/>
        </w:rPr>
      </w:pPr>
      <w:r w:rsidRPr="00A53363">
        <w:rPr>
          <w:sz w:val="22"/>
          <w:szCs w:val="22"/>
          <w:lang w:val="fr-FR"/>
        </w:rPr>
        <w:t xml:space="preserve">Le présent document </w:t>
      </w:r>
      <w:r w:rsidR="006A0430">
        <w:rPr>
          <w:sz w:val="22"/>
          <w:szCs w:val="22"/>
          <w:lang w:val="fr-FR"/>
        </w:rPr>
        <w:t>fait le point</w:t>
      </w:r>
      <w:r w:rsidRPr="00A53363">
        <w:rPr>
          <w:sz w:val="22"/>
          <w:szCs w:val="22"/>
          <w:lang w:val="fr-FR"/>
        </w:rPr>
        <w:t xml:space="preserve"> sur la composition, les modalités de travail et le mandat de 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équipe d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experts.</w:t>
      </w:r>
    </w:p>
    <w:p w:rsidR="00024A64" w:rsidRDefault="003A6695" w:rsidP="00024A64">
      <w:pPr>
        <w:pStyle w:val="Default"/>
        <w:spacing w:after="220"/>
        <w:rPr>
          <w:b/>
          <w:sz w:val="22"/>
          <w:szCs w:val="22"/>
          <w:lang w:val="fr-FR"/>
        </w:rPr>
      </w:pPr>
      <w:r w:rsidRPr="00A53363">
        <w:rPr>
          <w:b/>
          <w:sz w:val="22"/>
          <w:szCs w:val="22"/>
          <w:lang w:val="fr-FR"/>
        </w:rPr>
        <w:t>Composition</w:t>
      </w:r>
    </w:p>
    <w:p w:rsidR="0097203C" w:rsidRDefault="00A53363" w:rsidP="00024A64">
      <w:pPr>
        <w:pStyle w:val="Default"/>
        <w:spacing w:after="220"/>
        <w:rPr>
          <w:sz w:val="22"/>
          <w:szCs w:val="22"/>
          <w:lang w:val="fr-FR"/>
        </w:rPr>
      </w:pPr>
      <w:r w:rsidRPr="00A53363">
        <w:rPr>
          <w:sz w:val="22"/>
          <w:szCs w:val="22"/>
          <w:lang w:val="fr-FR"/>
        </w:rPr>
        <w:t>Le groupe d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 xml:space="preserve">experts </w:t>
      </w:r>
      <w:r w:rsidR="00C138A4">
        <w:rPr>
          <w:sz w:val="22"/>
          <w:szCs w:val="22"/>
          <w:lang w:val="fr-FR"/>
        </w:rPr>
        <w:t>est constitué d</w:t>
      </w:r>
      <w:r w:rsidR="0097203C">
        <w:rPr>
          <w:sz w:val="22"/>
          <w:szCs w:val="22"/>
          <w:lang w:val="fr-FR"/>
        </w:rPr>
        <w:t>’</w:t>
      </w:r>
      <w:r w:rsidR="003A6695" w:rsidRPr="00A53363">
        <w:rPr>
          <w:sz w:val="22"/>
          <w:szCs w:val="22"/>
          <w:lang w:val="fr-FR"/>
        </w:rPr>
        <w:t xml:space="preserve">un représentant de chacun des groupes de parties prenantes </w:t>
      </w:r>
      <w:r w:rsidRPr="00A53363">
        <w:rPr>
          <w:sz w:val="22"/>
          <w:szCs w:val="22"/>
          <w:lang w:val="fr-FR"/>
        </w:rPr>
        <w:t>ci</w:t>
      </w:r>
      <w:r w:rsidR="00024A64">
        <w:rPr>
          <w:sz w:val="22"/>
          <w:szCs w:val="22"/>
          <w:lang w:val="fr-FR"/>
        </w:rPr>
        <w:noBreakHyphen/>
      </w:r>
      <w:r w:rsidRPr="00A53363">
        <w:rPr>
          <w:sz w:val="22"/>
          <w:szCs w:val="22"/>
          <w:lang w:val="fr-FR"/>
        </w:rPr>
        <w:t>apr</w:t>
      </w:r>
      <w:r w:rsidR="00024A64" w:rsidRPr="00A53363">
        <w:rPr>
          <w:sz w:val="22"/>
          <w:szCs w:val="22"/>
          <w:lang w:val="fr-FR"/>
        </w:rPr>
        <w:t>ès</w:t>
      </w:r>
      <w:r w:rsidR="00024A64">
        <w:rPr>
          <w:sz w:val="22"/>
          <w:szCs w:val="22"/>
          <w:lang w:val="fr-FR"/>
        </w:rPr>
        <w:t xml:space="preserve">.  </w:t>
      </w:r>
      <w:r w:rsidR="00024A64" w:rsidRPr="00A53363">
        <w:rPr>
          <w:sz w:val="22"/>
          <w:szCs w:val="22"/>
          <w:lang w:val="fr-FR"/>
        </w:rPr>
        <w:t>Le</w:t>
      </w:r>
      <w:r w:rsidR="003A6695" w:rsidRPr="00A53363">
        <w:rPr>
          <w:sz w:val="22"/>
          <w:szCs w:val="22"/>
          <w:lang w:val="fr-FR"/>
        </w:rPr>
        <w:t xml:space="preserve">s experts ont été sélectionnés </w:t>
      </w:r>
      <w:r w:rsidRPr="00A53363">
        <w:rPr>
          <w:sz w:val="22"/>
          <w:szCs w:val="22"/>
          <w:lang w:val="fr-FR"/>
        </w:rPr>
        <w:t>en fonction</w:t>
      </w:r>
      <w:r w:rsidR="003A6695" w:rsidRPr="00A53363">
        <w:rPr>
          <w:sz w:val="22"/>
          <w:szCs w:val="22"/>
          <w:lang w:val="fr-FR"/>
        </w:rPr>
        <w:t xml:space="preserve"> de leur</w:t>
      </w:r>
      <w:r w:rsidRPr="00A53363">
        <w:rPr>
          <w:sz w:val="22"/>
          <w:szCs w:val="22"/>
          <w:lang w:val="fr-FR"/>
        </w:rPr>
        <w:t>s</w:t>
      </w:r>
      <w:r w:rsidR="003A6695" w:rsidRPr="00A53363">
        <w:rPr>
          <w:sz w:val="22"/>
          <w:szCs w:val="22"/>
          <w:lang w:val="fr-FR"/>
        </w:rPr>
        <w:t xml:space="preserve"> </w:t>
      </w:r>
      <w:r w:rsidRPr="00A53363">
        <w:rPr>
          <w:sz w:val="22"/>
          <w:szCs w:val="22"/>
          <w:lang w:val="fr-FR"/>
        </w:rPr>
        <w:t>compétences</w:t>
      </w:r>
      <w:r w:rsidR="003A6695" w:rsidRPr="00A53363">
        <w:rPr>
          <w:sz w:val="22"/>
          <w:szCs w:val="22"/>
          <w:lang w:val="fr-FR"/>
        </w:rPr>
        <w:t xml:space="preserve"> </w:t>
      </w:r>
      <w:r w:rsidRPr="00A53363">
        <w:rPr>
          <w:sz w:val="22"/>
          <w:szCs w:val="22"/>
          <w:lang w:val="fr-FR"/>
        </w:rPr>
        <w:t>personnelles</w:t>
      </w:r>
      <w:r w:rsidR="003A6695" w:rsidRPr="00A53363">
        <w:rPr>
          <w:sz w:val="22"/>
          <w:szCs w:val="22"/>
          <w:lang w:val="fr-FR"/>
        </w:rPr>
        <w:t>.</w:t>
      </w:r>
    </w:p>
    <w:p w:rsidR="00E47718" w:rsidRPr="00A53363" w:rsidRDefault="003A6695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r w:rsidRPr="00A53363">
        <w:rPr>
          <w:sz w:val="22"/>
          <w:szCs w:val="22"/>
          <w:lang w:val="fr-FR"/>
        </w:rPr>
        <w:t>M.</w:t>
      </w:r>
      <w:r w:rsidR="006B5AB0">
        <w:rPr>
          <w:sz w:val="22"/>
          <w:szCs w:val="22"/>
          <w:lang w:val="fr-FR"/>
        </w:rPr>
        <w:t> </w:t>
      </w:r>
      <w:r w:rsidRPr="00A53363">
        <w:rPr>
          <w:sz w:val="22"/>
          <w:szCs w:val="22"/>
          <w:lang w:val="fr-FR"/>
        </w:rPr>
        <w:t>Sam</w:t>
      </w:r>
      <w:r w:rsidR="00F91AFD">
        <w:rPr>
          <w:sz w:val="22"/>
          <w:szCs w:val="22"/>
          <w:lang w:val="fr-FR"/>
        </w:rPr>
        <w:t> </w:t>
      </w:r>
      <w:proofErr w:type="spellStart"/>
      <w:r w:rsidRPr="00A53363">
        <w:rPr>
          <w:sz w:val="22"/>
          <w:szCs w:val="22"/>
          <w:lang w:val="fr-FR"/>
        </w:rPr>
        <w:t>Ricketson</w:t>
      </w:r>
      <w:proofErr w:type="spellEnd"/>
      <w:r w:rsidRPr="00A53363">
        <w:rPr>
          <w:sz w:val="22"/>
          <w:szCs w:val="22"/>
          <w:lang w:val="fr-FR"/>
        </w:rPr>
        <w:t>, professeur à 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Université de Melbourne (Australie</w:t>
      </w:r>
      <w:proofErr w:type="gramStart"/>
      <w:r w:rsidRPr="00A53363">
        <w:rPr>
          <w:sz w:val="22"/>
          <w:szCs w:val="22"/>
          <w:lang w:val="fr-FR"/>
        </w:rPr>
        <w:t>);</w:t>
      </w:r>
      <w:proofErr w:type="gramEnd"/>
    </w:p>
    <w:p w:rsidR="00E47718" w:rsidRPr="00024A64" w:rsidRDefault="003A6695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es-ES"/>
        </w:rPr>
      </w:pPr>
      <w:r w:rsidRPr="00024A64">
        <w:rPr>
          <w:sz w:val="22"/>
          <w:szCs w:val="22"/>
          <w:lang w:val="es-ES"/>
        </w:rPr>
        <w:t>M.</w:t>
      </w:r>
      <w:r w:rsidR="006B5AB0" w:rsidRPr="00024A64">
        <w:rPr>
          <w:sz w:val="22"/>
          <w:szCs w:val="22"/>
          <w:lang w:val="es-ES"/>
        </w:rPr>
        <w:t> </w:t>
      </w:r>
      <w:r w:rsidRPr="00024A64">
        <w:rPr>
          <w:sz w:val="22"/>
          <w:szCs w:val="22"/>
          <w:lang w:val="es-ES"/>
        </w:rPr>
        <w:t>Julio</w:t>
      </w:r>
      <w:r w:rsidR="00F91AFD" w:rsidRPr="00F91AFD">
        <w:rPr>
          <w:sz w:val="22"/>
          <w:szCs w:val="22"/>
          <w:lang w:val="es-ES"/>
        </w:rPr>
        <w:t> </w:t>
      </w:r>
      <w:r w:rsidRPr="00024A64">
        <w:rPr>
          <w:sz w:val="22"/>
          <w:szCs w:val="22"/>
          <w:lang w:val="es-ES"/>
        </w:rPr>
        <w:t>Carrasco</w:t>
      </w:r>
      <w:r w:rsidR="00F91AFD" w:rsidRPr="00F91AFD">
        <w:rPr>
          <w:sz w:val="22"/>
          <w:szCs w:val="22"/>
          <w:lang w:val="es-ES"/>
        </w:rPr>
        <w:t> </w:t>
      </w:r>
      <w:r w:rsidRPr="00024A64">
        <w:rPr>
          <w:sz w:val="22"/>
          <w:szCs w:val="22"/>
          <w:lang w:val="es-ES"/>
        </w:rPr>
        <w:t xml:space="preserve">Breton, </w:t>
      </w:r>
      <w:proofErr w:type="spellStart"/>
      <w:r w:rsidRPr="00024A64">
        <w:rPr>
          <w:sz w:val="22"/>
          <w:szCs w:val="22"/>
          <w:lang w:val="es-ES"/>
        </w:rPr>
        <w:t>artiste</w:t>
      </w:r>
      <w:proofErr w:type="spellEnd"/>
      <w:r w:rsidRPr="00024A64">
        <w:rPr>
          <w:sz w:val="22"/>
          <w:szCs w:val="22"/>
          <w:lang w:val="es-ES"/>
        </w:rPr>
        <w:t xml:space="preserve"> (</w:t>
      </w:r>
      <w:proofErr w:type="spellStart"/>
      <w:r w:rsidRPr="00024A64">
        <w:rPr>
          <w:sz w:val="22"/>
          <w:szCs w:val="22"/>
          <w:lang w:val="es-ES"/>
        </w:rPr>
        <w:t>Mexique</w:t>
      </w:r>
      <w:proofErr w:type="spellEnd"/>
      <w:r w:rsidRPr="00024A64">
        <w:rPr>
          <w:sz w:val="22"/>
          <w:szCs w:val="22"/>
          <w:lang w:val="es-ES"/>
        </w:rPr>
        <w:t>);</w:t>
      </w:r>
    </w:p>
    <w:p w:rsidR="00E47718" w:rsidRPr="00A53363" w:rsidRDefault="003A6695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r w:rsidRPr="00A53363">
        <w:rPr>
          <w:sz w:val="22"/>
          <w:szCs w:val="22"/>
          <w:lang w:val="fr-FR"/>
        </w:rPr>
        <w:t>Mme</w:t>
      </w:r>
      <w:r w:rsidR="006B5AB0">
        <w:rPr>
          <w:sz w:val="22"/>
          <w:szCs w:val="22"/>
          <w:lang w:val="fr-FR"/>
        </w:rPr>
        <w:t> </w:t>
      </w:r>
      <w:r w:rsidRPr="00A53363">
        <w:rPr>
          <w:sz w:val="22"/>
          <w:szCs w:val="22"/>
          <w:lang w:val="fr-FR"/>
        </w:rPr>
        <w:t>Marie</w:t>
      </w:r>
      <w:r w:rsidR="00024A64">
        <w:rPr>
          <w:sz w:val="22"/>
          <w:szCs w:val="22"/>
          <w:lang w:val="fr-FR"/>
        </w:rPr>
        <w:noBreakHyphen/>
        <w:t>Anne</w:t>
      </w:r>
      <w:r w:rsidR="00F91AFD" w:rsidRPr="00F91AFD">
        <w:rPr>
          <w:sz w:val="22"/>
          <w:szCs w:val="22"/>
          <w:lang w:val="fr-FR"/>
        </w:rPr>
        <w:t> </w:t>
      </w:r>
      <w:r w:rsidR="00024A64">
        <w:rPr>
          <w:sz w:val="22"/>
          <w:szCs w:val="22"/>
          <w:lang w:val="fr-FR"/>
        </w:rPr>
        <w:t>Ferry</w:t>
      </w:r>
      <w:r w:rsidR="00F91AFD" w:rsidRPr="00F91AFD">
        <w:rPr>
          <w:sz w:val="22"/>
          <w:szCs w:val="22"/>
          <w:lang w:val="fr-FR"/>
        </w:rPr>
        <w:t> </w:t>
      </w:r>
      <w:proofErr w:type="spellStart"/>
      <w:r w:rsidR="00024A64">
        <w:rPr>
          <w:sz w:val="22"/>
          <w:szCs w:val="22"/>
          <w:lang w:val="fr-FR"/>
        </w:rPr>
        <w:t>Fall</w:t>
      </w:r>
      <w:proofErr w:type="spellEnd"/>
      <w:r w:rsidR="00024A64">
        <w:rPr>
          <w:sz w:val="22"/>
          <w:szCs w:val="22"/>
          <w:lang w:val="fr-FR"/>
        </w:rPr>
        <w:t>, directrice g</w:t>
      </w:r>
      <w:r w:rsidRPr="00A53363">
        <w:rPr>
          <w:sz w:val="22"/>
          <w:szCs w:val="22"/>
          <w:lang w:val="fr-FR"/>
        </w:rPr>
        <w:t>énérale de 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Association pour la diffusion des arts graphiques et plastiques (ADAGP), Paris (France</w:t>
      </w:r>
      <w:proofErr w:type="gramStart"/>
      <w:r w:rsidRPr="00A53363">
        <w:rPr>
          <w:sz w:val="22"/>
          <w:szCs w:val="22"/>
          <w:lang w:val="fr-FR"/>
        </w:rPr>
        <w:t>);</w:t>
      </w:r>
      <w:proofErr w:type="gramEnd"/>
    </w:p>
    <w:p w:rsidR="00E47718" w:rsidRPr="00F91AFD" w:rsidRDefault="003A6695" w:rsidP="00E17FC4">
      <w:pPr>
        <w:pStyle w:val="Default"/>
        <w:numPr>
          <w:ilvl w:val="0"/>
          <w:numId w:val="10"/>
        </w:numPr>
        <w:ind w:left="1134" w:hanging="567"/>
        <w:rPr>
          <w:lang w:val="fr-FR"/>
        </w:rPr>
      </w:pPr>
      <w:r w:rsidRPr="00024A64">
        <w:rPr>
          <w:sz w:val="22"/>
          <w:szCs w:val="22"/>
          <w:lang w:val="fr-FR"/>
        </w:rPr>
        <w:t>M.</w:t>
      </w:r>
      <w:r w:rsidR="006B5AB0">
        <w:rPr>
          <w:sz w:val="22"/>
          <w:szCs w:val="22"/>
          <w:lang w:val="fr-FR"/>
        </w:rPr>
        <w:t> </w:t>
      </w:r>
      <w:r w:rsidR="00024A64" w:rsidRPr="00F91AFD">
        <w:rPr>
          <w:lang w:val="fr-FR"/>
        </w:rPr>
        <w:t>Mark</w:t>
      </w:r>
      <w:r w:rsidR="00F91AFD" w:rsidRPr="00F91AFD">
        <w:rPr>
          <w:sz w:val="22"/>
          <w:szCs w:val="22"/>
          <w:lang w:val="fr-FR"/>
        </w:rPr>
        <w:t> </w:t>
      </w:r>
      <w:proofErr w:type="spellStart"/>
      <w:r w:rsidR="00024A64" w:rsidRPr="00F91AFD">
        <w:rPr>
          <w:lang w:val="fr-FR"/>
        </w:rPr>
        <w:t>Dodgson</w:t>
      </w:r>
      <w:proofErr w:type="spellEnd"/>
      <w:r w:rsidR="00024A64" w:rsidRPr="00F91AFD">
        <w:rPr>
          <w:lang w:val="fr-FR"/>
        </w:rPr>
        <w:t>, Confédération internationale des n</w:t>
      </w:r>
      <w:r w:rsidRPr="00F91AFD">
        <w:rPr>
          <w:lang w:val="fr-FR"/>
        </w:rPr>
        <w:t xml:space="preserve">égociants en </w:t>
      </w:r>
      <w:r w:rsidR="00024A64" w:rsidRPr="00F91AFD">
        <w:rPr>
          <w:lang w:val="fr-FR"/>
        </w:rPr>
        <w:t xml:space="preserve">œuvres d’art </w:t>
      </w:r>
      <w:r w:rsidRPr="00F91AFD">
        <w:rPr>
          <w:lang w:val="fr-FR"/>
        </w:rPr>
        <w:t>(CINOA), Secrétaire général de l</w:t>
      </w:r>
      <w:r w:rsidR="0097203C" w:rsidRPr="00F91AFD">
        <w:rPr>
          <w:lang w:val="fr-FR"/>
        </w:rPr>
        <w:t>’</w:t>
      </w:r>
      <w:r w:rsidRPr="00F91AFD">
        <w:rPr>
          <w:lang w:val="fr-FR"/>
        </w:rPr>
        <w:t>Association des antiquaires britanniques (BADA), Londres (Royaume</w:t>
      </w:r>
      <w:r w:rsidR="00024A64" w:rsidRPr="00F91AFD">
        <w:rPr>
          <w:lang w:val="fr-FR"/>
        </w:rPr>
        <w:noBreakHyphen/>
      </w:r>
      <w:r w:rsidRPr="00F91AFD">
        <w:rPr>
          <w:lang w:val="fr-FR"/>
        </w:rPr>
        <w:t>Uni</w:t>
      </w:r>
      <w:proofErr w:type="gramStart"/>
      <w:r w:rsidRPr="00F91AFD">
        <w:rPr>
          <w:lang w:val="fr-FR"/>
        </w:rPr>
        <w:t>);</w:t>
      </w:r>
      <w:proofErr w:type="gramEnd"/>
    </w:p>
    <w:p w:rsidR="00E47718" w:rsidRPr="00A53363" w:rsidRDefault="00C138A4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>
        <w:rPr>
          <w:sz w:val="22"/>
          <w:szCs w:val="22"/>
          <w:lang w:val="fr-FR"/>
        </w:rPr>
        <w:t>le</w:t>
      </w:r>
      <w:proofErr w:type="gramEnd"/>
      <w:r w:rsidR="006D6323" w:rsidRPr="00A53363">
        <w:rPr>
          <w:sz w:val="22"/>
          <w:szCs w:val="22"/>
          <w:lang w:val="fr-FR"/>
        </w:rPr>
        <w:t xml:space="preserve"> r</w:t>
      </w:r>
      <w:r w:rsidR="003A6695" w:rsidRPr="00A53363">
        <w:rPr>
          <w:sz w:val="22"/>
          <w:szCs w:val="22"/>
          <w:lang w:val="fr-FR"/>
        </w:rPr>
        <w:t>eprésentant d</w:t>
      </w:r>
      <w:r w:rsidR="0097203C">
        <w:rPr>
          <w:sz w:val="22"/>
          <w:szCs w:val="22"/>
          <w:lang w:val="fr-FR"/>
        </w:rPr>
        <w:t>’</w:t>
      </w:r>
      <w:r w:rsidR="003A6695" w:rsidRPr="00A53363">
        <w:rPr>
          <w:sz w:val="22"/>
          <w:szCs w:val="22"/>
          <w:lang w:val="fr-FR"/>
        </w:rPr>
        <w:t>une maison de vente aux enchères, à déterminer;</w:t>
      </w:r>
    </w:p>
    <w:p w:rsidR="00E47718" w:rsidRPr="00A53363" w:rsidRDefault="003A6695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r w:rsidRPr="00A53363">
        <w:rPr>
          <w:sz w:val="22"/>
          <w:szCs w:val="22"/>
          <w:lang w:val="fr-FR"/>
        </w:rPr>
        <w:t>Mme</w:t>
      </w:r>
      <w:r w:rsidR="006B5AB0">
        <w:rPr>
          <w:sz w:val="22"/>
          <w:szCs w:val="22"/>
          <w:lang w:val="fr-FR"/>
        </w:rPr>
        <w:t> </w:t>
      </w:r>
      <w:r w:rsidR="00024A64">
        <w:rPr>
          <w:sz w:val="22"/>
          <w:szCs w:val="22"/>
          <w:lang w:val="fr-FR"/>
        </w:rPr>
        <w:t>É</w:t>
      </w:r>
      <w:r w:rsidRPr="00A53363">
        <w:rPr>
          <w:sz w:val="22"/>
          <w:szCs w:val="22"/>
          <w:lang w:val="fr-FR"/>
        </w:rPr>
        <w:t>milie</w:t>
      </w:r>
      <w:r w:rsidR="00F91AFD" w:rsidRPr="00F91AFD">
        <w:rPr>
          <w:sz w:val="22"/>
          <w:szCs w:val="22"/>
          <w:lang w:val="fr-FR"/>
        </w:rPr>
        <w:t> </w:t>
      </w:r>
      <w:proofErr w:type="spellStart"/>
      <w:r w:rsidRPr="00A53363">
        <w:rPr>
          <w:sz w:val="22"/>
          <w:szCs w:val="22"/>
          <w:lang w:val="fr-FR"/>
        </w:rPr>
        <w:t>Mermillod</w:t>
      </w:r>
      <w:proofErr w:type="spellEnd"/>
      <w:r w:rsidRPr="00A53363">
        <w:rPr>
          <w:sz w:val="22"/>
          <w:szCs w:val="22"/>
          <w:lang w:val="fr-FR"/>
        </w:rPr>
        <w:t xml:space="preserve">, Seydoux </w:t>
      </w:r>
      <w:r w:rsidR="00024A64">
        <w:rPr>
          <w:sz w:val="22"/>
          <w:szCs w:val="22"/>
          <w:lang w:val="fr-FR"/>
        </w:rPr>
        <w:t>associé</w:t>
      </w:r>
      <w:r w:rsidR="00024A64" w:rsidRPr="00A53363">
        <w:rPr>
          <w:sz w:val="22"/>
          <w:szCs w:val="22"/>
          <w:lang w:val="fr-FR"/>
        </w:rPr>
        <w:t>s Fine arts</w:t>
      </w:r>
      <w:r w:rsidR="004D1D30">
        <w:rPr>
          <w:sz w:val="22"/>
          <w:szCs w:val="22"/>
          <w:lang w:val="fr-FR"/>
        </w:rPr>
        <w:t> </w:t>
      </w:r>
      <w:r w:rsidRPr="00A53363">
        <w:rPr>
          <w:sz w:val="22"/>
          <w:szCs w:val="22"/>
          <w:lang w:val="fr-FR"/>
        </w:rPr>
        <w:t>SA, Genève (Suisse</w:t>
      </w:r>
      <w:proofErr w:type="gramStart"/>
      <w:r w:rsidRPr="00A53363">
        <w:rPr>
          <w:sz w:val="22"/>
          <w:szCs w:val="22"/>
          <w:lang w:val="fr-FR"/>
        </w:rPr>
        <w:t>);</w:t>
      </w:r>
      <w:proofErr w:type="gramEnd"/>
    </w:p>
    <w:p w:rsidR="00E47718" w:rsidRPr="00A53363" w:rsidRDefault="00C138A4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>
        <w:rPr>
          <w:sz w:val="22"/>
          <w:szCs w:val="22"/>
          <w:lang w:val="fr-FR"/>
        </w:rPr>
        <w:t>le</w:t>
      </w:r>
      <w:proofErr w:type="gramEnd"/>
      <w:r w:rsidR="006D6323" w:rsidRPr="00A53363">
        <w:rPr>
          <w:sz w:val="22"/>
          <w:szCs w:val="22"/>
          <w:lang w:val="fr-FR"/>
        </w:rPr>
        <w:t xml:space="preserve"> r</w:t>
      </w:r>
      <w:r w:rsidR="003A6695" w:rsidRPr="00A53363">
        <w:rPr>
          <w:sz w:val="22"/>
          <w:szCs w:val="22"/>
          <w:lang w:val="fr-FR"/>
        </w:rPr>
        <w:t>eprésentant du président</w:t>
      </w:r>
      <w:r w:rsidR="0097203C" w:rsidRPr="00A53363">
        <w:rPr>
          <w:sz w:val="22"/>
          <w:szCs w:val="22"/>
          <w:lang w:val="fr-FR"/>
        </w:rPr>
        <w:t xml:space="preserve"> du</w:t>
      </w:r>
      <w:r w:rsidR="0097203C">
        <w:rPr>
          <w:sz w:val="22"/>
          <w:szCs w:val="22"/>
          <w:lang w:val="fr-FR"/>
        </w:rPr>
        <w:t> </w:t>
      </w:r>
      <w:r w:rsidR="0097203C" w:rsidRPr="00A53363">
        <w:rPr>
          <w:sz w:val="22"/>
          <w:szCs w:val="22"/>
          <w:lang w:val="fr-FR"/>
        </w:rPr>
        <w:t>SCC</w:t>
      </w:r>
      <w:r w:rsidR="003A6695" w:rsidRPr="00A53363">
        <w:rPr>
          <w:sz w:val="22"/>
          <w:szCs w:val="22"/>
          <w:lang w:val="fr-FR"/>
        </w:rPr>
        <w:t>R</w:t>
      </w:r>
      <w:r w:rsidR="00024A64">
        <w:rPr>
          <w:sz w:val="22"/>
          <w:szCs w:val="22"/>
          <w:lang w:val="fr-FR"/>
        </w:rPr>
        <w:t xml:space="preserve">; </w:t>
      </w:r>
      <w:r w:rsidR="006B5AB0">
        <w:rPr>
          <w:sz w:val="22"/>
          <w:szCs w:val="22"/>
          <w:lang w:val="fr-FR"/>
        </w:rPr>
        <w:t xml:space="preserve"> </w:t>
      </w:r>
      <w:r w:rsidR="003A6695" w:rsidRPr="00A53363">
        <w:rPr>
          <w:sz w:val="22"/>
          <w:szCs w:val="22"/>
          <w:lang w:val="fr-FR"/>
        </w:rPr>
        <w:t>et</w:t>
      </w:r>
    </w:p>
    <w:p w:rsidR="00024A64" w:rsidRDefault="003A6695" w:rsidP="00E17FC4">
      <w:pPr>
        <w:pStyle w:val="Default"/>
        <w:numPr>
          <w:ilvl w:val="0"/>
          <w:numId w:val="10"/>
        </w:numPr>
        <w:spacing w:after="220"/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deux</w:t>
      </w:r>
      <w:proofErr w:type="gramEnd"/>
      <w:r w:rsidRPr="00A53363">
        <w:rPr>
          <w:sz w:val="22"/>
          <w:szCs w:val="22"/>
          <w:lang w:val="fr-FR"/>
        </w:rPr>
        <w:t xml:space="preserve"> vice</w:t>
      </w:r>
      <w:r w:rsidR="00024A64">
        <w:rPr>
          <w:sz w:val="22"/>
          <w:szCs w:val="22"/>
          <w:lang w:val="fr-FR"/>
        </w:rPr>
        <w:noBreakHyphen/>
      </w:r>
      <w:r w:rsidRPr="00A53363">
        <w:rPr>
          <w:sz w:val="22"/>
          <w:szCs w:val="22"/>
          <w:lang w:val="fr-FR"/>
        </w:rPr>
        <w:t>présidents</w:t>
      </w:r>
      <w:r w:rsidR="0097203C" w:rsidRPr="00A53363">
        <w:rPr>
          <w:sz w:val="22"/>
          <w:szCs w:val="22"/>
          <w:lang w:val="fr-FR"/>
        </w:rPr>
        <w:t xml:space="preserve"> du</w:t>
      </w:r>
      <w:r w:rsidR="0097203C">
        <w:rPr>
          <w:sz w:val="22"/>
          <w:szCs w:val="22"/>
          <w:lang w:val="fr-FR"/>
        </w:rPr>
        <w:t> </w:t>
      </w:r>
      <w:r w:rsidR="0097203C" w:rsidRPr="00A53363">
        <w:rPr>
          <w:sz w:val="22"/>
          <w:szCs w:val="22"/>
          <w:lang w:val="fr-FR"/>
        </w:rPr>
        <w:t>SCC</w:t>
      </w:r>
      <w:r w:rsidRPr="00A53363">
        <w:rPr>
          <w:sz w:val="22"/>
          <w:szCs w:val="22"/>
          <w:lang w:val="fr-FR"/>
        </w:rPr>
        <w:t>R.</w:t>
      </w:r>
    </w:p>
    <w:p w:rsidR="00024A64" w:rsidRDefault="00E47718" w:rsidP="00DC33C2">
      <w:pPr>
        <w:pStyle w:val="Default"/>
        <w:spacing w:after="480"/>
        <w:rPr>
          <w:sz w:val="22"/>
          <w:szCs w:val="22"/>
          <w:lang w:val="fr-FR"/>
        </w:rPr>
      </w:pPr>
      <w:r w:rsidRPr="00A53363">
        <w:rPr>
          <w:sz w:val="22"/>
          <w:szCs w:val="22"/>
          <w:lang w:val="fr-FR"/>
        </w:rPr>
        <w:t>Les coordonnateurs des groupes régionaux seront invités à participer en qualité d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observateu</w:t>
      </w:r>
      <w:r w:rsidR="00024A64" w:rsidRPr="00A53363">
        <w:rPr>
          <w:sz w:val="22"/>
          <w:szCs w:val="22"/>
          <w:lang w:val="fr-FR"/>
        </w:rPr>
        <w:t>rs</w:t>
      </w:r>
      <w:r w:rsidR="00024A64">
        <w:rPr>
          <w:sz w:val="22"/>
          <w:szCs w:val="22"/>
          <w:lang w:val="fr-FR"/>
        </w:rPr>
        <w:t xml:space="preserve">.  </w:t>
      </w:r>
      <w:r w:rsidR="00024A64" w:rsidRPr="00A53363">
        <w:rPr>
          <w:sz w:val="22"/>
          <w:szCs w:val="22"/>
          <w:lang w:val="fr-FR"/>
        </w:rPr>
        <w:t>Si</w:t>
      </w:r>
      <w:r w:rsidRPr="00A53363">
        <w:rPr>
          <w:sz w:val="22"/>
          <w:szCs w:val="22"/>
          <w:lang w:val="fr-FR"/>
        </w:rPr>
        <w:t xml:space="preserve"> 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établissement du rapport le requiert, 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équipe d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 xml:space="preserve">experts pourra ponctuellement être encouragée ou invitée à </w:t>
      </w:r>
      <w:r w:rsidR="00C138A4">
        <w:rPr>
          <w:sz w:val="22"/>
          <w:szCs w:val="22"/>
          <w:lang w:val="fr-FR"/>
        </w:rPr>
        <w:t>recueillir le point de vue</w:t>
      </w:r>
      <w:r w:rsidRPr="00A53363">
        <w:rPr>
          <w:sz w:val="22"/>
          <w:szCs w:val="22"/>
          <w:lang w:val="fr-FR"/>
        </w:rPr>
        <w:t xml:space="preserve"> d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autres experts.</w:t>
      </w:r>
    </w:p>
    <w:p w:rsidR="00024A64" w:rsidRDefault="00E47718" w:rsidP="00024A64">
      <w:pPr>
        <w:pStyle w:val="Default"/>
        <w:spacing w:after="220"/>
        <w:rPr>
          <w:b/>
          <w:sz w:val="22"/>
          <w:szCs w:val="22"/>
          <w:lang w:val="fr-FR"/>
        </w:rPr>
      </w:pPr>
      <w:r w:rsidRPr="00A53363">
        <w:rPr>
          <w:b/>
          <w:sz w:val="22"/>
          <w:szCs w:val="22"/>
          <w:lang w:val="fr-FR"/>
        </w:rPr>
        <w:t>Modalités de travail et mandat</w:t>
      </w:r>
    </w:p>
    <w:p w:rsidR="00024A64" w:rsidRDefault="00E47718" w:rsidP="00024A64">
      <w:pPr>
        <w:pStyle w:val="Default"/>
        <w:spacing w:after="220"/>
        <w:rPr>
          <w:sz w:val="22"/>
          <w:szCs w:val="22"/>
          <w:lang w:val="fr-FR"/>
        </w:rPr>
      </w:pPr>
      <w:r w:rsidRPr="00A53363">
        <w:rPr>
          <w:sz w:val="22"/>
          <w:szCs w:val="22"/>
          <w:lang w:val="fr-FR"/>
        </w:rPr>
        <w:t>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 xml:space="preserve">équipe </w:t>
      </w:r>
      <w:r w:rsidR="00A53363" w:rsidRPr="00A53363">
        <w:rPr>
          <w:sz w:val="22"/>
          <w:szCs w:val="22"/>
          <w:lang w:val="fr-FR"/>
        </w:rPr>
        <w:t>d</w:t>
      </w:r>
      <w:r w:rsidR="0097203C">
        <w:rPr>
          <w:sz w:val="22"/>
          <w:szCs w:val="22"/>
          <w:lang w:val="fr-FR"/>
        </w:rPr>
        <w:t>’</w:t>
      </w:r>
      <w:r w:rsidR="00A53363" w:rsidRPr="00A53363">
        <w:rPr>
          <w:sz w:val="22"/>
          <w:szCs w:val="22"/>
          <w:lang w:val="fr-FR"/>
        </w:rPr>
        <w:t>experts</w:t>
      </w:r>
      <w:r w:rsidRPr="00A53363">
        <w:rPr>
          <w:sz w:val="22"/>
          <w:szCs w:val="22"/>
          <w:lang w:val="fr-FR"/>
        </w:rPr>
        <w:t xml:space="preserve"> tiendra une première réunion </w:t>
      </w:r>
      <w:r w:rsidR="0097203C" w:rsidRPr="00A53363">
        <w:rPr>
          <w:sz w:val="22"/>
          <w:szCs w:val="22"/>
          <w:lang w:val="fr-FR"/>
        </w:rPr>
        <w:t>en</w:t>
      </w:r>
      <w:r w:rsidR="0097203C">
        <w:rPr>
          <w:sz w:val="22"/>
          <w:szCs w:val="22"/>
          <w:lang w:val="fr-FR"/>
        </w:rPr>
        <w:t> </w:t>
      </w:r>
      <w:r w:rsidR="0097203C" w:rsidRPr="00A53363">
        <w:rPr>
          <w:sz w:val="22"/>
          <w:szCs w:val="22"/>
          <w:lang w:val="fr-FR"/>
        </w:rPr>
        <w:t>2018</w:t>
      </w:r>
      <w:r w:rsidRPr="00A53363">
        <w:rPr>
          <w:sz w:val="22"/>
          <w:szCs w:val="22"/>
          <w:lang w:val="fr-FR"/>
        </w:rPr>
        <w:t>.</w:t>
      </w:r>
      <w:r w:rsidR="005512A1" w:rsidRPr="00A53363">
        <w:rPr>
          <w:sz w:val="22"/>
          <w:szCs w:val="22"/>
          <w:lang w:val="fr-FR"/>
        </w:rPr>
        <w:t xml:space="preserve">  </w:t>
      </w:r>
      <w:r w:rsidRPr="00A53363">
        <w:rPr>
          <w:sz w:val="22"/>
          <w:szCs w:val="22"/>
          <w:lang w:val="fr-FR"/>
        </w:rPr>
        <w:t xml:space="preserve">Plusieurs autres échanges seront organisés </w:t>
      </w:r>
      <w:r w:rsidR="0097203C" w:rsidRPr="00A53363">
        <w:rPr>
          <w:sz w:val="22"/>
          <w:szCs w:val="22"/>
          <w:lang w:val="fr-FR"/>
        </w:rPr>
        <w:t>en</w:t>
      </w:r>
      <w:r w:rsidR="0097203C">
        <w:rPr>
          <w:sz w:val="22"/>
          <w:szCs w:val="22"/>
          <w:lang w:val="fr-FR"/>
        </w:rPr>
        <w:t> </w:t>
      </w:r>
      <w:r w:rsidR="0097203C" w:rsidRPr="00A53363">
        <w:rPr>
          <w:sz w:val="22"/>
          <w:szCs w:val="22"/>
          <w:lang w:val="fr-FR"/>
        </w:rPr>
        <w:t>2019</w:t>
      </w:r>
      <w:r w:rsidRPr="00A53363">
        <w:rPr>
          <w:sz w:val="22"/>
          <w:szCs w:val="22"/>
          <w:lang w:val="fr-FR"/>
        </w:rPr>
        <w:t xml:space="preserve">, notamment </w:t>
      </w:r>
      <w:r w:rsidR="00A53363" w:rsidRPr="00A53363">
        <w:rPr>
          <w:sz w:val="22"/>
          <w:szCs w:val="22"/>
          <w:lang w:val="fr-FR"/>
        </w:rPr>
        <w:t>à l</w:t>
      </w:r>
      <w:r w:rsidR="0097203C">
        <w:rPr>
          <w:sz w:val="22"/>
          <w:szCs w:val="22"/>
          <w:lang w:val="fr-FR"/>
        </w:rPr>
        <w:t>’</w:t>
      </w:r>
      <w:r w:rsidR="00A53363" w:rsidRPr="00A53363">
        <w:rPr>
          <w:sz w:val="22"/>
          <w:szCs w:val="22"/>
          <w:lang w:val="fr-FR"/>
        </w:rPr>
        <w:t>aide de moyens techniques (</w:t>
      </w:r>
      <w:r w:rsidRPr="00A53363">
        <w:rPr>
          <w:sz w:val="22"/>
          <w:szCs w:val="22"/>
          <w:lang w:val="fr-FR"/>
        </w:rPr>
        <w:t>téléconférences</w:t>
      </w:r>
      <w:r w:rsidR="00A53363" w:rsidRPr="00A53363">
        <w:rPr>
          <w:sz w:val="22"/>
          <w:szCs w:val="22"/>
          <w:lang w:val="fr-FR"/>
        </w:rPr>
        <w:t>)</w:t>
      </w:r>
      <w:r w:rsidRPr="00A53363">
        <w:rPr>
          <w:sz w:val="22"/>
          <w:szCs w:val="22"/>
          <w:lang w:val="fr-FR"/>
        </w:rPr>
        <w:t>, avant que 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équipe d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experts ne présente son rapport</w:t>
      </w:r>
      <w:r w:rsidR="0097203C" w:rsidRPr="00A53363">
        <w:rPr>
          <w:sz w:val="22"/>
          <w:szCs w:val="22"/>
          <w:lang w:val="fr-FR"/>
        </w:rPr>
        <w:t xml:space="preserve"> au</w:t>
      </w:r>
      <w:r w:rsidR="0097203C">
        <w:rPr>
          <w:sz w:val="22"/>
          <w:szCs w:val="22"/>
          <w:lang w:val="fr-FR"/>
        </w:rPr>
        <w:t> </w:t>
      </w:r>
      <w:r w:rsidR="0097203C" w:rsidRPr="00A53363">
        <w:rPr>
          <w:sz w:val="22"/>
          <w:szCs w:val="22"/>
          <w:lang w:val="fr-FR"/>
        </w:rPr>
        <w:t>SCC</w:t>
      </w:r>
      <w:r w:rsidRPr="00A53363">
        <w:rPr>
          <w:sz w:val="22"/>
          <w:szCs w:val="22"/>
          <w:lang w:val="fr-FR"/>
        </w:rPr>
        <w:t>R.</w:t>
      </w:r>
    </w:p>
    <w:p w:rsidR="00E47718" w:rsidRPr="00A53363" w:rsidRDefault="00E47718" w:rsidP="00E47718">
      <w:pPr>
        <w:pStyle w:val="Default"/>
        <w:spacing w:after="220"/>
        <w:rPr>
          <w:sz w:val="22"/>
          <w:szCs w:val="22"/>
          <w:lang w:val="fr-FR"/>
        </w:rPr>
      </w:pPr>
      <w:r w:rsidRPr="00A53363">
        <w:rPr>
          <w:sz w:val="22"/>
          <w:szCs w:val="22"/>
          <w:lang w:val="fr-FR"/>
        </w:rPr>
        <w:t>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équipe d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experts examinera les éléments essentiels</w:t>
      </w:r>
      <w:r w:rsidR="00A53363" w:rsidRPr="00A53363">
        <w:rPr>
          <w:sz w:val="22"/>
          <w:szCs w:val="22"/>
          <w:lang w:val="fr-FR"/>
        </w:rPr>
        <w:t xml:space="preserve"> d</w:t>
      </w:r>
      <w:r w:rsidR="0097203C">
        <w:rPr>
          <w:sz w:val="22"/>
          <w:szCs w:val="22"/>
          <w:lang w:val="fr-FR"/>
        </w:rPr>
        <w:t>’</w:t>
      </w:r>
      <w:r w:rsidR="00A53363" w:rsidRPr="00A53363">
        <w:rPr>
          <w:sz w:val="22"/>
          <w:szCs w:val="22"/>
          <w:lang w:val="fr-FR"/>
        </w:rPr>
        <w:t>un système de droit de suite</w:t>
      </w:r>
      <w:r w:rsidRPr="00A53363">
        <w:rPr>
          <w:sz w:val="22"/>
          <w:szCs w:val="22"/>
          <w:lang w:val="fr-FR"/>
        </w:rPr>
        <w:t xml:space="preserve"> qui sont communs à la plupart des lois et couvrent en particulier les thèmes suivants</w:t>
      </w:r>
      <w:r w:rsidR="006B5AB0">
        <w:rPr>
          <w:sz w:val="22"/>
          <w:szCs w:val="22"/>
          <w:lang w:val="fr-FR"/>
        </w:rPr>
        <w:t> </w:t>
      </w:r>
      <w:r w:rsidRPr="00A53363">
        <w:rPr>
          <w:sz w:val="22"/>
          <w:szCs w:val="22"/>
          <w:lang w:val="fr-FR"/>
        </w:rPr>
        <w:t>:</w:t>
      </w:r>
    </w:p>
    <w:p w:rsidR="00E47718" w:rsidRPr="00A53363" w:rsidRDefault="00E47718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le</w:t>
      </w:r>
      <w:proofErr w:type="gramEnd"/>
      <w:r w:rsidRPr="00A53363">
        <w:rPr>
          <w:sz w:val="22"/>
          <w:szCs w:val="22"/>
          <w:lang w:val="fr-FR"/>
        </w:rPr>
        <w:t xml:space="preserve"> fondement d</w:t>
      </w:r>
      <w:r w:rsidR="00A53363" w:rsidRPr="00A53363">
        <w:rPr>
          <w:sz w:val="22"/>
          <w:szCs w:val="22"/>
          <w:lang w:val="fr-FR"/>
        </w:rPr>
        <w:t>e ce</w:t>
      </w:r>
      <w:r w:rsidRPr="00A53363">
        <w:rPr>
          <w:sz w:val="22"/>
          <w:szCs w:val="22"/>
          <w:lang w:val="fr-FR"/>
        </w:rPr>
        <w:t xml:space="preserve"> droit, </w:t>
      </w:r>
      <w:r w:rsidR="0097203C">
        <w:rPr>
          <w:sz w:val="22"/>
          <w:szCs w:val="22"/>
          <w:lang w:val="fr-FR"/>
        </w:rPr>
        <w:t>y compris</w:t>
      </w:r>
      <w:r w:rsidRPr="00A53363">
        <w:rPr>
          <w:sz w:val="22"/>
          <w:szCs w:val="22"/>
          <w:lang w:val="fr-FR"/>
        </w:rPr>
        <w:t xml:space="preserve"> 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augmentation de la valeur de 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œuvre d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art;</w:t>
      </w:r>
    </w:p>
    <w:p w:rsidR="0097203C" w:rsidRDefault="00E47718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les</w:t>
      </w:r>
      <w:proofErr w:type="gramEnd"/>
      <w:r w:rsidRPr="00A53363">
        <w:rPr>
          <w:sz w:val="22"/>
          <w:szCs w:val="22"/>
          <w:lang w:val="fr-FR"/>
        </w:rPr>
        <w:t xml:space="preserve"> </w:t>
      </w:r>
      <w:r w:rsidR="00A53363" w:rsidRPr="00A53363">
        <w:rPr>
          <w:sz w:val="22"/>
          <w:szCs w:val="22"/>
          <w:lang w:val="fr-FR"/>
        </w:rPr>
        <w:t>œuvres</w:t>
      </w:r>
      <w:r w:rsidRPr="00A53363">
        <w:rPr>
          <w:sz w:val="22"/>
          <w:szCs w:val="22"/>
          <w:lang w:val="fr-FR"/>
        </w:rPr>
        <w:t xml:space="preserve"> visées;</w:t>
      </w:r>
    </w:p>
    <w:p w:rsidR="00E47718" w:rsidRPr="00A53363" w:rsidRDefault="00E47718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l</w:t>
      </w:r>
      <w:r w:rsidR="0097203C">
        <w:rPr>
          <w:sz w:val="22"/>
          <w:szCs w:val="22"/>
          <w:lang w:val="fr-FR"/>
        </w:rPr>
        <w:t>’</w:t>
      </w:r>
      <w:r w:rsidRPr="00A53363">
        <w:rPr>
          <w:sz w:val="22"/>
          <w:szCs w:val="22"/>
          <w:lang w:val="fr-FR"/>
        </w:rPr>
        <w:t>établissement</w:t>
      </w:r>
      <w:proofErr w:type="gramEnd"/>
      <w:r w:rsidRPr="00A53363">
        <w:rPr>
          <w:sz w:val="22"/>
          <w:szCs w:val="22"/>
          <w:lang w:val="fr-FR"/>
        </w:rPr>
        <w:t xml:space="preserve"> du taux;</w:t>
      </w:r>
    </w:p>
    <w:p w:rsidR="00E47718" w:rsidRPr="00A53363" w:rsidRDefault="00E47718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le</w:t>
      </w:r>
      <w:proofErr w:type="gramEnd"/>
      <w:r w:rsidRPr="00A53363">
        <w:rPr>
          <w:sz w:val="22"/>
          <w:szCs w:val="22"/>
          <w:lang w:val="fr-FR"/>
        </w:rPr>
        <w:t xml:space="preserve"> mode de perception et de répartition;</w:t>
      </w:r>
    </w:p>
    <w:p w:rsidR="00E47718" w:rsidRPr="00A53363" w:rsidRDefault="00E47718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les</w:t>
      </w:r>
      <w:proofErr w:type="gramEnd"/>
      <w:r w:rsidRPr="00A53363">
        <w:rPr>
          <w:sz w:val="22"/>
          <w:szCs w:val="22"/>
          <w:lang w:val="fr-FR"/>
        </w:rPr>
        <w:t xml:space="preserve"> transactions visées;</w:t>
      </w:r>
    </w:p>
    <w:p w:rsidR="00E47718" w:rsidRPr="00A53363" w:rsidRDefault="00E47718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les</w:t>
      </w:r>
      <w:proofErr w:type="gramEnd"/>
      <w:r w:rsidRPr="00A53363">
        <w:rPr>
          <w:sz w:val="22"/>
          <w:szCs w:val="22"/>
          <w:lang w:val="fr-FR"/>
        </w:rPr>
        <w:t xml:space="preserve"> personnes pouvant revendiquer ce droit;</w:t>
      </w:r>
    </w:p>
    <w:p w:rsidR="00E47718" w:rsidRPr="00A53363" w:rsidRDefault="00E47718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la</w:t>
      </w:r>
      <w:proofErr w:type="gramEnd"/>
      <w:r w:rsidRPr="00A53363">
        <w:rPr>
          <w:sz w:val="22"/>
          <w:szCs w:val="22"/>
          <w:lang w:val="fr-FR"/>
        </w:rPr>
        <w:t xml:space="preserve"> gestion d</w:t>
      </w:r>
      <w:r w:rsidR="00A53363" w:rsidRPr="00A53363">
        <w:rPr>
          <w:sz w:val="22"/>
          <w:szCs w:val="22"/>
          <w:lang w:val="fr-FR"/>
        </w:rPr>
        <w:t>e</w:t>
      </w:r>
      <w:r w:rsidRPr="00A53363">
        <w:rPr>
          <w:sz w:val="22"/>
          <w:szCs w:val="22"/>
          <w:lang w:val="fr-FR"/>
        </w:rPr>
        <w:t xml:space="preserve"> </w:t>
      </w:r>
      <w:r w:rsidR="00A53363" w:rsidRPr="00A53363">
        <w:rPr>
          <w:sz w:val="22"/>
          <w:szCs w:val="22"/>
          <w:lang w:val="fr-FR"/>
        </w:rPr>
        <w:t xml:space="preserve">ce </w:t>
      </w:r>
      <w:r w:rsidRPr="00A53363">
        <w:rPr>
          <w:sz w:val="22"/>
          <w:szCs w:val="22"/>
          <w:lang w:val="fr-FR"/>
        </w:rPr>
        <w:t>droit;</w:t>
      </w:r>
    </w:p>
    <w:p w:rsidR="00E47718" w:rsidRPr="00A53363" w:rsidRDefault="00E47718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la</w:t>
      </w:r>
      <w:proofErr w:type="gramEnd"/>
      <w:r w:rsidRPr="00A53363">
        <w:rPr>
          <w:sz w:val="22"/>
          <w:szCs w:val="22"/>
          <w:lang w:val="fr-FR"/>
        </w:rPr>
        <w:t xml:space="preserve"> responsabilité du paiement;</w:t>
      </w:r>
    </w:p>
    <w:p w:rsidR="00E47718" w:rsidRPr="00A53363" w:rsidRDefault="00E47718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les</w:t>
      </w:r>
      <w:proofErr w:type="gramEnd"/>
      <w:r w:rsidRPr="00A53363">
        <w:rPr>
          <w:sz w:val="22"/>
          <w:szCs w:val="22"/>
          <w:lang w:val="fr-FR"/>
        </w:rPr>
        <w:t xml:space="preserve"> informations sur les reventes; </w:t>
      </w:r>
      <w:r w:rsidR="006B5AB0">
        <w:rPr>
          <w:sz w:val="22"/>
          <w:szCs w:val="22"/>
          <w:lang w:val="fr-FR"/>
        </w:rPr>
        <w:t xml:space="preserve"> </w:t>
      </w:r>
      <w:r w:rsidRPr="00A53363">
        <w:rPr>
          <w:sz w:val="22"/>
          <w:szCs w:val="22"/>
          <w:lang w:val="fr-FR"/>
        </w:rPr>
        <w:t>et</w:t>
      </w:r>
    </w:p>
    <w:p w:rsidR="00024A64" w:rsidRDefault="00A53363" w:rsidP="00E17FC4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  <w:lang w:val="fr-FR"/>
        </w:rPr>
      </w:pPr>
      <w:proofErr w:type="gramStart"/>
      <w:r w:rsidRPr="00A53363">
        <w:rPr>
          <w:sz w:val="22"/>
          <w:szCs w:val="22"/>
          <w:lang w:val="fr-FR"/>
        </w:rPr>
        <w:t>t</w:t>
      </w:r>
      <w:r w:rsidR="00E47718" w:rsidRPr="00A53363">
        <w:rPr>
          <w:sz w:val="22"/>
          <w:szCs w:val="22"/>
          <w:lang w:val="fr-FR"/>
        </w:rPr>
        <w:t>oute</w:t>
      </w:r>
      <w:proofErr w:type="gramEnd"/>
      <w:r w:rsidR="00E47718" w:rsidRPr="00A53363">
        <w:rPr>
          <w:sz w:val="22"/>
          <w:szCs w:val="22"/>
          <w:lang w:val="fr-FR"/>
        </w:rPr>
        <w:t xml:space="preserve"> autre question convenue par le groupe d</w:t>
      </w:r>
      <w:r w:rsidR="0097203C">
        <w:rPr>
          <w:sz w:val="22"/>
          <w:szCs w:val="22"/>
          <w:lang w:val="fr-FR"/>
        </w:rPr>
        <w:t>’</w:t>
      </w:r>
      <w:r w:rsidR="00E47718" w:rsidRPr="00A53363">
        <w:rPr>
          <w:sz w:val="22"/>
          <w:szCs w:val="22"/>
          <w:lang w:val="fr-FR"/>
        </w:rPr>
        <w:t>experts.</w:t>
      </w:r>
    </w:p>
    <w:p w:rsidR="005512A1" w:rsidRPr="00A53363" w:rsidRDefault="00E47718" w:rsidP="00EA3D86">
      <w:pPr>
        <w:pStyle w:val="Default"/>
        <w:spacing w:before="720"/>
        <w:ind w:left="5534"/>
        <w:rPr>
          <w:sz w:val="22"/>
          <w:szCs w:val="22"/>
          <w:lang w:val="fr-FR"/>
        </w:rPr>
      </w:pPr>
      <w:r w:rsidRPr="00A53363">
        <w:rPr>
          <w:sz w:val="22"/>
          <w:szCs w:val="22"/>
          <w:lang w:val="fr-FR"/>
        </w:rPr>
        <w:t>[Fin du document]</w:t>
      </w:r>
    </w:p>
    <w:sectPr w:rsidR="005512A1" w:rsidRPr="00A53363" w:rsidSect="00825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A1" w:rsidRDefault="005512A1">
      <w:r>
        <w:separator/>
      </w:r>
    </w:p>
  </w:endnote>
  <w:endnote w:type="continuationSeparator" w:id="0">
    <w:p w:rsidR="005512A1" w:rsidRDefault="005512A1" w:rsidP="003B38C1">
      <w:r>
        <w:separator/>
      </w:r>
    </w:p>
    <w:p w:rsidR="005512A1" w:rsidRPr="003B38C1" w:rsidRDefault="005512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512A1" w:rsidRPr="003B38C1" w:rsidRDefault="005512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64" w:rsidRDefault="00024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64" w:rsidRDefault="00024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64" w:rsidRDefault="00024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A1" w:rsidRDefault="005512A1">
      <w:r>
        <w:separator/>
      </w:r>
    </w:p>
  </w:footnote>
  <w:footnote w:type="continuationSeparator" w:id="0">
    <w:p w:rsidR="005512A1" w:rsidRDefault="005512A1" w:rsidP="008B60B2">
      <w:r>
        <w:separator/>
      </w:r>
    </w:p>
    <w:p w:rsidR="005512A1" w:rsidRPr="00ED77FB" w:rsidRDefault="005512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512A1" w:rsidRPr="00ED77FB" w:rsidRDefault="005512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64" w:rsidRDefault="00024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512A1" w:rsidP="00477D6B">
    <w:pPr>
      <w:jc w:val="right"/>
    </w:pPr>
    <w:bookmarkStart w:id="6" w:name="Code2"/>
    <w:bookmarkEnd w:id="6"/>
    <w:r>
      <w:t>SCCR/37/</w:t>
    </w:r>
    <w:r w:rsidR="00963415">
      <w:t>5</w:t>
    </w:r>
  </w:p>
  <w:p w:rsidR="00024A64" w:rsidRDefault="00EC4E49" w:rsidP="00477D6B">
    <w:pPr>
      <w:jc w:val="right"/>
    </w:pPr>
    <w:r>
      <w:t>page</w:t>
    </w:r>
    <w:r w:rsidR="00024A6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E3BB9">
      <w:rPr>
        <w:noProof/>
      </w:rPr>
      <w:t>2</w:t>
    </w:r>
    <w:r>
      <w:fldChar w:fldCharType="end"/>
    </w: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64" w:rsidRDefault="00024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604F64"/>
    <w:multiLevelType w:val="hybridMultilevel"/>
    <w:tmpl w:val="9C6A0FFA"/>
    <w:lvl w:ilvl="0" w:tplc="B6CC3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A4FD9"/>
    <w:multiLevelType w:val="hybridMultilevel"/>
    <w:tmpl w:val="CE7C2114"/>
    <w:lvl w:ilvl="0" w:tplc="20420AA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2945745"/>
    <w:multiLevelType w:val="hybridMultilevel"/>
    <w:tmpl w:val="58C631D4"/>
    <w:lvl w:ilvl="0" w:tplc="97AC1CF2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02D88"/>
    <w:multiLevelType w:val="hybridMultilevel"/>
    <w:tmpl w:val="EE805AE6"/>
    <w:lvl w:ilvl="0" w:tplc="EEACD1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"/>
    <w:docVar w:name="TextBaseURL" w:val="empty"/>
    <w:docVar w:name="UILng" w:val="en"/>
  </w:docVars>
  <w:rsids>
    <w:rsidRoot w:val="005512A1"/>
    <w:rsid w:val="00024A64"/>
    <w:rsid w:val="00043CAA"/>
    <w:rsid w:val="00075432"/>
    <w:rsid w:val="000968ED"/>
    <w:rsid w:val="000E3BB9"/>
    <w:rsid w:val="000F5E56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695"/>
    <w:rsid w:val="003A6F89"/>
    <w:rsid w:val="003B38C1"/>
    <w:rsid w:val="00423E3E"/>
    <w:rsid w:val="00427AF4"/>
    <w:rsid w:val="004647DA"/>
    <w:rsid w:val="00474062"/>
    <w:rsid w:val="00477D6B"/>
    <w:rsid w:val="004A0453"/>
    <w:rsid w:val="004D1D30"/>
    <w:rsid w:val="005019FF"/>
    <w:rsid w:val="0053057A"/>
    <w:rsid w:val="005512A1"/>
    <w:rsid w:val="00560A29"/>
    <w:rsid w:val="0057447D"/>
    <w:rsid w:val="005B7BE3"/>
    <w:rsid w:val="005C6649"/>
    <w:rsid w:val="0060160C"/>
    <w:rsid w:val="00605827"/>
    <w:rsid w:val="00646050"/>
    <w:rsid w:val="006713CA"/>
    <w:rsid w:val="00676C5C"/>
    <w:rsid w:val="006A0430"/>
    <w:rsid w:val="006B5AB0"/>
    <w:rsid w:val="006C1E8D"/>
    <w:rsid w:val="006D6323"/>
    <w:rsid w:val="00765622"/>
    <w:rsid w:val="007D1613"/>
    <w:rsid w:val="007E4C0E"/>
    <w:rsid w:val="00825D47"/>
    <w:rsid w:val="008A134B"/>
    <w:rsid w:val="008B2CC1"/>
    <w:rsid w:val="008B60B2"/>
    <w:rsid w:val="0090731E"/>
    <w:rsid w:val="00916EE2"/>
    <w:rsid w:val="0095155E"/>
    <w:rsid w:val="00963415"/>
    <w:rsid w:val="00966A22"/>
    <w:rsid w:val="0096722F"/>
    <w:rsid w:val="0097203C"/>
    <w:rsid w:val="00980843"/>
    <w:rsid w:val="009E2791"/>
    <w:rsid w:val="009E3F6F"/>
    <w:rsid w:val="009F499F"/>
    <w:rsid w:val="00A222AF"/>
    <w:rsid w:val="00A37342"/>
    <w:rsid w:val="00A42DAF"/>
    <w:rsid w:val="00A45BD8"/>
    <w:rsid w:val="00A53363"/>
    <w:rsid w:val="00A869B7"/>
    <w:rsid w:val="00AC205C"/>
    <w:rsid w:val="00AF0A6B"/>
    <w:rsid w:val="00B05A69"/>
    <w:rsid w:val="00B9734B"/>
    <w:rsid w:val="00BA30E2"/>
    <w:rsid w:val="00BD2045"/>
    <w:rsid w:val="00C11BFE"/>
    <w:rsid w:val="00C138A4"/>
    <w:rsid w:val="00C5068F"/>
    <w:rsid w:val="00C66ACA"/>
    <w:rsid w:val="00C86D74"/>
    <w:rsid w:val="00CC5AF2"/>
    <w:rsid w:val="00CD04F1"/>
    <w:rsid w:val="00CF430B"/>
    <w:rsid w:val="00D45252"/>
    <w:rsid w:val="00D50C24"/>
    <w:rsid w:val="00D60F9C"/>
    <w:rsid w:val="00D71B4D"/>
    <w:rsid w:val="00D93D55"/>
    <w:rsid w:val="00DC33C2"/>
    <w:rsid w:val="00DC3991"/>
    <w:rsid w:val="00E15015"/>
    <w:rsid w:val="00E17FC4"/>
    <w:rsid w:val="00E335FE"/>
    <w:rsid w:val="00E47718"/>
    <w:rsid w:val="00EA3D86"/>
    <w:rsid w:val="00EA7D6E"/>
    <w:rsid w:val="00EC4E49"/>
    <w:rsid w:val="00ED77FB"/>
    <w:rsid w:val="00EE45FA"/>
    <w:rsid w:val="00F66152"/>
    <w:rsid w:val="00F76FDD"/>
    <w:rsid w:val="00F91AFD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F864D929-08BB-45D5-9E67-4A9E3225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5512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5512A1"/>
  </w:style>
  <w:style w:type="character" w:styleId="Hyperlink">
    <w:name w:val="Hyperlink"/>
    <w:basedOn w:val="DefaultParagraphFont"/>
    <w:semiHidden/>
    <w:unhideWhenUsed/>
    <w:rsid w:val="00024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0</TotalTime>
  <Pages>2</Pages>
  <Words>405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2</cp:revision>
  <cp:lastPrinted>2018-11-19T10:54:00Z</cp:lastPrinted>
  <dcterms:created xsi:type="dcterms:W3CDTF">2018-11-22T13:50:00Z</dcterms:created>
  <dcterms:modified xsi:type="dcterms:W3CDTF">2018-11-22T13:50:00Z</dcterms:modified>
</cp:coreProperties>
</file>