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A2663">
      <w:pPr>
        <w:pBdr>
          <w:top w:val="single" w:sz="4" w:space="10" w:color="auto"/>
        </w:pBdr>
        <w:bidi w:val="0"/>
        <w:rPr>
          <w:rFonts w:ascii="Arial Black" w:eastAsia="SimSun" w:hAnsi="Arial Black" w:cs="Arial"/>
          <w:b/>
          <w:caps/>
          <w:noProof/>
          <w:sz w:val="16"/>
          <w:szCs w:val="16"/>
          <w:rtl/>
          <w:lang w:eastAsia="zh-CN"/>
        </w:rPr>
      </w:pPr>
      <w:bookmarkStart w:id="3" w:name="Code2"/>
      <w:r w:rsidRPr="00EA2663">
        <w:rPr>
          <w:rFonts w:ascii="Arial Black" w:eastAsia="SimSun" w:hAnsi="Arial Black" w:cs="Arial"/>
          <w:b/>
          <w:caps/>
          <w:noProof/>
          <w:sz w:val="16"/>
          <w:szCs w:val="16"/>
          <w:lang w:eastAsia="zh-CN"/>
        </w:rPr>
        <w:t>SCCR/37</w:t>
      </w:r>
      <w:r w:rsidR="006230C8">
        <w:rPr>
          <w:rFonts w:ascii="Arial Black" w:eastAsia="SimSun" w:hAnsi="Arial Black" w:cs="Arial"/>
          <w:b/>
          <w:caps/>
          <w:noProof/>
          <w:sz w:val="16"/>
          <w:szCs w:val="16"/>
          <w:lang w:eastAsia="zh-CN"/>
        </w:rPr>
        <w:t>/</w:t>
      </w:r>
      <w:r w:rsidR="000A3BA0">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0A3BA0">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A3BA0">
        <w:rPr>
          <w:b/>
          <w:bCs/>
          <w:sz w:val="30"/>
          <w:szCs w:val="30"/>
          <w:rtl/>
        </w:rPr>
        <w:t>19 سبتمبر 2018</w:t>
      </w:r>
    </w:p>
    <w:p w:rsidR="002E7810" w:rsidRPr="00FD6D15" w:rsidRDefault="00EA2663" w:rsidP="009B7572">
      <w:pPr>
        <w:pStyle w:val="Heading1"/>
        <w:spacing w:after="600" w:line="240" w:lineRule="auto"/>
        <w:rPr>
          <w:rtl/>
        </w:rPr>
      </w:pPr>
      <w:r w:rsidRPr="00EA2663">
        <w:rPr>
          <w:rtl/>
        </w:rPr>
        <w:t>اللجنة الدائمة المعنية بحق المؤلف والحقوق المجاورة</w:t>
      </w:r>
    </w:p>
    <w:p w:rsidR="002E7810" w:rsidRPr="002E7810" w:rsidRDefault="00EA2663" w:rsidP="00874721">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2E7810" w:rsidRPr="002E7810" w:rsidRDefault="00EA2663" w:rsidP="00874721">
      <w:pPr>
        <w:spacing w:line="600" w:lineRule="auto"/>
        <w:rPr>
          <w:b/>
          <w:bCs/>
          <w:rtl/>
        </w:rPr>
      </w:pPr>
      <w:r w:rsidRPr="00EA2663">
        <w:rPr>
          <w:b/>
          <w:bCs/>
          <w:rtl/>
        </w:rPr>
        <w:t>جنيف، من 26 إلى 30 نوفمبر 2018</w:t>
      </w:r>
    </w:p>
    <w:p w:rsidR="002E7810" w:rsidRPr="002E7810" w:rsidRDefault="000A3BA0" w:rsidP="00874721">
      <w:pPr>
        <w:rPr>
          <w:rFonts w:ascii="Arial Black" w:hAnsi="Arial Black" w:cs="PT Bold Heading"/>
          <w:sz w:val="26"/>
          <w:szCs w:val="26"/>
          <w:rtl/>
        </w:rPr>
      </w:pPr>
      <w:r>
        <w:rPr>
          <w:rFonts w:ascii="Arial Black" w:hAnsi="Arial Black" w:cs="PT Bold Heading" w:hint="eastAsia"/>
          <w:sz w:val="26"/>
          <w:szCs w:val="26"/>
          <w:rtl/>
        </w:rPr>
        <w:t>اقتراح</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وفد</w:t>
      </w:r>
      <w:r>
        <w:rPr>
          <w:rFonts w:ascii="Arial Black" w:hAnsi="Arial Black" w:cs="PT Bold Heading"/>
          <w:sz w:val="26"/>
          <w:szCs w:val="26"/>
          <w:rtl/>
        </w:rPr>
        <w:t xml:space="preserve"> </w:t>
      </w:r>
      <w:r>
        <w:rPr>
          <w:rFonts w:ascii="Arial Black" w:hAnsi="Arial Black" w:cs="PT Bold Heading" w:hint="eastAsia"/>
          <w:sz w:val="26"/>
          <w:szCs w:val="26"/>
          <w:rtl/>
        </w:rPr>
        <w:t>الأرجنتين</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0A3BA0">
        <w:rPr>
          <w:rFonts w:hint="eastAsia"/>
          <w:i/>
          <w:iCs/>
          <w:rtl/>
        </w:rPr>
        <w:t>وفد</w:t>
      </w:r>
      <w:r w:rsidR="000A3BA0">
        <w:rPr>
          <w:i/>
          <w:iCs/>
          <w:rtl/>
        </w:rPr>
        <w:t xml:space="preserve"> الأرجنتين</w:t>
      </w:r>
    </w:p>
    <w:p w:rsidR="000A3BA0" w:rsidRDefault="000A3BA0">
      <w:pPr>
        <w:bidi w:val="0"/>
        <w:rPr>
          <w:rtl/>
          <w:lang w:bidi="ar-EG"/>
        </w:rPr>
      </w:pPr>
      <w:r>
        <w:rPr>
          <w:rtl/>
        </w:rPr>
        <w:br w:type="page"/>
      </w:r>
    </w:p>
    <w:p w:rsidR="00E3612C" w:rsidRPr="00FD6D15" w:rsidRDefault="00A266D3" w:rsidP="009156CF">
      <w:pPr>
        <w:pStyle w:val="ONUMA"/>
      </w:pPr>
      <w:r>
        <w:rPr>
          <w:rFonts w:hint="cs"/>
          <w:rtl/>
        </w:rPr>
        <w:lastRenderedPageBreak/>
        <w:t>بمراعاة المناقشات التي أجريت في الدورة السادسة والثلاثين للجنة الدائمة المعنية بحق المؤلف والحقوق المجاورة (لجنة</w:t>
      </w:r>
      <w:r>
        <w:rPr>
          <w:rFonts w:hint="eastAsia"/>
          <w:rtl/>
        </w:rPr>
        <w:t> </w:t>
      </w:r>
      <w:r>
        <w:rPr>
          <w:rFonts w:hint="cs"/>
          <w:rtl/>
        </w:rPr>
        <w:t>حق المؤلف)، نقترح تصنيف الإرسالات المؤجلة فيما يلي فقط: "1" الإرسالات المؤجلة المطابقة</w:t>
      </w:r>
      <w:r w:rsidR="00BF75D0">
        <w:rPr>
          <w:rFonts w:hint="cs"/>
          <w:rtl/>
        </w:rPr>
        <w:t xml:space="preserve"> للبث</w:t>
      </w:r>
      <w:r>
        <w:rPr>
          <w:rFonts w:hint="cs"/>
          <w:rtl/>
        </w:rPr>
        <w:t xml:space="preserve">؛ </w:t>
      </w:r>
      <w:r w:rsidR="009156CF">
        <w:rPr>
          <w:rFonts w:hint="cs"/>
          <w:rtl/>
        </w:rPr>
        <w:t>و</w:t>
      </w:r>
      <w:r>
        <w:rPr>
          <w:rFonts w:hint="cs"/>
          <w:rtl/>
        </w:rPr>
        <w:t>"2"</w:t>
      </w:r>
      <w:r w:rsidR="009156CF">
        <w:rPr>
          <w:rFonts w:hint="eastAsia"/>
          <w:rtl/>
        </w:rPr>
        <w:t> </w:t>
      </w:r>
      <w:r>
        <w:rPr>
          <w:rFonts w:hint="cs"/>
          <w:rtl/>
        </w:rPr>
        <w:t>الإرسالات المؤجلة الأخرى.</w:t>
      </w:r>
    </w:p>
    <w:p w:rsidR="00BF75D0" w:rsidRDefault="0041321A" w:rsidP="0041321A">
      <w:pPr>
        <w:pStyle w:val="ONUMA"/>
      </w:pPr>
      <w:r>
        <w:rPr>
          <w:rtl/>
          <w:lang w:bidi="ar-EG"/>
        </w:rPr>
        <w:t>و</w:t>
      </w:r>
      <w:r w:rsidR="00A266D3" w:rsidRPr="00A266D3">
        <w:rPr>
          <w:rtl/>
          <w:lang w:bidi="ar-EG"/>
        </w:rPr>
        <w:t xml:space="preserve">الإرسالات المؤجلة المطابقة </w:t>
      </w:r>
      <w:r w:rsidR="00BF75D0">
        <w:rPr>
          <w:rFonts w:hint="cs"/>
          <w:rtl/>
          <w:lang w:bidi="ar-EG"/>
        </w:rPr>
        <w:t xml:space="preserve">للبث </w:t>
      </w:r>
      <w:r>
        <w:rPr>
          <w:rFonts w:hint="cs"/>
          <w:rtl/>
          <w:lang w:bidi="ar-EG"/>
        </w:rPr>
        <w:t xml:space="preserve">هي الإرسالات التي تبثها </w:t>
      </w:r>
      <w:r w:rsidR="00550CA8">
        <w:rPr>
          <w:rFonts w:hint="cs"/>
          <w:rtl/>
          <w:lang w:bidi="ar-EG"/>
        </w:rPr>
        <w:t xml:space="preserve">هيئة البث </w:t>
      </w:r>
      <w:r>
        <w:rPr>
          <w:rFonts w:hint="cs"/>
          <w:rtl/>
          <w:lang w:bidi="ar-EG"/>
        </w:rPr>
        <w:t>و</w:t>
      </w:r>
      <w:r w:rsidR="00550CA8">
        <w:rPr>
          <w:rtl/>
          <w:lang w:bidi="ar-EG"/>
        </w:rPr>
        <w:t xml:space="preserve">تتطابق مع </w:t>
      </w:r>
      <w:r w:rsidR="00A266D3" w:rsidRPr="00A266D3">
        <w:rPr>
          <w:rtl/>
          <w:lang w:bidi="ar-EG"/>
        </w:rPr>
        <w:t>إرسالات</w:t>
      </w:r>
      <w:r w:rsidR="00550CA8">
        <w:rPr>
          <w:rFonts w:hint="cs"/>
          <w:rtl/>
          <w:lang w:bidi="ar-EG"/>
        </w:rPr>
        <w:t>ها</w:t>
      </w:r>
      <w:r w:rsidR="00A266D3" w:rsidRPr="00A266D3">
        <w:rPr>
          <w:rtl/>
          <w:lang w:bidi="ar-EG"/>
        </w:rPr>
        <w:t xml:space="preserve"> الخطية وتكون متاحة </w:t>
      </w:r>
      <w:r w:rsidR="00550CA8">
        <w:rPr>
          <w:rFonts w:hint="cs"/>
          <w:rtl/>
          <w:lang w:bidi="ar-EG"/>
        </w:rPr>
        <w:t xml:space="preserve">للجمهور </w:t>
      </w:r>
      <w:r>
        <w:rPr>
          <w:rFonts w:hint="cs"/>
          <w:rtl/>
          <w:lang w:bidi="ar-EG"/>
        </w:rPr>
        <w:t>ل</w:t>
      </w:r>
      <w:r w:rsidR="00550CA8">
        <w:rPr>
          <w:rtl/>
          <w:lang w:bidi="ar-EG"/>
        </w:rPr>
        <w:t>عدد محدود من الأسابيع أو الأشهر</w:t>
      </w:r>
      <w:r w:rsidR="00BF75D0">
        <w:rPr>
          <w:rFonts w:hint="cs"/>
          <w:rtl/>
          <w:lang w:bidi="ar-EG"/>
        </w:rPr>
        <w:t xml:space="preserve">، مثل </w:t>
      </w:r>
      <w:r w:rsidR="00BF75D0" w:rsidRPr="00BF75D0">
        <w:rPr>
          <w:rtl/>
          <w:lang w:bidi="ar-EG"/>
        </w:rPr>
        <w:t xml:space="preserve">الإعادة عبر الإنترنت، وخدمات استدراك البرامج حسب الطلب، </w:t>
      </w:r>
      <w:r w:rsidR="00BF75D0">
        <w:rPr>
          <w:rFonts w:hint="cs"/>
          <w:rtl/>
          <w:lang w:bidi="ar-EG"/>
        </w:rPr>
        <w:t>والعروض المسبقة</w:t>
      </w:r>
      <w:r w:rsidR="00BF75D0" w:rsidRPr="00BF75D0">
        <w:rPr>
          <w:rtl/>
          <w:lang w:bidi="ar-EG"/>
        </w:rPr>
        <w:t>.</w:t>
      </w:r>
    </w:p>
    <w:p w:rsidR="00BF75D0" w:rsidRDefault="00BF75D0" w:rsidP="00BF75D0">
      <w:pPr>
        <w:pStyle w:val="ONUMA"/>
      </w:pPr>
      <w:r>
        <w:rPr>
          <w:rFonts w:hint="cs"/>
          <w:rtl/>
          <w:lang w:bidi="ar-EG"/>
        </w:rPr>
        <w:t>وبناء عليه، نقترح إدخال التعديلات التالية على الجزء باء من الوثيقة</w:t>
      </w:r>
      <w:r>
        <w:rPr>
          <w:rFonts w:hint="eastAsia"/>
          <w:rtl/>
          <w:lang w:bidi="ar-EG"/>
        </w:rPr>
        <w:t> </w:t>
      </w:r>
      <w:r w:rsidRPr="00BF75D0">
        <w:rPr>
          <w:lang w:bidi="ar-EG"/>
        </w:rPr>
        <w:t>SCCR/36/6</w:t>
      </w:r>
      <w:r>
        <w:rPr>
          <w:rFonts w:hint="cs"/>
          <w:rtl/>
          <w:lang w:bidi="ar-EG"/>
        </w:rPr>
        <w:t>.</w:t>
      </w:r>
    </w:p>
    <w:p w:rsidR="00C41AE0" w:rsidRPr="00A266D3" w:rsidRDefault="00BF75D0" w:rsidP="00BF75D0">
      <w:pPr>
        <w:pStyle w:val="ONUMA"/>
        <w:rPr>
          <w:rtl/>
        </w:rPr>
      </w:pPr>
      <w:r>
        <w:rPr>
          <w:rFonts w:hint="cs"/>
          <w:rtl/>
          <w:lang w:bidi="ar-EG"/>
        </w:rPr>
        <w:t xml:space="preserve">إزالة التعريفين التاليين: "1" </w:t>
      </w:r>
      <w:r w:rsidRPr="00BF75D0">
        <w:rPr>
          <w:rtl/>
          <w:lang w:bidi="ar-EG"/>
        </w:rPr>
        <w:t>" الإرسالات المؤجلة ذات الصلة الوثيقة</w:t>
      </w:r>
    </w:p>
    <w:p w:rsidR="000D7E81" w:rsidRPr="00BF75D0" w:rsidRDefault="00BF75D0" w:rsidP="000D7E81">
      <w:pPr>
        <w:pStyle w:val="BodyText"/>
        <w:rPr>
          <w:b/>
          <w:bCs/>
          <w:rtl/>
        </w:rPr>
      </w:pPr>
      <w:r w:rsidRPr="00BF75D0">
        <w:rPr>
          <w:rFonts w:hint="cs"/>
          <w:b/>
          <w:bCs/>
          <w:rtl/>
        </w:rPr>
        <w:t>أولا.</w:t>
      </w:r>
      <w:r w:rsidRPr="00BF75D0">
        <w:rPr>
          <w:b/>
          <w:bCs/>
          <w:rtl/>
        </w:rPr>
        <w:tab/>
      </w:r>
      <w:r w:rsidRPr="00BF75D0">
        <w:rPr>
          <w:rFonts w:hint="cs"/>
          <w:b/>
          <w:bCs/>
          <w:rtl/>
        </w:rPr>
        <w:t>التعاريف</w:t>
      </w:r>
    </w:p>
    <w:p w:rsidR="00BF75D0" w:rsidRDefault="0041321A" w:rsidP="008F4A91">
      <w:pPr>
        <w:pStyle w:val="BodyText"/>
        <w:numPr>
          <w:ilvl w:val="0"/>
          <w:numId w:val="46"/>
        </w:numPr>
        <w:rPr>
          <w:rtl/>
          <w:lang w:bidi="ar-SA"/>
        </w:rPr>
      </w:pPr>
      <w:r>
        <w:rPr>
          <w:rFonts w:hint="cs"/>
          <w:rtl/>
        </w:rPr>
        <w:t>تعديل التعريف الوارد في (ح) "</w:t>
      </w:r>
      <w:r w:rsidRPr="0041321A">
        <w:rPr>
          <w:rFonts w:hint="cs"/>
          <w:rtl/>
          <w:lang w:bidi="ar-SA"/>
        </w:rPr>
        <w:t>الإرسالات المؤجلة المطابقة للبث</w:t>
      </w:r>
      <w:r>
        <w:rPr>
          <w:rFonts w:hint="cs"/>
          <w:rtl/>
          <w:lang w:bidi="ar-SA"/>
        </w:rPr>
        <w:t>" كما يلي:</w:t>
      </w:r>
    </w:p>
    <w:p w:rsidR="0041321A" w:rsidRPr="000D7E81" w:rsidRDefault="0041321A" w:rsidP="0041321A">
      <w:pPr>
        <w:pStyle w:val="BodyText"/>
        <w:ind w:left="566"/>
        <w:rPr>
          <w:rtl/>
        </w:rPr>
      </w:pPr>
      <w:r>
        <w:rPr>
          <w:rFonts w:hint="cs"/>
          <w:rtl/>
          <w:lang w:bidi="ar-SA"/>
        </w:rPr>
        <w:t>(ح)</w:t>
      </w:r>
      <w:r w:rsidR="008F4A91">
        <w:rPr>
          <w:rtl/>
          <w:lang w:bidi="ar-SA"/>
        </w:rPr>
        <w:tab/>
      </w:r>
      <w:r w:rsidRPr="0041321A">
        <w:rPr>
          <w:rtl/>
          <w:lang w:bidi="ar-SA"/>
        </w:rPr>
        <w:t>يقصد بعبارة "الإرسالات المؤجلة المطابقة للبث" الإرسالات المؤجلة</w:t>
      </w:r>
      <w:r>
        <w:rPr>
          <w:rFonts w:hint="cs"/>
          <w:rtl/>
          <w:lang w:bidi="ar-SA"/>
        </w:rPr>
        <w:t xml:space="preserve"> التي تبثها هيئة البث وتتطابق مع إرسالاتها الخطية ولا تكون متاحة للجمهور سوى لعدد محدود من الأسابيع أو الأشهر.</w:t>
      </w:r>
      <w:r>
        <w:rPr>
          <w:rStyle w:val="FootnoteReference"/>
          <w:rtl/>
          <w:lang w:bidi="ar-SA"/>
        </w:rPr>
        <w:footnoteReference w:id="1"/>
      </w:r>
      <w:r>
        <w:rPr>
          <w:rStyle w:val="FootnoteReference"/>
          <w:rtl/>
          <w:lang w:bidi="ar-SA"/>
        </w:rPr>
        <w:footnoteReference w:id="2"/>
      </w:r>
    </w:p>
    <w:p w:rsidR="00FD6D15" w:rsidRDefault="008F4A91" w:rsidP="008F4A91">
      <w:pPr>
        <w:pStyle w:val="BodyText"/>
        <w:numPr>
          <w:ilvl w:val="0"/>
          <w:numId w:val="46"/>
        </w:numPr>
        <w:rPr>
          <w:rtl/>
          <w:lang w:bidi="ar-SA"/>
        </w:rPr>
      </w:pPr>
      <w:r>
        <w:rPr>
          <w:rFonts w:hint="cs"/>
          <w:rtl/>
        </w:rPr>
        <w:t xml:space="preserve">حذف التعريفين التاليين: </w:t>
      </w:r>
      <w:r w:rsidRPr="008F4A91">
        <w:rPr>
          <w:rtl/>
          <w:lang w:bidi="ar-SA"/>
        </w:rPr>
        <w:t>(ط)</w:t>
      </w:r>
      <w:r w:rsidR="009156CF">
        <w:rPr>
          <w:rFonts w:hint="cs"/>
          <w:rtl/>
          <w:lang w:bidi="ar-SA"/>
        </w:rPr>
        <w:t xml:space="preserve"> </w:t>
      </w:r>
      <w:r w:rsidRPr="008F4A91">
        <w:rPr>
          <w:rtl/>
          <w:lang w:bidi="ar-SA"/>
        </w:rPr>
        <w:t>" الإرسالات المؤجلة ذات الصلة الوثيقة"</w:t>
      </w:r>
      <w:r>
        <w:rPr>
          <w:rFonts w:hint="cs"/>
          <w:rtl/>
          <w:lang w:bidi="ar-SA"/>
        </w:rPr>
        <w:t xml:space="preserve"> و</w:t>
      </w:r>
      <w:r w:rsidRPr="008F4A91">
        <w:rPr>
          <w:rtl/>
          <w:lang w:bidi="ar-SA"/>
        </w:rPr>
        <w:t>(ي)</w:t>
      </w:r>
      <w:r>
        <w:rPr>
          <w:rFonts w:hint="cs"/>
          <w:rtl/>
          <w:lang w:bidi="ar-SA"/>
        </w:rPr>
        <w:t xml:space="preserve"> </w:t>
      </w:r>
      <w:r w:rsidRPr="008F4A91">
        <w:rPr>
          <w:rtl/>
          <w:lang w:bidi="ar-SA"/>
        </w:rPr>
        <w:t>"الإرسالات المؤجلة غير المتصلة"</w:t>
      </w:r>
      <w:r>
        <w:rPr>
          <w:rFonts w:hint="cs"/>
          <w:rtl/>
          <w:lang w:bidi="ar-SA"/>
        </w:rPr>
        <w:t>.</w:t>
      </w:r>
    </w:p>
    <w:p w:rsidR="008F4A91" w:rsidRPr="008F4A91" w:rsidRDefault="008F4A91" w:rsidP="008F4A91">
      <w:pPr>
        <w:pStyle w:val="BodyText"/>
        <w:rPr>
          <w:b/>
          <w:bCs/>
          <w:rtl/>
        </w:rPr>
      </w:pPr>
      <w:r w:rsidRPr="008F4A91">
        <w:rPr>
          <w:rFonts w:hint="cs"/>
          <w:b/>
          <w:bCs/>
          <w:rtl/>
        </w:rPr>
        <w:t>ثانيا.</w:t>
      </w:r>
      <w:r w:rsidRPr="008F4A91">
        <w:rPr>
          <w:b/>
          <w:bCs/>
          <w:rtl/>
        </w:rPr>
        <w:tab/>
      </w:r>
      <w:r w:rsidRPr="008F4A91">
        <w:rPr>
          <w:rFonts w:hint="cs"/>
          <w:b/>
          <w:bCs/>
          <w:rtl/>
        </w:rPr>
        <w:t>موضوع الحماية (البديل باء)</w:t>
      </w:r>
    </w:p>
    <w:p w:rsidR="008F4A91" w:rsidRDefault="008F4A91" w:rsidP="008F4A91">
      <w:pPr>
        <w:pStyle w:val="BodyText"/>
        <w:numPr>
          <w:ilvl w:val="0"/>
          <w:numId w:val="46"/>
        </w:numPr>
        <w:rPr>
          <w:rtl/>
        </w:rPr>
      </w:pPr>
      <w:r>
        <w:rPr>
          <w:rFonts w:hint="cs"/>
          <w:rtl/>
        </w:rPr>
        <w:t>-</w:t>
      </w:r>
      <w:r>
        <w:rPr>
          <w:rtl/>
        </w:rPr>
        <w:tab/>
      </w:r>
      <w:r>
        <w:rPr>
          <w:rFonts w:hint="cs"/>
          <w:rtl/>
        </w:rPr>
        <w:t>تعديل الفقرة (4) كما يلي:</w:t>
      </w:r>
    </w:p>
    <w:p w:rsidR="008F4A91" w:rsidRDefault="008F4A91" w:rsidP="008F4A91">
      <w:pPr>
        <w:pStyle w:val="BodyText"/>
        <w:rPr>
          <w:rtl/>
          <w:lang w:bidi="ar-SA"/>
        </w:rPr>
      </w:pPr>
      <w:r>
        <w:rPr>
          <w:rFonts w:hint="cs"/>
          <w:rtl/>
        </w:rPr>
        <w:t>(4)</w:t>
      </w:r>
      <w:r>
        <w:rPr>
          <w:rtl/>
        </w:rPr>
        <w:tab/>
      </w:r>
      <w:r w:rsidRPr="008F4A91">
        <w:rPr>
          <w:rtl/>
          <w:lang w:bidi="ar-SA"/>
        </w:rPr>
        <w:t>"1"</w:t>
      </w:r>
      <w:r w:rsidRPr="008F4A91">
        <w:rPr>
          <w:rFonts w:hint="cs"/>
          <w:rtl/>
          <w:lang w:bidi="ar-SA"/>
        </w:rPr>
        <w:tab/>
      </w:r>
      <w:r w:rsidRPr="008F4A91">
        <w:rPr>
          <w:rtl/>
          <w:lang w:bidi="ar-SA"/>
        </w:rPr>
        <w:t xml:space="preserve">يجوز </w:t>
      </w:r>
      <w:r>
        <w:rPr>
          <w:rtl/>
          <w:lang w:bidi="ar-SA"/>
        </w:rPr>
        <w:t>أن تتمتع هيئات البث بالحماية ل</w:t>
      </w:r>
      <w:r>
        <w:rPr>
          <w:rFonts w:hint="cs"/>
          <w:rtl/>
          <w:lang w:bidi="ar-SA"/>
        </w:rPr>
        <w:t>أي إ</w:t>
      </w:r>
      <w:r>
        <w:rPr>
          <w:rtl/>
          <w:lang w:bidi="ar-SA"/>
        </w:rPr>
        <w:t xml:space="preserve">رسال </w:t>
      </w:r>
      <w:r w:rsidRPr="008F4A91">
        <w:rPr>
          <w:rtl/>
          <w:lang w:bidi="ar-SA"/>
        </w:rPr>
        <w:t xml:space="preserve">مؤجل </w:t>
      </w:r>
      <w:r>
        <w:rPr>
          <w:rFonts w:hint="cs"/>
          <w:rtl/>
          <w:lang w:bidi="ar-SA"/>
        </w:rPr>
        <w:t>آخر</w:t>
      </w:r>
      <w:r w:rsidRPr="008F4A91">
        <w:rPr>
          <w:rtl/>
          <w:lang w:bidi="ar-SA"/>
        </w:rPr>
        <w:t>.</w:t>
      </w:r>
    </w:p>
    <w:p w:rsidR="008F4A91" w:rsidRDefault="008F4A91" w:rsidP="008F4A91">
      <w:pPr>
        <w:pStyle w:val="BodyText"/>
        <w:ind w:left="566"/>
        <w:rPr>
          <w:rtl/>
          <w:lang w:bidi="ar-SA"/>
        </w:rPr>
      </w:pPr>
      <w:r>
        <w:rPr>
          <w:rFonts w:hint="cs"/>
          <w:rtl/>
          <w:lang w:bidi="ar-SA"/>
        </w:rPr>
        <w:t>"2"</w:t>
      </w:r>
      <w:r>
        <w:rPr>
          <w:rtl/>
          <w:lang w:bidi="ar-SA"/>
        </w:rPr>
        <w:tab/>
      </w:r>
      <w:r w:rsidRPr="008F4A91">
        <w:rPr>
          <w:rtl/>
          <w:lang w:bidi="ar-SA"/>
        </w:rPr>
        <w:t>يجوز للأطراف المتعاقدة أن تنص على أن تتمتع هيئة بث تابعة لطرف متعاقد آخر بالحق المشار إليه في الفقرة الفرعية "1" أعلاه فقط إذا كان تشريع ذلك الطرف المتعاقد الآخر ينص على منح حماية مماثلة.</w:t>
      </w:r>
    </w:p>
    <w:p w:rsidR="004F4633" w:rsidRDefault="004F4633" w:rsidP="004F4633">
      <w:pPr>
        <w:pStyle w:val="BodyText"/>
        <w:numPr>
          <w:ilvl w:val="0"/>
          <w:numId w:val="46"/>
        </w:numPr>
      </w:pPr>
      <w:r>
        <w:rPr>
          <w:rFonts w:hint="cs"/>
          <w:rtl/>
        </w:rPr>
        <w:t>حذف الفقرة (3) لتصبح الفقرة (4)، بالصيغة المعدّلة أعلاه، الفقرة الجديدة (3).</w:t>
      </w:r>
    </w:p>
    <w:p w:rsidR="004F4633" w:rsidRPr="00C41AE0" w:rsidRDefault="004F4633" w:rsidP="009156CF">
      <w:pPr>
        <w:pStyle w:val="Endofdocument-Annex"/>
        <w:rPr>
          <w:rtl/>
        </w:rPr>
      </w:pPr>
      <w:r>
        <w:rPr>
          <w:rFonts w:hint="cs"/>
          <w:rtl/>
        </w:rPr>
        <w:t>[نهاية الوثيقة]</w:t>
      </w:r>
    </w:p>
    <w:sectPr w:rsidR="004F4633" w:rsidRPr="00C41AE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A0" w:rsidRDefault="000A3BA0">
      <w:r>
        <w:separator/>
      </w:r>
    </w:p>
  </w:endnote>
  <w:endnote w:type="continuationSeparator" w:id="0">
    <w:p w:rsidR="000A3BA0" w:rsidRDefault="000A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A0" w:rsidRDefault="000A3BA0" w:rsidP="009622BF">
      <w:bookmarkStart w:id="0" w:name="OLE_LINK1"/>
      <w:bookmarkStart w:id="1" w:name="OLE_LINK2"/>
      <w:r>
        <w:separator/>
      </w:r>
      <w:bookmarkEnd w:id="0"/>
      <w:bookmarkEnd w:id="1"/>
    </w:p>
  </w:footnote>
  <w:footnote w:type="continuationSeparator" w:id="0">
    <w:p w:rsidR="000A3BA0" w:rsidRDefault="000A3BA0" w:rsidP="009622BF">
      <w:r>
        <w:separator/>
      </w:r>
    </w:p>
  </w:footnote>
  <w:footnote w:id="1">
    <w:p w:rsidR="0041321A" w:rsidRDefault="0041321A" w:rsidP="004F4633">
      <w:pPr>
        <w:pStyle w:val="FootnoteText"/>
        <w:rPr>
          <w:lang w:bidi="ar-SA"/>
        </w:rPr>
      </w:pPr>
      <w:r>
        <w:rPr>
          <w:rStyle w:val="FootnoteReference"/>
        </w:rPr>
        <w:footnoteRef/>
      </w:r>
      <w:r>
        <w:rPr>
          <w:rtl/>
        </w:rPr>
        <w:t xml:space="preserve"> </w:t>
      </w:r>
      <w:r w:rsidR="004F4633" w:rsidRPr="004F4633">
        <w:rPr>
          <w:rFonts w:hint="cs"/>
          <w:b/>
          <w:bCs/>
          <w:i/>
          <w:iCs/>
          <w:rtl/>
          <w:lang w:bidi="ar-SA"/>
        </w:rPr>
        <w:t>بيان متفق عليه بشأن "</w:t>
      </w:r>
      <w:r w:rsidR="00A266D3" w:rsidRPr="004F4633">
        <w:rPr>
          <w:b/>
          <w:bCs/>
          <w:i/>
          <w:iCs/>
          <w:rtl/>
        </w:rPr>
        <w:t xml:space="preserve">الإرسالات المؤجلة المطابقة </w:t>
      </w:r>
      <w:r w:rsidR="004F4633" w:rsidRPr="004F4633">
        <w:rPr>
          <w:rFonts w:hint="cs"/>
          <w:b/>
          <w:bCs/>
          <w:i/>
          <w:iCs/>
          <w:rtl/>
          <w:lang w:bidi="ar-SA"/>
        </w:rPr>
        <w:t>للبث" و"الإرسالات المؤجلة الأخرى"</w:t>
      </w:r>
      <w:r w:rsidR="004F4633" w:rsidRPr="004F4633">
        <w:rPr>
          <w:rFonts w:hint="cs"/>
          <w:rtl/>
          <w:lang w:bidi="ar-SA"/>
        </w:rPr>
        <w:t>:</w:t>
      </w:r>
      <w:r w:rsidR="004F4633">
        <w:rPr>
          <w:rFonts w:hint="cs"/>
          <w:rtl/>
          <w:lang w:bidi="ar-SA"/>
        </w:rPr>
        <w:t xml:space="preserve"> تشمل الإرسالات المؤجلة المطابقة للبث </w:t>
      </w:r>
      <w:r w:rsidR="004F4633">
        <w:rPr>
          <w:rtl/>
        </w:rPr>
        <w:t>الإعادة عبر الإنترنت</w:t>
      </w:r>
      <w:r w:rsidR="004F4633">
        <w:rPr>
          <w:rFonts w:hint="cs"/>
          <w:rtl/>
        </w:rPr>
        <w:t xml:space="preserve">، </w:t>
      </w:r>
      <w:r w:rsidR="00BF75D0" w:rsidRPr="004F4633">
        <w:rPr>
          <w:rtl/>
        </w:rPr>
        <w:t>وخدمات استدراك البرامج حسب الطلب</w:t>
      </w:r>
      <w:r w:rsidR="004F4633">
        <w:rPr>
          <w:rFonts w:hint="cs"/>
          <w:rtl/>
        </w:rPr>
        <w:t xml:space="preserve">، والعروض المسبقة. وتشمل الإرسالات المؤجلة الأخرى </w:t>
      </w:r>
      <w:r w:rsidR="004F4633" w:rsidRPr="004F4633">
        <w:rPr>
          <w:rtl/>
        </w:rPr>
        <w:t>الأحداث الرياضية الموازية، والتغطية الإضافية للأخبار أو</w:t>
      </w:r>
      <w:r w:rsidR="004F4633">
        <w:rPr>
          <w:rFonts w:hint="cs"/>
          <w:rtl/>
        </w:rPr>
        <w:t> </w:t>
      </w:r>
      <w:r w:rsidR="004F4633">
        <w:rPr>
          <w:rtl/>
        </w:rPr>
        <w:t>البرامج،</w:t>
      </w:r>
      <w:r w:rsidR="004F4633">
        <w:rPr>
          <w:rFonts w:hint="cs"/>
          <w:rtl/>
        </w:rPr>
        <w:t xml:space="preserve"> </w:t>
      </w:r>
      <w:r w:rsidR="004F4633" w:rsidRPr="004F4633">
        <w:rPr>
          <w:rtl/>
        </w:rPr>
        <w:t>والمقابلات الإضاف</w:t>
      </w:r>
      <w:r w:rsidR="004F4633">
        <w:rPr>
          <w:rtl/>
        </w:rPr>
        <w:t>ية، وبرامج ما وراء الكواليس</w:t>
      </w:r>
      <w:r w:rsidR="004F4633">
        <w:rPr>
          <w:rFonts w:hint="cs"/>
          <w:rtl/>
        </w:rPr>
        <w:t>، و</w:t>
      </w:r>
      <w:r w:rsidR="004F4633" w:rsidRPr="004F4633">
        <w:rPr>
          <w:rtl/>
        </w:rPr>
        <w:t>قنوات البث الصرفة على الإنترنت حسب الطلب</w:t>
      </w:r>
      <w:r w:rsidR="004F4633">
        <w:rPr>
          <w:rFonts w:hint="cs"/>
          <w:rtl/>
        </w:rPr>
        <w:t>، و</w:t>
      </w:r>
      <w:r w:rsidR="004F4633" w:rsidRPr="004F4633">
        <w:rPr>
          <w:rtl/>
        </w:rPr>
        <w:t>الكتالوجات حسب الطلب</w:t>
      </w:r>
      <w:r w:rsidR="004F4633">
        <w:rPr>
          <w:rFonts w:hint="cs"/>
          <w:rtl/>
        </w:rPr>
        <w:t>.</w:t>
      </w:r>
    </w:p>
  </w:footnote>
  <w:footnote w:id="2">
    <w:p w:rsidR="0041321A" w:rsidRPr="009156CF" w:rsidRDefault="0041321A" w:rsidP="009156CF">
      <w:pPr>
        <w:pStyle w:val="FootnoteText"/>
        <w:rPr>
          <w:lang w:bidi="ar-SA"/>
        </w:rPr>
      </w:pPr>
      <w:r>
        <w:rPr>
          <w:rStyle w:val="FootnoteReference"/>
        </w:rPr>
        <w:footnoteRef/>
      </w:r>
      <w:r>
        <w:rPr>
          <w:rtl/>
        </w:rPr>
        <w:t xml:space="preserve"> </w:t>
      </w:r>
      <w:r w:rsidR="009156CF" w:rsidRPr="009156CF">
        <w:rPr>
          <w:rFonts w:hint="cs"/>
          <w:b/>
          <w:bCs/>
          <w:i/>
          <w:iCs/>
          <w:rtl/>
          <w:lang w:bidi="ar-SA"/>
        </w:rPr>
        <w:t>بيان متفق عليه بشأن</w:t>
      </w:r>
      <w:r w:rsidR="009156CF">
        <w:rPr>
          <w:rFonts w:hint="cs"/>
          <w:b/>
          <w:bCs/>
          <w:i/>
          <w:iCs/>
          <w:rtl/>
          <w:lang w:bidi="ar-SA"/>
        </w:rPr>
        <w:t xml:space="preserve"> "لعدد محدود من الأسابيع أو الأشهر"</w:t>
      </w:r>
      <w:r w:rsidR="009156CF">
        <w:rPr>
          <w:rFonts w:hint="cs"/>
          <w:rtl/>
          <w:lang w:bidi="ar-SA"/>
        </w:rPr>
        <w:t>. هذه العبارة مستخدمة في التعريف عن قصد للإبقاء على مختلف استخدامات القطاع في كل أنحاء العالم من حيث تمديد فترة خدمات استدراك البرامج والإعادة عبر الإنترنت.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A0" w:rsidRDefault="000A3BA0" w:rsidP="0023693F">
    <w:pPr>
      <w:bidi w:val="0"/>
      <w:rPr>
        <w:rFonts w:ascii="Arial" w:hAnsi="Arial" w:cs="Arial"/>
        <w:sz w:val="22"/>
        <w:szCs w:val="22"/>
      </w:rPr>
    </w:pPr>
    <w:bookmarkStart w:id="4" w:name="Code3"/>
    <w:bookmarkEnd w:id="4"/>
    <w:r>
      <w:rPr>
        <w:rFonts w:ascii="Arial" w:hAnsi="Arial" w:cs="Arial"/>
        <w:sz w:val="22"/>
        <w:szCs w:val="22"/>
      </w:rPr>
      <w:t>SCCR/37/2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66C4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1392D72"/>
    <w:multiLevelType w:val="hybridMultilevel"/>
    <w:tmpl w:val="3BCC79FA"/>
    <w:lvl w:ilvl="0" w:tplc="54E2F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nsid w:val="6F380132"/>
    <w:multiLevelType w:val="hybridMultilevel"/>
    <w:tmpl w:val="868C29FE"/>
    <w:lvl w:ilvl="0" w:tplc="C3460D4C">
      <w:numFmt w:val="bullet"/>
      <w:lvlText w:val="-"/>
      <w:lvlJc w:val="left"/>
      <w:pPr>
        <w:ind w:left="930" w:hanging="57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8"/>
  </w:num>
  <w:num w:numId="5">
    <w:abstractNumId w:val="8"/>
  </w:num>
  <w:num w:numId="6">
    <w:abstractNumId w:val="39"/>
  </w:num>
  <w:num w:numId="7">
    <w:abstractNumId w:val="21"/>
  </w:num>
  <w:num w:numId="8">
    <w:abstractNumId w:val="36"/>
  </w:num>
  <w:num w:numId="9">
    <w:abstractNumId w:val="32"/>
  </w:num>
  <w:num w:numId="10">
    <w:abstractNumId w:val="4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1"/>
  </w:num>
  <w:num w:numId="46">
    <w:abstractNumId w:val="18"/>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revisionView w:inkAnnotation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A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3BA0"/>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D7DD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21A"/>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4633"/>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C20"/>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0CA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4A9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56CF"/>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6D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75D0"/>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6C42"/>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D818-BFC3-4DF4-890C-A66E1910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SCCR/37/2_x000d_ (Arabic)</vt:lpstr>
    </vt:vector>
  </TitlesOfParts>
  <Company>World Intellectual Property Organization</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SCCR/37/2_x000d_ (Arabic)</dc:title>
  <dc:creator>MERZOUK Fawzi</dc:creator>
  <cp:lastModifiedBy>HAIZEL Francesca</cp:lastModifiedBy>
  <cp:revision>2</cp:revision>
  <cp:lastPrinted>2018-06-12T09:05:00Z</cp:lastPrinted>
  <dcterms:created xsi:type="dcterms:W3CDTF">2018-10-10T07:18:00Z</dcterms:created>
  <dcterms:modified xsi:type="dcterms:W3CDTF">2018-10-10T07:18:00Z</dcterms:modified>
</cp:coreProperties>
</file>