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ED5D68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ED5D68">
              <w:t>6</w:t>
            </w:r>
            <w:r w:rsidR="006A153C">
              <w:t>/</w:t>
            </w:r>
            <w:r w:rsidR="00ED5D68">
              <w:t>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53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53921">
              <w:rPr>
                <w:rFonts w:hint="cs"/>
                <w:rtl/>
                <w:lang w:val="en-GB" w:bidi="ar-MA"/>
              </w:rPr>
              <w:t>ب</w:t>
            </w:r>
            <w:r w:rsidR="00053921" w:rsidRPr="00053921">
              <w:rPr>
                <w:rtl/>
              </w:rPr>
              <w:t>الإسبانية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D5D6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D5D68"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ED5D68">
              <w:rPr>
                <w:rFonts w:hint="cs"/>
                <w:rtl/>
              </w:rPr>
              <w:t>ماي</w:t>
            </w:r>
            <w:r w:rsidR="003A40AB">
              <w:rPr>
                <w:rFonts w:hint="cs"/>
                <w:rtl/>
              </w:rPr>
              <w:t>و</w:t>
            </w:r>
            <w:r w:rsidRPr="00B6101C">
              <w:rPr>
                <w:rFonts w:hint="cs"/>
                <w:rtl/>
              </w:rPr>
              <w:t xml:space="preserve"> </w:t>
            </w:r>
            <w:r w:rsidR="006A153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>اللجنة الدائمة المعنية بحق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ED5D68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 xml:space="preserve">الدورة </w:t>
      </w:r>
      <w:r w:rsidR="00ED5D68">
        <w:rPr>
          <w:rFonts w:ascii="Cambria Math" w:hAnsi="Cambria Math" w:hint="cs"/>
          <w:rtl/>
        </w:rPr>
        <w:t>السادسة</w:t>
      </w:r>
      <w:r w:rsidR="00F40476" w:rsidRPr="00F40476">
        <w:rPr>
          <w:rFonts w:ascii="Cambria Math" w:hAnsi="Cambria Math"/>
          <w:rtl/>
        </w:rPr>
        <w:t xml:space="preserve"> والثلاثون</w:t>
      </w:r>
    </w:p>
    <w:p w:rsidR="00D61541" w:rsidRPr="00D61541" w:rsidRDefault="00F40476" w:rsidP="00ED5D68">
      <w:pPr>
        <w:pStyle w:val="MeetingDatesAR"/>
        <w:bidi/>
        <w:rPr>
          <w:rtl/>
        </w:rPr>
      </w:pPr>
      <w:r w:rsidRPr="00F40476">
        <w:rPr>
          <w:rtl/>
        </w:rPr>
        <w:t xml:space="preserve">جنيف، من </w:t>
      </w:r>
      <w:r w:rsidR="00ED5D68">
        <w:rPr>
          <w:rFonts w:hint="cs"/>
          <w:rtl/>
        </w:rPr>
        <w:t>28</w:t>
      </w:r>
      <w:r w:rsidRPr="00F40476">
        <w:rPr>
          <w:rtl/>
        </w:rPr>
        <w:t xml:space="preserve"> </w:t>
      </w:r>
      <w:r w:rsidR="00ED5D68">
        <w:rPr>
          <w:rFonts w:hint="cs"/>
          <w:rtl/>
        </w:rPr>
        <w:t>ماي</w:t>
      </w:r>
      <w:r w:rsidR="000058D4">
        <w:rPr>
          <w:rFonts w:hint="cs"/>
          <w:rtl/>
        </w:rPr>
        <w:t>و</w:t>
      </w:r>
      <w:r w:rsidR="00ED5D68">
        <w:rPr>
          <w:rFonts w:hint="cs"/>
          <w:rtl/>
        </w:rPr>
        <w:t xml:space="preserve"> </w:t>
      </w:r>
      <w:r w:rsidRPr="00F40476">
        <w:rPr>
          <w:rtl/>
        </w:rPr>
        <w:t xml:space="preserve">إلى </w:t>
      </w:r>
      <w:r w:rsidR="00ED5D68">
        <w:rPr>
          <w:rFonts w:hint="cs"/>
          <w:rtl/>
        </w:rPr>
        <w:t>1</w:t>
      </w:r>
      <w:r w:rsidRPr="00F40476">
        <w:rPr>
          <w:rtl/>
        </w:rPr>
        <w:t xml:space="preserve"> </w:t>
      </w:r>
      <w:r w:rsidR="00ED5D68">
        <w:rPr>
          <w:rFonts w:hint="cs"/>
          <w:rtl/>
        </w:rPr>
        <w:t>يونيو</w:t>
      </w:r>
      <w:r w:rsidR="00A902C4">
        <w:rPr>
          <w:rFonts w:hint="cs"/>
          <w:rtl/>
        </w:rPr>
        <w:t xml:space="preserve"> </w:t>
      </w:r>
      <w:r w:rsidR="00ED5D68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E96864" w:rsidP="006A153C">
      <w:pPr>
        <w:pStyle w:val="DocumentTitleAR"/>
        <w:bidi/>
        <w:rPr>
          <w:rtl/>
        </w:rPr>
      </w:pPr>
      <w:r w:rsidRPr="00E96864">
        <w:rPr>
          <w:rtl/>
        </w:rPr>
        <w:t>تعليقات على مشروع معاهدة حماية هيئات البث</w:t>
      </w:r>
    </w:p>
    <w:p w:rsidR="00D61541" w:rsidRPr="00D61541" w:rsidRDefault="005B527A" w:rsidP="005B527A">
      <w:pPr>
        <w:pStyle w:val="PreparedbyAR"/>
        <w:bidi/>
        <w:spacing w:after="7440"/>
        <w:rPr>
          <w:rtl/>
        </w:rPr>
      </w:pPr>
      <w:bookmarkStart w:id="2" w:name="_GoBack"/>
      <w:r>
        <w:rPr>
          <w:rFonts w:hint="cs"/>
          <w:rtl/>
        </w:rPr>
        <w:t>وثيقة قدمها وفد</w:t>
      </w:r>
      <w:r w:rsidR="006A153C" w:rsidRPr="006A153C">
        <w:rPr>
          <w:rFonts w:hint="cs"/>
          <w:rtl/>
        </w:rPr>
        <w:t xml:space="preserve"> </w:t>
      </w:r>
      <w:r w:rsidR="00E96864">
        <w:rPr>
          <w:rFonts w:hint="cs"/>
          <w:rtl/>
        </w:rPr>
        <w:t>الأرجنتين</w:t>
      </w:r>
    </w:p>
    <w:bookmarkEnd w:id="2"/>
    <w:p w:rsidR="006A153C" w:rsidRDefault="006A153C" w:rsidP="0052423B">
      <w:pPr>
        <w:pStyle w:val="NumberedParaAR"/>
        <w:tabs>
          <w:tab w:val="clear" w:pos="567"/>
          <w:tab w:val="num" w:pos="424"/>
        </w:tabs>
      </w:pPr>
      <w:r>
        <w:rPr>
          <w:rtl/>
        </w:rPr>
        <w:br w:type="page"/>
      </w:r>
      <w:r w:rsidR="00613341">
        <w:rPr>
          <w:rFonts w:hint="cs"/>
          <w:rtl/>
        </w:rPr>
        <w:lastRenderedPageBreak/>
        <w:t xml:space="preserve">تتعلق </w:t>
      </w:r>
      <w:r w:rsidR="00F5727F">
        <w:rPr>
          <w:rFonts w:hint="cs"/>
          <w:rtl/>
        </w:rPr>
        <w:t>إحدى</w:t>
      </w:r>
      <w:r w:rsidR="00613341">
        <w:rPr>
          <w:rFonts w:hint="cs"/>
          <w:rtl/>
        </w:rPr>
        <w:t xml:space="preserve"> القضايا العالقة في الاقترا</w:t>
      </w:r>
      <w:r w:rsidR="00613341">
        <w:rPr>
          <w:rFonts w:hint="eastAsia"/>
          <w:rtl/>
        </w:rPr>
        <w:t>ح</w:t>
      </w:r>
      <w:r w:rsidR="00613341">
        <w:rPr>
          <w:rFonts w:hint="cs"/>
          <w:rtl/>
        </w:rPr>
        <w:t xml:space="preserve"> الأساسي ل</w:t>
      </w:r>
      <w:r w:rsidR="00613341" w:rsidRPr="00E96864">
        <w:rPr>
          <w:rtl/>
        </w:rPr>
        <w:t xml:space="preserve">معاهدة </w:t>
      </w:r>
      <w:r w:rsidR="00F5727F">
        <w:rPr>
          <w:rFonts w:hint="cs"/>
          <w:rtl/>
        </w:rPr>
        <w:t>الويبو بشأن حم</w:t>
      </w:r>
      <w:r w:rsidR="00613341" w:rsidRPr="00E96864">
        <w:rPr>
          <w:rtl/>
        </w:rPr>
        <w:t>اية هيئات البث</w:t>
      </w:r>
      <w:r w:rsidR="00613341">
        <w:rPr>
          <w:rFonts w:hint="cs"/>
          <w:rtl/>
        </w:rPr>
        <w:t xml:space="preserve"> بالإرسال</w:t>
      </w:r>
      <w:r w:rsidR="001E10D9">
        <w:rPr>
          <w:rFonts w:hint="cs"/>
          <w:rtl/>
        </w:rPr>
        <w:t>ات</w:t>
      </w:r>
      <w:r w:rsidR="00613341">
        <w:rPr>
          <w:rFonts w:hint="cs"/>
          <w:rtl/>
        </w:rPr>
        <w:t xml:space="preserve"> المؤجل</w:t>
      </w:r>
      <w:r w:rsidR="001E10D9">
        <w:rPr>
          <w:rFonts w:hint="cs"/>
          <w:rtl/>
        </w:rPr>
        <w:t>ة</w:t>
      </w:r>
      <w:r w:rsidR="00613341">
        <w:rPr>
          <w:rFonts w:hint="cs"/>
          <w:rtl/>
        </w:rPr>
        <w:t xml:space="preserve">. </w:t>
      </w:r>
      <w:r w:rsidR="00F508E3">
        <w:rPr>
          <w:rFonts w:hint="cs"/>
          <w:rtl/>
        </w:rPr>
        <w:t>ف</w:t>
      </w:r>
      <w:r w:rsidR="004B3127">
        <w:rPr>
          <w:rFonts w:hint="cs"/>
          <w:rtl/>
        </w:rPr>
        <w:t>ل</w:t>
      </w:r>
      <w:r w:rsidR="003063AB">
        <w:rPr>
          <w:rFonts w:hint="cs"/>
          <w:rtl/>
        </w:rPr>
        <w:t>ا</w:t>
      </w:r>
      <w:r w:rsidR="004B3127">
        <w:rPr>
          <w:rFonts w:hint="cs"/>
          <w:rtl/>
        </w:rPr>
        <w:t xml:space="preserve">بد للمعاهدة </w:t>
      </w:r>
      <w:r w:rsidR="00F5727F">
        <w:rPr>
          <w:rFonts w:hint="cs"/>
          <w:rtl/>
        </w:rPr>
        <w:t>المزمع إبرامها في</w:t>
      </w:r>
      <w:r w:rsidR="004B3127">
        <w:rPr>
          <w:rFonts w:hint="cs"/>
          <w:rtl/>
        </w:rPr>
        <w:t xml:space="preserve"> المستقبل </w:t>
      </w:r>
      <w:r w:rsidR="004C708C">
        <w:rPr>
          <w:rFonts w:hint="cs"/>
          <w:rtl/>
        </w:rPr>
        <w:t>أن توفر الحماية للإرسال</w:t>
      </w:r>
      <w:r w:rsidR="0068222A">
        <w:rPr>
          <w:rFonts w:hint="cs"/>
          <w:rtl/>
        </w:rPr>
        <w:t>ات</w:t>
      </w:r>
      <w:r w:rsidR="004C708C">
        <w:rPr>
          <w:rFonts w:hint="cs"/>
          <w:rtl/>
        </w:rPr>
        <w:t xml:space="preserve"> المؤجل</w:t>
      </w:r>
      <w:r w:rsidR="0068222A">
        <w:rPr>
          <w:rFonts w:hint="cs"/>
          <w:rtl/>
        </w:rPr>
        <w:t>ة</w:t>
      </w:r>
      <w:r w:rsidR="004C708C">
        <w:rPr>
          <w:rFonts w:hint="cs"/>
          <w:rtl/>
        </w:rPr>
        <w:t xml:space="preserve">، </w:t>
      </w:r>
      <w:r w:rsidR="00301A98">
        <w:rPr>
          <w:rFonts w:hint="cs"/>
          <w:rtl/>
        </w:rPr>
        <w:t>بالنظر إلى</w:t>
      </w:r>
      <w:r w:rsidR="004C708C">
        <w:rPr>
          <w:rFonts w:hint="cs"/>
          <w:rtl/>
        </w:rPr>
        <w:t xml:space="preserve"> الأهمية التي اكتسب</w:t>
      </w:r>
      <w:r w:rsidR="009174EA">
        <w:rPr>
          <w:rFonts w:hint="cs"/>
          <w:rtl/>
        </w:rPr>
        <w:t>ت</w:t>
      </w:r>
      <w:r w:rsidR="004C708C">
        <w:rPr>
          <w:rFonts w:hint="cs"/>
          <w:rtl/>
        </w:rPr>
        <w:t xml:space="preserve">ها </w:t>
      </w:r>
      <w:r w:rsidR="00F508E3">
        <w:rPr>
          <w:rFonts w:hint="cs"/>
          <w:rtl/>
        </w:rPr>
        <w:t>تلك</w:t>
      </w:r>
      <w:r w:rsidR="004C708C">
        <w:rPr>
          <w:rFonts w:hint="cs"/>
          <w:rtl/>
        </w:rPr>
        <w:t xml:space="preserve"> الإرسال</w:t>
      </w:r>
      <w:r w:rsidR="009174EA">
        <w:rPr>
          <w:rFonts w:hint="cs"/>
          <w:rtl/>
        </w:rPr>
        <w:t>ات</w:t>
      </w:r>
      <w:r w:rsidR="004C708C">
        <w:rPr>
          <w:rFonts w:hint="cs"/>
          <w:rtl/>
        </w:rPr>
        <w:t xml:space="preserve"> في</w:t>
      </w:r>
      <w:r w:rsidR="00F508E3">
        <w:rPr>
          <w:rFonts w:hint="eastAsia"/>
          <w:rtl/>
        </w:rPr>
        <w:t> </w:t>
      </w:r>
      <w:r w:rsidR="007C4DC8">
        <w:rPr>
          <w:rFonts w:hint="cs"/>
          <w:rtl/>
        </w:rPr>
        <w:t>السنوات</w:t>
      </w:r>
      <w:r w:rsidR="004C708C">
        <w:rPr>
          <w:rFonts w:hint="cs"/>
          <w:rtl/>
        </w:rPr>
        <w:t xml:space="preserve"> الأخيرة </w:t>
      </w:r>
      <w:r w:rsidR="0052423B">
        <w:rPr>
          <w:rFonts w:hint="cs"/>
          <w:rtl/>
          <w:lang w:bidi="ar-EG"/>
        </w:rPr>
        <w:t xml:space="preserve">لا سيما </w:t>
      </w:r>
      <w:r w:rsidR="001B0F54">
        <w:rPr>
          <w:rFonts w:hint="cs"/>
          <w:rtl/>
        </w:rPr>
        <w:t xml:space="preserve">بفضل التكنولوجيات الجديدة التي تتيح </w:t>
      </w:r>
      <w:r w:rsidR="00E84C68">
        <w:rPr>
          <w:rFonts w:hint="cs"/>
          <w:rtl/>
        </w:rPr>
        <w:t>ل</w:t>
      </w:r>
      <w:r w:rsidR="00520B82">
        <w:rPr>
          <w:rFonts w:hint="cs"/>
          <w:rtl/>
        </w:rPr>
        <w:t>أفراد ا</w:t>
      </w:r>
      <w:r w:rsidR="00E84C68">
        <w:rPr>
          <w:rFonts w:hint="cs"/>
          <w:rtl/>
        </w:rPr>
        <w:t>لجمهور</w:t>
      </w:r>
      <w:r w:rsidR="001B0F54">
        <w:rPr>
          <w:rFonts w:hint="cs"/>
          <w:rtl/>
        </w:rPr>
        <w:t xml:space="preserve"> </w:t>
      </w:r>
      <w:r w:rsidR="00F508E3">
        <w:rPr>
          <w:rFonts w:hint="cs"/>
          <w:rtl/>
        </w:rPr>
        <w:t>إمكانية</w:t>
      </w:r>
      <w:r w:rsidR="001B0F54">
        <w:rPr>
          <w:rFonts w:hint="cs"/>
          <w:rtl/>
        </w:rPr>
        <w:t xml:space="preserve"> </w:t>
      </w:r>
      <w:r w:rsidR="00F508E3">
        <w:rPr>
          <w:rFonts w:hint="cs"/>
          <w:rtl/>
        </w:rPr>
        <w:t xml:space="preserve">النفاذ إلى </w:t>
      </w:r>
      <w:r w:rsidR="001B0F54">
        <w:rPr>
          <w:rFonts w:hint="cs"/>
          <w:rtl/>
        </w:rPr>
        <w:t>إرسال</w:t>
      </w:r>
      <w:r w:rsidR="00F508E3">
        <w:rPr>
          <w:rFonts w:hint="cs"/>
          <w:rtl/>
        </w:rPr>
        <w:t xml:space="preserve"> </w:t>
      </w:r>
      <w:r w:rsidR="00520B82">
        <w:rPr>
          <w:rFonts w:hint="cs"/>
          <w:rtl/>
        </w:rPr>
        <w:t>من مكان و</w:t>
      </w:r>
      <w:r w:rsidR="00F508E3">
        <w:rPr>
          <w:rFonts w:hint="cs"/>
          <w:rtl/>
        </w:rPr>
        <w:t xml:space="preserve">في </w:t>
      </w:r>
      <w:r w:rsidR="00520B82">
        <w:rPr>
          <w:rFonts w:hint="cs"/>
          <w:rtl/>
        </w:rPr>
        <w:t>زمان</w:t>
      </w:r>
      <w:r w:rsidR="00F508E3">
        <w:rPr>
          <w:rFonts w:hint="cs"/>
          <w:rtl/>
        </w:rPr>
        <w:t xml:space="preserve"> يختاره</w:t>
      </w:r>
      <w:r w:rsidR="00520B82">
        <w:rPr>
          <w:rFonts w:hint="cs"/>
          <w:rtl/>
        </w:rPr>
        <w:t>ما كل فرد منهم</w:t>
      </w:r>
      <w:r w:rsidR="001B0F54">
        <w:rPr>
          <w:rFonts w:hint="cs"/>
          <w:rtl/>
        </w:rPr>
        <w:t xml:space="preserve">. </w:t>
      </w:r>
      <w:r w:rsidR="00685D26">
        <w:rPr>
          <w:rFonts w:hint="cs"/>
          <w:rtl/>
        </w:rPr>
        <w:t>بيد</w:t>
      </w:r>
      <w:r w:rsidR="00F508E3">
        <w:rPr>
          <w:rFonts w:hint="eastAsia"/>
          <w:rtl/>
        </w:rPr>
        <w:t> </w:t>
      </w:r>
      <w:r w:rsidR="0057052E">
        <w:rPr>
          <w:rFonts w:hint="cs"/>
          <w:rtl/>
        </w:rPr>
        <w:t xml:space="preserve">أنه ينبغي أن </w:t>
      </w:r>
      <w:r w:rsidR="0052423B">
        <w:rPr>
          <w:rFonts w:hint="cs"/>
          <w:rtl/>
        </w:rPr>
        <w:t xml:space="preserve">تعتمد </w:t>
      </w:r>
      <w:r w:rsidR="0057052E">
        <w:rPr>
          <w:rFonts w:hint="cs"/>
          <w:rtl/>
        </w:rPr>
        <w:t>الحماي</w:t>
      </w:r>
      <w:r w:rsidR="00685D26">
        <w:rPr>
          <w:rFonts w:hint="cs"/>
          <w:rtl/>
        </w:rPr>
        <w:t>ة</w:t>
      </w:r>
      <w:r w:rsidR="00146C9E">
        <w:rPr>
          <w:rFonts w:hint="cs"/>
          <w:rtl/>
        </w:rPr>
        <w:t xml:space="preserve"> الممنوحة للإرسال</w:t>
      </w:r>
      <w:r w:rsidR="0057052E">
        <w:rPr>
          <w:rFonts w:hint="cs"/>
          <w:rtl/>
        </w:rPr>
        <w:t>ات</w:t>
      </w:r>
      <w:r w:rsidR="00146C9E">
        <w:rPr>
          <w:rFonts w:hint="cs"/>
          <w:rtl/>
        </w:rPr>
        <w:t xml:space="preserve"> المؤجل</w:t>
      </w:r>
      <w:r w:rsidR="0057052E">
        <w:rPr>
          <w:rFonts w:hint="cs"/>
          <w:rtl/>
        </w:rPr>
        <w:t>ة</w:t>
      </w:r>
      <w:r w:rsidR="00146C9E">
        <w:rPr>
          <w:rFonts w:hint="cs"/>
          <w:rtl/>
        </w:rPr>
        <w:t xml:space="preserve"> على </w:t>
      </w:r>
      <w:r w:rsidR="00F508E3">
        <w:rPr>
          <w:rFonts w:hint="cs"/>
          <w:rtl/>
        </w:rPr>
        <w:t>نوع الإرسال المؤجل المعني.</w:t>
      </w:r>
    </w:p>
    <w:p w:rsidR="0026319B" w:rsidRDefault="0026319B" w:rsidP="0052423B">
      <w:pPr>
        <w:pStyle w:val="NumberedParaAR"/>
        <w:tabs>
          <w:tab w:val="clear" w:pos="567"/>
          <w:tab w:val="num" w:pos="424"/>
        </w:tabs>
      </w:pPr>
      <w:r>
        <w:rPr>
          <w:rFonts w:hint="cs"/>
          <w:rtl/>
        </w:rPr>
        <w:t xml:space="preserve">ووفقا لذلك، نقترح </w:t>
      </w:r>
      <w:r w:rsidR="00F508E3">
        <w:rPr>
          <w:rFonts w:hint="cs"/>
          <w:rtl/>
        </w:rPr>
        <w:t>تصنيف</w:t>
      </w:r>
      <w:r>
        <w:rPr>
          <w:rFonts w:hint="cs"/>
          <w:rtl/>
        </w:rPr>
        <w:t xml:space="preserve"> الإرسال</w:t>
      </w:r>
      <w:r w:rsidR="007873F2">
        <w:rPr>
          <w:rFonts w:hint="cs"/>
          <w:rtl/>
        </w:rPr>
        <w:t>ات</w:t>
      </w:r>
      <w:r>
        <w:rPr>
          <w:rFonts w:hint="cs"/>
          <w:rtl/>
        </w:rPr>
        <w:t xml:space="preserve"> المؤجل</w:t>
      </w:r>
      <w:r w:rsidR="007873F2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F508E3">
        <w:rPr>
          <w:rFonts w:hint="cs"/>
          <w:rtl/>
        </w:rPr>
        <w:t xml:space="preserve">في </w:t>
      </w:r>
      <w:r w:rsidR="0052423B">
        <w:rPr>
          <w:rFonts w:hint="cs"/>
          <w:rtl/>
        </w:rPr>
        <w:t>ما يلي</w:t>
      </w:r>
      <w:r>
        <w:rPr>
          <w:rFonts w:hint="cs"/>
          <w:rtl/>
        </w:rPr>
        <w:t xml:space="preserve">: </w:t>
      </w:r>
      <w:r w:rsidR="00D3054C">
        <w:rPr>
          <w:rFonts w:hint="cs"/>
          <w:rtl/>
        </w:rPr>
        <w:t xml:space="preserve">"1" </w:t>
      </w:r>
      <w:r w:rsidR="00F44421">
        <w:rPr>
          <w:rFonts w:hint="cs"/>
          <w:rtl/>
        </w:rPr>
        <w:t>الإرسالات المؤجلة المطابقة</w:t>
      </w:r>
      <w:r w:rsidR="000B2983">
        <w:rPr>
          <w:rFonts w:hint="cs"/>
          <w:rtl/>
        </w:rPr>
        <w:t>؛ "2"</w:t>
      </w:r>
      <w:r w:rsidR="00F508E3">
        <w:rPr>
          <w:rFonts w:hint="eastAsia"/>
          <w:rtl/>
        </w:rPr>
        <w:t> </w:t>
      </w:r>
      <w:r w:rsidR="00F508E3">
        <w:rPr>
          <w:rFonts w:hint="cs"/>
          <w:rtl/>
        </w:rPr>
        <w:t>و</w:t>
      </w:r>
      <w:r w:rsidR="001B7267">
        <w:rPr>
          <w:rFonts w:hint="cs"/>
          <w:rtl/>
        </w:rPr>
        <w:t>الإرسال</w:t>
      </w:r>
      <w:r w:rsidR="001A3624">
        <w:rPr>
          <w:rFonts w:hint="cs"/>
          <w:rtl/>
        </w:rPr>
        <w:t>ات</w:t>
      </w:r>
      <w:r w:rsidR="001B7267">
        <w:rPr>
          <w:rFonts w:hint="cs"/>
          <w:rtl/>
        </w:rPr>
        <w:t xml:space="preserve"> المؤجل</w:t>
      </w:r>
      <w:r w:rsidR="001A3624">
        <w:rPr>
          <w:rFonts w:hint="cs"/>
          <w:rtl/>
        </w:rPr>
        <w:t>ة ذات</w:t>
      </w:r>
      <w:r w:rsidR="001B7267">
        <w:rPr>
          <w:rFonts w:hint="cs"/>
          <w:rtl/>
        </w:rPr>
        <w:t xml:space="preserve"> </w:t>
      </w:r>
      <w:r w:rsidR="001A3624">
        <w:rPr>
          <w:rFonts w:hint="cs"/>
          <w:rtl/>
        </w:rPr>
        <w:t>الصلة</w:t>
      </w:r>
      <w:r w:rsidR="001B7267">
        <w:rPr>
          <w:rFonts w:hint="cs"/>
          <w:rtl/>
        </w:rPr>
        <w:t xml:space="preserve"> الوثيق</w:t>
      </w:r>
      <w:r w:rsidR="001A3624">
        <w:rPr>
          <w:rFonts w:hint="cs"/>
          <w:rtl/>
        </w:rPr>
        <w:t>ة</w:t>
      </w:r>
      <w:r w:rsidR="00E2281A">
        <w:rPr>
          <w:rFonts w:hint="cs"/>
          <w:rtl/>
        </w:rPr>
        <w:t>؛</w:t>
      </w:r>
      <w:r w:rsidR="001B7267">
        <w:rPr>
          <w:rFonts w:hint="cs"/>
          <w:rtl/>
        </w:rPr>
        <w:t xml:space="preserve"> "3" (</w:t>
      </w:r>
      <w:r w:rsidR="00520B82">
        <w:rPr>
          <w:rFonts w:hint="cs"/>
          <w:rtl/>
        </w:rPr>
        <w:t xml:space="preserve">انظر </w:t>
      </w:r>
      <w:r w:rsidR="00287B41">
        <w:rPr>
          <w:rFonts w:hint="cs"/>
          <w:rtl/>
        </w:rPr>
        <w:t>الفقرة 4</w:t>
      </w:r>
      <w:r w:rsidR="001B7267">
        <w:rPr>
          <w:rFonts w:hint="cs"/>
          <w:rtl/>
        </w:rPr>
        <w:t xml:space="preserve"> من الوثيقة</w:t>
      </w:r>
      <w:r w:rsidR="00520B82">
        <w:rPr>
          <w:rFonts w:hint="eastAsia"/>
          <w:rtl/>
        </w:rPr>
        <w:t> </w:t>
      </w:r>
      <w:r w:rsidR="001B7267" w:rsidRPr="001B7267">
        <w:t>SCCR/33/5</w:t>
      </w:r>
      <w:r w:rsidR="001B7267">
        <w:rPr>
          <w:rFonts w:hint="cs"/>
          <w:rtl/>
        </w:rPr>
        <w:t>)</w:t>
      </w:r>
      <w:r w:rsidR="00924A08">
        <w:rPr>
          <w:rFonts w:hint="cs"/>
          <w:rtl/>
        </w:rPr>
        <w:t xml:space="preserve">؛ </w:t>
      </w:r>
      <w:r w:rsidR="00520B82">
        <w:rPr>
          <w:rFonts w:hint="cs"/>
          <w:rtl/>
        </w:rPr>
        <w:t>و</w:t>
      </w:r>
      <w:r w:rsidR="000703A8">
        <w:rPr>
          <w:rFonts w:hint="cs"/>
          <w:rtl/>
        </w:rPr>
        <w:t>الإرسالات المؤجلة غير</w:t>
      </w:r>
      <w:r w:rsidR="00292A6E">
        <w:rPr>
          <w:rFonts w:hint="eastAsia"/>
          <w:rtl/>
        </w:rPr>
        <w:t> </w:t>
      </w:r>
      <w:r w:rsidR="00287B41">
        <w:rPr>
          <w:rFonts w:hint="cs"/>
          <w:rtl/>
        </w:rPr>
        <w:t>المتصلة</w:t>
      </w:r>
      <w:r w:rsidR="000703A8">
        <w:rPr>
          <w:rFonts w:hint="cs"/>
          <w:rtl/>
        </w:rPr>
        <w:t>.</w:t>
      </w:r>
    </w:p>
    <w:p w:rsidR="00F87057" w:rsidRDefault="00F87057" w:rsidP="0052423B">
      <w:pPr>
        <w:pStyle w:val="NumberedParaAR"/>
        <w:tabs>
          <w:tab w:val="clear" w:pos="567"/>
          <w:tab w:val="num" w:pos="424"/>
        </w:tabs>
      </w:pPr>
      <w:r>
        <w:rPr>
          <w:rFonts w:hint="cs"/>
          <w:rtl/>
        </w:rPr>
        <w:t xml:space="preserve">وتعني </w:t>
      </w:r>
      <w:r w:rsidR="00F44421">
        <w:rPr>
          <w:rtl/>
        </w:rPr>
        <w:t>الإرسالات المؤجلة المطابقة</w:t>
      </w:r>
      <w:r>
        <w:rPr>
          <w:rtl/>
        </w:rPr>
        <w:t xml:space="preserve"> </w:t>
      </w:r>
      <w:r w:rsidR="00771539">
        <w:rPr>
          <w:rFonts w:hint="cs"/>
          <w:rtl/>
        </w:rPr>
        <w:t>الإرسالات</w:t>
      </w:r>
      <w:r>
        <w:rPr>
          <w:rtl/>
        </w:rPr>
        <w:t xml:space="preserve"> التي تتطابق مع الإرسالات الخطية الحية </w:t>
      </w:r>
      <w:r w:rsidR="00E2281A">
        <w:rPr>
          <w:rFonts w:hint="cs"/>
          <w:rtl/>
        </w:rPr>
        <w:t>لهيئة</w:t>
      </w:r>
      <w:r w:rsidR="00D73269">
        <w:rPr>
          <w:rFonts w:hint="cs"/>
          <w:rtl/>
        </w:rPr>
        <w:t xml:space="preserve"> البث</w:t>
      </w:r>
      <w:r>
        <w:rPr>
          <w:rtl/>
        </w:rPr>
        <w:t xml:space="preserve"> وتكون متاحة لعدد محدود من الأسابيع أو الأشهر بعد بث </w:t>
      </w:r>
      <w:r w:rsidR="00287B41">
        <w:rPr>
          <w:rFonts w:hint="cs"/>
          <w:rtl/>
        </w:rPr>
        <w:t>تلك</w:t>
      </w:r>
      <w:r>
        <w:rPr>
          <w:rtl/>
        </w:rPr>
        <w:t xml:space="preserve"> الإرسالات ال</w:t>
      </w:r>
      <w:r w:rsidR="00287B41">
        <w:rPr>
          <w:rtl/>
        </w:rPr>
        <w:t>خطية</w:t>
      </w:r>
      <w:r w:rsidR="0052423B">
        <w:rPr>
          <w:rFonts w:hint="cs"/>
          <w:rtl/>
        </w:rPr>
        <w:t>، مثل ال</w:t>
      </w:r>
      <w:r w:rsidR="008F2C5E">
        <w:rPr>
          <w:rtl/>
        </w:rPr>
        <w:t>إعادة عبر الإنترنت</w:t>
      </w:r>
      <w:r>
        <w:rPr>
          <w:rtl/>
        </w:rPr>
        <w:t xml:space="preserve">، وخدمات </w:t>
      </w:r>
      <w:r w:rsidR="00287B41">
        <w:rPr>
          <w:rFonts w:hint="cs"/>
          <w:rtl/>
        </w:rPr>
        <w:t>استدراك</w:t>
      </w:r>
      <w:r w:rsidR="00AA1916">
        <w:rPr>
          <w:rFonts w:hint="cs"/>
          <w:rtl/>
        </w:rPr>
        <w:t xml:space="preserve"> البرامج</w:t>
      </w:r>
      <w:r>
        <w:rPr>
          <w:rtl/>
        </w:rPr>
        <w:t xml:space="preserve"> حسب الطلب وملخصات الأحداث الرياضية.</w:t>
      </w:r>
    </w:p>
    <w:p w:rsidR="00F87057" w:rsidRDefault="00A6160B" w:rsidP="00EB15BD">
      <w:pPr>
        <w:pStyle w:val="NumberedParaAR"/>
        <w:tabs>
          <w:tab w:val="clear" w:pos="567"/>
          <w:tab w:val="num" w:pos="424"/>
        </w:tabs>
      </w:pPr>
      <w:r>
        <w:rPr>
          <w:rFonts w:hint="cs"/>
          <w:rtl/>
        </w:rPr>
        <w:t>وتعني</w:t>
      </w:r>
      <w:r w:rsidR="00F87057">
        <w:rPr>
          <w:rtl/>
        </w:rPr>
        <w:t xml:space="preserve"> الإرسالات المؤجلة ذات الصلة الوثيقة</w:t>
      </w:r>
      <w:r w:rsidR="00AA1916">
        <w:rPr>
          <w:rFonts w:hint="cs"/>
          <w:rtl/>
        </w:rPr>
        <w:t xml:space="preserve"> </w:t>
      </w:r>
      <w:r w:rsidR="00771539">
        <w:rPr>
          <w:rFonts w:hint="cs"/>
          <w:rtl/>
        </w:rPr>
        <w:t>الإرسالات</w:t>
      </w:r>
      <w:r w:rsidR="00F87057">
        <w:rPr>
          <w:rtl/>
        </w:rPr>
        <w:t xml:space="preserve"> التي ت</w:t>
      </w:r>
      <w:r>
        <w:rPr>
          <w:rFonts w:hint="cs"/>
          <w:rtl/>
        </w:rPr>
        <w:t>ُ</w:t>
      </w:r>
      <w:r w:rsidR="00F87057"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ث فقط عبر الإنترنت</w:t>
      </w:r>
      <w:r w:rsidR="00F87057">
        <w:rPr>
          <w:rtl/>
        </w:rPr>
        <w:t xml:space="preserve"> </w:t>
      </w:r>
      <w:r w:rsidR="00AA1916">
        <w:rPr>
          <w:rFonts w:hint="cs"/>
          <w:rtl/>
        </w:rPr>
        <w:t>و</w:t>
      </w:r>
      <w:r w:rsidR="00F87057">
        <w:rPr>
          <w:rtl/>
        </w:rPr>
        <w:t>تكم</w:t>
      </w:r>
      <w:r w:rsidR="00AA1916">
        <w:rPr>
          <w:rFonts w:hint="cs"/>
          <w:rtl/>
        </w:rPr>
        <w:t>ّ</w:t>
      </w:r>
      <w:r w:rsidR="00F87057">
        <w:rPr>
          <w:rtl/>
        </w:rPr>
        <w:t xml:space="preserve">ل البث الخطي </w:t>
      </w:r>
      <w:r w:rsidR="0052423B">
        <w:rPr>
          <w:rFonts w:hint="cs"/>
          <w:rtl/>
        </w:rPr>
        <w:t xml:space="preserve">غير </w:t>
      </w:r>
      <w:r w:rsidR="005D0AF0">
        <w:rPr>
          <w:rFonts w:hint="cs"/>
          <w:rtl/>
        </w:rPr>
        <w:t>الحي</w:t>
      </w:r>
      <w:r w:rsidR="00F87057">
        <w:rPr>
          <w:rtl/>
        </w:rPr>
        <w:t xml:space="preserve"> </w:t>
      </w:r>
      <w:r w:rsidR="005D0AF0">
        <w:rPr>
          <w:rFonts w:hint="cs"/>
          <w:rtl/>
        </w:rPr>
        <w:t>ل</w:t>
      </w:r>
      <w:r w:rsidR="00DF33B3">
        <w:rPr>
          <w:rFonts w:hint="cs"/>
          <w:rtl/>
        </w:rPr>
        <w:t>هيئة البث</w:t>
      </w:r>
      <w:r w:rsidR="00AA1916">
        <w:rPr>
          <w:rtl/>
        </w:rPr>
        <w:t xml:space="preserve"> و</w:t>
      </w:r>
      <w:r w:rsidR="00AA1916">
        <w:rPr>
          <w:rFonts w:hint="cs"/>
          <w:rtl/>
        </w:rPr>
        <w:t>تُتاح</w:t>
      </w:r>
      <w:r w:rsidR="00F87057">
        <w:rPr>
          <w:rtl/>
        </w:rPr>
        <w:t xml:space="preserve"> </w:t>
      </w:r>
      <w:r w:rsidR="00045387">
        <w:rPr>
          <w:rFonts w:hint="cs"/>
          <w:rtl/>
        </w:rPr>
        <w:t>ل</w:t>
      </w:r>
      <w:r w:rsidR="00F87057">
        <w:rPr>
          <w:rtl/>
        </w:rPr>
        <w:t>عدد محدود من الأسابيع أو الأشهر</w:t>
      </w:r>
      <w:r w:rsidR="0052423B">
        <w:rPr>
          <w:rFonts w:hint="cs"/>
          <w:rtl/>
        </w:rPr>
        <w:t>، مثل الأحداث الرياضية الموازية</w:t>
      </w:r>
      <w:r w:rsidR="00FB36FC">
        <w:rPr>
          <w:rFonts w:hint="cs"/>
          <w:rtl/>
        </w:rPr>
        <w:t>، و</w:t>
      </w:r>
      <w:r w:rsidR="0052423B">
        <w:rPr>
          <w:rFonts w:hint="cs"/>
          <w:rtl/>
        </w:rPr>
        <w:t>التغطية الإضافية ل</w:t>
      </w:r>
      <w:r w:rsidR="00FB36FC">
        <w:rPr>
          <w:rFonts w:hint="cs"/>
          <w:rtl/>
        </w:rPr>
        <w:t>لأخبار أو البرامج</w:t>
      </w:r>
      <w:r w:rsidR="00F87057">
        <w:rPr>
          <w:rtl/>
        </w:rPr>
        <w:t xml:space="preserve">، </w:t>
      </w:r>
      <w:r w:rsidR="00AA1916">
        <w:rPr>
          <w:rFonts w:hint="cs"/>
          <w:rtl/>
        </w:rPr>
        <w:t>والعروض</w:t>
      </w:r>
      <w:r w:rsidR="00E02645">
        <w:rPr>
          <w:rFonts w:hint="cs"/>
          <w:rtl/>
        </w:rPr>
        <w:t xml:space="preserve"> </w:t>
      </w:r>
      <w:r w:rsidR="00AA1916">
        <w:rPr>
          <w:rFonts w:hint="cs"/>
          <w:rtl/>
        </w:rPr>
        <w:t>المسبقة</w:t>
      </w:r>
      <w:r w:rsidR="00F87057">
        <w:rPr>
          <w:rtl/>
        </w:rPr>
        <w:t>، و</w:t>
      </w:r>
      <w:r w:rsidR="00AF3A55">
        <w:rPr>
          <w:rFonts w:hint="cs"/>
          <w:rtl/>
        </w:rPr>
        <w:t>ال</w:t>
      </w:r>
      <w:r w:rsidR="00F87057">
        <w:rPr>
          <w:rtl/>
        </w:rPr>
        <w:t xml:space="preserve">مقابلات </w:t>
      </w:r>
      <w:r w:rsidR="00AF3A55">
        <w:rPr>
          <w:rFonts w:hint="cs"/>
          <w:rtl/>
        </w:rPr>
        <w:t>ال</w:t>
      </w:r>
      <w:r w:rsidR="00F87057">
        <w:rPr>
          <w:rtl/>
        </w:rPr>
        <w:t>إضافية</w:t>
      </w:r>
      <w:r w:rsidR="00AF3A55">
        <w:rPr>
          <w:rFonts w:hint="cs"/>
          <w:rtl/>
        </w:rPr>
        <w:t>،</w:t>
      </w:r>
      <w:r w:rsidR="00F87057">
        <w:rPr>
          <w:rtl/>
        </w:rPr>
        <w:t xml:space="preserve"> وبرامج </w:t>
      </w:r>
      <w:r w:rsidR="00AF3A55">
        <w:rPr>
          <w:rFonts w:hint="cs"/>
          <w:rtl/>
        </w:rPr>
        <w:t>ما</w:t>
      </w:r>
      <w:r w:rsidR="00AA1916">
        <w:rPr>
          <w:rFonts w:hint="cs"/>
          <w:rtl/>
        </w:rPr>
        <w:t> </w:t>
      </w:r>
      <w:r w:rsidR="00F87057">
        <w:rPr>
          <w:rtl/>
        </w:rPr>
        <w:t>وراء الكواليس.</w:t>
      </w:r>
    </w:p>
    <w:p w:rsidR="00F87057" w:rsidRDefault="0079436D" w:rsidP="00360E70">
      <w:pPr>
        <w:pStyle w:val="NumberedParaAR"/>
        <w:tabs>
          <w:tab w:val="clear" w:pos="567"/>
          <w:tab w:val="num" w:pos="424"/>
        </w:tabs>
      </w:pPr>
      <w:r>
        <w:rPr>
          <w:rFonts w:hint="cs"/>
          <w:rtl/>
        </w:rPr>
        <w:t xml:space="preserve">أما </w:t>
      </w:r>
      <w:r w:rsidRPr="0079436D">
        <w:rPr>
          <w:rtl/>
        </w:rPr>
        <w:t xml:space="preserve">الإرسالات المؤجلة </w:t>
      </w:r>
      <w:r w:rsidR="00AA1916" w:rsidRPr="00AA1916">
        <w:rPr>
          <w:rFonts w:hint="cs"/>
          <w:rtl/>
        </w:rPr>
        <w:t xml:space="preserve">غير المتصلة </w:t>
      </w:r>
      <w:r>
        <w:rPr>
          <w:rFonts w:hint="cs"/>
          <w:rtl/>
        </w:rPr>
        <w:t>فتعني</w:t>
      </w:r>
      <w:r w:rsidR="00F87057">
        <w:rPr>
          <w:rtl/>
        </w:rPr>
        <w:t xml:space="preserve"> </w:t>
      </w:r>
      <w:r w:rsidR="00771539">
        <w:rPr>
          <w:rFonts w:hint="cs"/>
          <w:rtl/>
        </w:rPr>
        <w:t>الإرسالات</w:t>
      </w:r>
      <w:r w:rsidR="00F87057">
        <w:rPr>
          <w:rtl/>
        </w:rPr>
        <w:t xml:space="preserve"> التي </w:t>
      </w:r>
      <w:r>
        <w:rPr>
          <w:rFonts w:hint="cs"/>
          <w:rtl/>
        </w:rPr>
        <w:t>تُبَث</w:t>
      </w:r>
      <w:r>
        <w:rPr>
          <w:rtl/>
        </w:rPr>
        <w:t xml:space="preserve"> فقط عبر الإنترنت</w:t>
      </w:r>
      <w:r w:rsidR="00F87057">
        <w:rPr>
          <w:rtl/>
        </w:rPr>
        <w:t>، ولكنها لا تكم</w:t>
      </w:r>
      <w:r w:rsidR="00AA1916">
        <w:rPr>
          <w:rFonts w:hint="cs"/>
          <w:rtl/>
        </w:rPr>
        <w:t>ّ</w:t>
      </w:r>
      <w:r w:rsidR="00F87057">
        <w:rPr>
          <w:rtl/>
        </w:rPr>
        <w:t>ل الإرسالات الخطية الحية</w:t>
      </w:r>
      <w:r w:rsidR="00F41E0C">
        <w:rPr>
          <w:rFonts w:hint="cs"/>
          <w:rtl/>
        </w:rPr>
        <w:t xml:space="preserve"> ل</w:t>
      </w:r>
      <w:r w:rsidR="00DF33B3">
        <w:rPr>
          <w:rFonts w:hint="cs"/>
          <w:rtl/>
        </w:rPr>
        <w:t>هيئة البث</w:t>
      </w:r>
      <w:r w:rsidR="0052423B">
        <w:rPr>
          <w:rFonts w:hint="cs"/>
          <w:rtl/>
        </w:rPr>
        <w:t>،</w:t>
      </w:r>
      <w:r w:rsidR="00AA1916">
        <w:rPr>
          <w:rtl/>
        </w:rPr>
        <w:t xml:space="preserve"> مثل قنوات </w:t>
      </w:r>
      <w:r w:rsidR="0052423B">
        <w:rPr>
          <w:rFonts w:hint="cs"/>
          <w:rtl/>
        </w:rPr>
        <w:t xml:space="preserve">البث الصرفة على الإنترنت </w:t>
      </w:r>
      <w:r w:rsidR="00605F55">
        <w:rPr>
          <w:rFonts w:hint="cs"/>
          <w:rtl/>
        </w:rPr>
        <w:t>حسب</w:t>
      </w:r>
      <w:r w:rsidR="00F87057">
        <w:rPr>
          <w:rtl/>
        </w:rPr>
        <w:t xml:space="preserve"> الطلب أو التي يمكن </w:t>
      </w:r>
      <w:r w:rsidR="00F41E0C">
        <w:rPr>
          <w:rFonts w:hint="cs"/>
          <w:rtl/>
        </w:rPr>
        <w:t>أن ينفذ</w:t>
      </w:r>
      <w:r w:rsidR="00F87057">
        <w:rPr>
          <w:rtl/>
        </w:rPr>
        <w:t xml:space="preserve"> إليها </w:t>
      </w:r>
      <w:r w:rsidR="00AA1916">
        <w:rPr>
          <w:rFonts w:hint="cs"/>
          <w:rtl/>
        </w:rPr>
        <w:t xml:space="preserve">أفراد </w:t>
      </w:r>
      <w:r w:rsidR="00244309">
        <w:rPr>
          <w:rFonts w:hint="cs"/>
          <w:rtl/>
        </w:rPr>
        <w:t>الجمهور</w:t>
      </w:r>
      <w:r w:rsidR="003853A0">
        <w:rPr>
          <w:rtl/>
        </w:rPr>
        <w:t xml:space="preserve"> دون أي قيود</w:t>
      </w:r>
      <w:r w:rsidR="00360E70">
        <w:rPr>
          <w:rFonts w:hint="cs"/>
          <w:rtl/>
        </w:rPr>
        <w:t xml:space="preserve"> زمنية،</w:t>
      </w:r>
      <w:r w:rsidR="003853A0">
        <w:rPr>
          <w:rtl/>
        </w:rPr>
        <w:t xml:space="preserve"> مثل</w:t>
      </w:r>
      <w:r w:rsidR="00F87057">
        <w:rPr>
          <w:rtl/>
        </w:rPr>
        <w:t xml:space="preserve"> </w:t>
      </w:r>
      <w:r w:rsidR="00605F55">
        <w:rPr>
          <w:rFonts w:hint="cs"/>
          <w:rtl/>
        </w:rPr>
        <w:t>الكتالوجات</w:t>
      </w:r>
      <w:r w:rsidR="00F87057">
        <w:rPr>
          <w:rtl/>
        </w:rPr>
        <w:t xml:space="preserve"> </w:t>
      </w:r>
      <w:r w:rsidR="00605F55">
        <w:rPr>
          <w:rFonts w:hint="cs"/>
          <w:rtl/>
        </w:rPr>
        <w:t>حسب الطلب</w:t>
      </w:r>
      <w:r w:rsidR="00F87057">
        <w:rPr>
          <w:rtl/>
        </w:rPr>
        <w:t xml:space="preserve"> </w:t>
      </w:r>
      <w:r w:rsidR="00605F55">
        <w:rPr>
          <w:rFonts w:hint="cs"/>
          <w:rtl/>
        </w:rPr>
        <w:t>ال</w:t>
      </w:r>
      <w:r w:rsidR="00F87057">
        <w:rPr>
          <w:rtl/>
        </w:rPr>
        <w:t xml:space="preserve">متاحة بعد </w:t>
      </w:r>
      <w:r w:rsidR="00771539" w:rsidRPr="00771539">
        <w:rPr>
          <w:rFonts w:hint="cs"/>
          <w:rtl/>
        </w:rPr>
        <w:t xml:space="preserve">انقضاء </w:t>
      </w:r>
      <w:r w:rsidR="00360E70">
        <w:rPr>
          <w:rFonts w:hint="cs"/>
          <w:rtl/>
        </w:rPr>
        <w:t>فترة ال</w:t>
      </w:r>
      <w:r w:rsidR="00F87057">
        <w:rPr>
          <w:rtl/>
        </w:rPr>
        <w:t xml:space="preserve">إعادة عبر الإنترنت وخدمات </w:t>
      </w:r>
      <w:r w:rsidR="003853A0" w:rsidRPr="003853A0">
        <w:rPr>
          <w:rFonts w:hint="cs"/>
          <w:rtl/>
        </w:rPr>
        <w:t>استدراك البرامج</w:t>
      </w:r>
      <w:r w:rsidR="003853A0" w:rsidRPr="003853A0">
        <w:rPr>
          <w:rtl/>
        </w:rPr>
        <w:t xml:space="preserve"> حسب</w:t>
      </w:r>
      <w:r w:rsidR="00360E70">
        <w:rPr>
          <w:rFonts w:hint="cs"/>
          <w:rtl/>
        </w:rPr>
        <w:t> </w:t>
      </w:r>
      <w:r w:rsidR="003853A0" w:rsidRPr="003853A0">
        <w:rPr>
          <w:rtl/>
        </w:rPr>
        <w:t>الطلب</w:t>
      </w:r>
      <w:r w:rsidR="00F87057">
        <w:rPr>
          <w:rtl/>
        </w:rPr>
        <w:t>.</w:t>
      </w:r>
    </w:p>
    <w:p w:rsidR="000703A8" w:rsidRDefault="007D1ABA" w:rsidP="003853A0">
      <w:pPr>
        <w:pStyle w:val="NumberedParaAR"/>
        <w:tabs>
          <w:tab w:val="clear" w:pos="567"/>
          <w:tab w:val="num" w:pos="424"/>
        </w:tabs>
      </w:pPr>
      <w:r>
        <w:rPr>
          <w:rFonts w:hint="cs"/>
          <w:rtl/>
        </w:rPr>
        <w:t>و</w:t>
      </w:r>
      <w:r w:rsidR="00F87057">
        <w:rPr>
          <w:rtl/>
        </w:rPr>
        <w:t xml:space="preserve">في ضوء </w:t>
      </w:r>
      <w:r>
        <w:rPr>
          <w:rtl/>
        </w:rPr>
        <w:t xml:space="preserve">ما سبق، نقترح التعديلات التالية </w:t>
      </w:r>
      <w:r>
        <w:rPr>
          <w:rFonts w:hint="cs"/>
          <w:rtl/>
        </w:rPr>
        <w:t>على ا</w:t>
      </w:r>
      <w:r w:rsidR="00F87057">
        <w:rPr>
          <w:rtl/>
        </w:rPr>
        <w:t>لجزء ألف من الوثيقة</w:t>
      </w:r>
      <w:r w:rsidR="003853A0">
        <w:rPr>
          <w:rFonts w:hint="cs"/>
          <w:rtl/>
        </w:rPr>
        <w:t> </w:t>
      </w:r>
      <w:r w:rsidRPr="007D1ABA">
        <w:t>SCCR/35/12</w:t>
      </w:r>
      <w:r w:rsidR="00F87057">
        <w:rPr>
          <w:rtl/>
        </w:rPr>
        <w:t>:</w:t>
      </w:r>
    </w:p>
    <w:p w:rsidR="006E4D79" w:rsidRDefault="00771539" w:rsidP="003853A0">
      <w:pPr>
        <w:pStyle w:val="NumberedParaAR"/>
        <w:numPr>
          <w:ilvl w:val="0"/>
          <w:numId w:val="0"/>
        </w:numPr>
        <w:rPr>
          <w:b/>
          <w:bCs/>
          <w:rtl/>
        </w:rPr>
      </w:pPr>
      <w:r>
        <w:rPr>
          <w:rFonts w:hint="cs"/>
          <w:b/>
          <w:bCs/>
          <w:rtl/>
        </w:rPr>
        <w:t>أولا.</w:t>
      </w:r>
      <w:r>
        <w:rPr>
          <w:b/>
          <w:bCs/>
          <w:rtl/>
        </w:rPr>
        <w:tab/>
      </w:r>
      <w:r w:rsidR="003853A0">
        <w:rPr>
          <w:rFonts w:hint="cs"/>
          <w:b/>
          <w:bCs/>
          <w:rtl/>
        </w:rPr>
        <w:t>التعاريف</w:t>
      </w:r>
    </w:p>
    <w:p w:rsidR="00CF2F9E" w:rsidRPr="00E4620C" w:rsidRDefault="00655E12" w:rsidP="00EB15BD">
      <w:pPr>
        <w:pStyle w:val="NormalParaAR"/>
        <w:ind w:left="566" w:hanging="566"/>
      </w:pPr>
      <w:r>
        <w:rPr>
          <w:rFonts w:hint="cs"/>
          <w:rtl/>
          <w:lang w:bidi="ar-MA"/>
        </w:rPr>
        <w:t>-</w:t>
      </w:r>
      <w:r>
        <w:rPr>
          <w:rtl/>
          <w:lang w:bidi="ar-MA"/>
        </w:rPr>
        <w:tab/>
      </w:r>
      <w:r w:rsidR="006E4D79" w:rsidRPr="006E4D79">
        <w:rPr>
          <w:rtl/>
          <w:lang w:bidi="ar-MA"/>
        </w:rPr>
        <w:t xml:space="preserve">(أ) </w:t>
      </w:r>
      <w:r w:rsidR="006E4D79">
        <w:rPr>
          <w:rFonts w:hint="cs"/>
          <w:rtl/>
          <w:lang w:val="en-GB" w:bidi="ar-MA"/>
        </w:rPr>
        <w:t xml:space="preserve">"البث": </w:t>
      </w:r>
      <w:r w:rsidR="00440B5F">
        <w:rPr>
          <w:rFonts w:hint="cs"/>
          <w:rtl/>
          <w:lang w:val="en-GB" w:bidi="ar-MA"/>
        </w:rPr>
        <w:t>استبع</w:t>
      </w:r>
      <w:r w:rsidR="00DF33B3">
        <w:rPr>
          <w:rFonts w:hint="cs"/>
          <w:rtl/>
          <w:lang w:val="en-GB" w:bidi="ar-MA"/>
        </w:rPr>
        <w:t>ا</w:t>
      </w:r>
      <w:r w:rsidR="00440B5F">
        <w:rPr>
          <w:rFonts w:hint="cs"/>
          <w:rtl/>
          <w:lang w:val="en-GB" w:bidi="ar-MA"/>
        </w:rPr>
        <w:t>د البديلين</w:t>
      </w:r>
      <w:r w:rsidR="00440B5F" w:rsidRPr="00440B5F">
        <w:rPr>
          <w:rtl/>
          <w:lang w:val="en-GB" w:bidi="ar-MA"/>
        </w:rPr>
        <w:t xml:space="preserve"> أ</w:t>
      </w:r>
      <w:r w:rsidR="00440B5F">
        <w:rPr>
          <w:rFonts w:hint="cs"/>
          <w:rtl/>
          <w:lang w:val="en-GB" w:bidi="ar-MA"/>
        </w:rPr>
        <w:t>لف</w:t>
      </w:r>
      <w:r w:rsidR="00440B5F" w:rsidRPr="00440B5F">
        <w:rPr>
          <w:rtl/>
          <w:lang w:val="en-GB" w:bidi="ar-MA"/>
        </w:rPr>
        <w:t xml:space="preserve"> و ب</w:t>
      </w:r>
      <w:r w:rsidR="00440B5F">
        <w:rPr>
          <w:rFonts w:hint="cs"/>
          <w:rtl/>
          <w:lang w:val="en-GB" w:bidi="ar-MA"/>
        </w:rPr>
        <w:t>اء</w:t>
      </w:r>
      <w:r w:rsidR="00440B5F" w:rsidRPr="00440B5F">
        <w:rPr>
          <w:rtl/>
          <w:lang w:val="en-GB" w:bidi="ar-MA"/>
        </w:rPr>
        <w:t xml:space="preserve"> </w:t>
      </w:r>
      <w:r w:rsidR="00440B5F">
        <w:rPr>
          <w:rFonts w:hint="cs"/>
          <w:rtl/>
          <w:lang w:val="en-GB" w:bidi="ar-MA"/>
        </w:rPr>
        <w:t>وا</w:t>
      </w:r>
      <w:r w:rsidR="00DF33B3">
        <w:rPr>
          <w:rFonts w:hint="cs"/>
          <w:rtl/>
          <w:lang w:val="en-GB" w:bidi="ar-MA"/>
        </w:rPr>
        <w:t>لا</w:t>
      </w:r>
      <w:r w:rsidR="00440B5F">
        <w:rPr>
          <w:rFonts w:hint="cs"/>
          <w:rtl/>
          <w:lang w:val="en-GB" w:bidi="ar-MA"/>
        </w:rPr>
        <w:t>ستع</w:t>
      </w:r>
      <w:r w:rsidR="00DF33B3">
        <w:rPr>
          <w:rFonts w:hint="cs"/>
          <w:rtl/>
          <w:lang w:val="en-GB" w:bidi="ar-MA"/>
        </w:rPr>
        <w:t>ا</w:t>
      </w:r>
      <w:r w:rsidR="00440B5F">
        <w:rPr>
          <w:rFonts w:hint="cs"/>
          <w:rtl/>
          <w:lang w:val="en-GB" w:bidi="ar-MA"/>
        </w:rPr>
        <w:t>ض</w:t>
      </w:r>
      <w:r w:rsidR="00DF33B3">
        <w:rPr>
          <w:rFonts w:hint="cs"/>
          <w:rtl/>
          <w:lang w:val="en-GB" w:bidi="ar-MA"/>
        </w:rPr>
        <w:t>ة</w:t>
      </w:r>
      <w:r w:rsidR="00440B5F">
        <w:rPr>
          <w:rFonts w:hint="cs"/>
          <w:rtl/>
          <w:lang w:val="en-GB" w:bidi="ar-MA"/>
        </w:rPr>
        <w:t xml:space="preserve"> عنهم</w:t>
      </w:r>
      <w:r w:rsidR="00F44421">
        <w:rPr>
          <w:rFonts w:hint="cs"/>
          <w:rtl/>
          <w:lang w:val="en-GB" w:bidi="ar-MA"/>
        </w:rPr>
        <w:t xml:space="preserve">ا </w:t>
      </w:r>
      <w:r w:rsidR="00440B5F" w:rsidRPr="00440B5F">
        <w:rPr>
          <w:rtl/>
          <w:lang w:val="en-GB" w:bidi="ar-MA"/>
        </w:rPr>
        <w:t xml:space="preserve"> بالتعريف </w:t>
      </w:r>
      <w:r w:rsidR="005E1E70">
        <w:rPr>
          <w:rFonts w:hint="cs"/>
          <w:rtl/>
          <w:lang w:val="en-GB" w:bidi="ar-MA"/>
        </w:rPr>
        <w:t>الوارد</w:t>
      </w:r>
      <w:r w:rsidR="00440B5F" w:rsidRPr="00440B5F">
        <w:rPr>
          <w:rtl/>
          <w:lang w:val="en-GB" w:bidi="ar-MA"/>
        </w:rPr>
        <w:t xml:space="preserve"> في الجزء ب</w:t>
      </w:r>
      <w:r w:rsidR="005E1E70">
        <w:rPr>
          <w:rFonts w:hint="cs"/>
          <w:rtl/>
          <w:lang w:val="en-GB" w:bidi="ar-MA"/>
        </w:rPr>
        <w:t>اء</w:t>
      </w:r>
      <w:r w:rsidR="00440B5F" w:rsidRPr="00440B5F">
        <w:rPr>
          <w:rtl/>
          <w:lang w:val="en-GB" w:bidi="ar-MA"/>
        </w:rPr>
        <w:t xml:space="preserve"> الذي سيصبح </w:t>
      </w:r>
      <w:r w:rsidR="0073505C">
        <w:rPr>
          <w:rFonts w:hint="cs"/>
          <w:rtl/>
          <w:lang w:val="en-GB" w:bidi="ar-MA"/>
        </w:rPr>
        <w:t>نص</w:t>
      </w:r>
      <w:r w:rsidR="00912817">
        <w:rPr>
          <w:rFonts w:hint="cs"/>
          <w:rtl/>
          <w:lang w:val="en-GB" w:bidi="ar-MA"/>
        </w:rPr>
        <w:t>ه</w:t>
      </w:r>
      <w:r w:rsidR="0073505C">
        <w:rPr>
          <w:rFonts w:hint="cs"/>
          <w:rtl/>
          <w:lang w:val="en-GB" w:bidi="ar-MA"/>
        </w:rPr>
        <w:t xml:space="preserve"> </w:t>
      </w:r>
      <w:r w:rsidR="00440B5F" w:rsidRPr="00440B5F">
        <w:rPr>
          <w:rtl/>
          <w:lang w:val="en-GB" w:bidi="ar-MA"/>
        </w:rPr>
        <w:t>بعد ذلك كما يلي:</w:t>
      </w:r>
    </w:p>
    <w:p w:rsidR="005A28F7" w:rsidRPr="00E4620C" w:rsidRDefault="00655E12" w:rsidP="00655E12">
      <w:pPr>
        <w:pStyle w:val="NormalParaAR"/>
        <w:ind w:left="566"/>
        <w:rPr>
          <w:rtl/>
        </w:rPr>
      </w:pPr>
      <w:r>
        <w:rPr>
          <w:rFonts w:hint="cs"/>
          <w:rtl/>
        </w:rPr>
        <w:t>(أ)</w:t>
      </w:r>
      <w:r>
        <w:rPr>
          <w:rtl/>
        </w:rPr>
        <w:tab/>
      </w:r>
      <w:r w:rsidR="00E547AA" w:rsidRPr="007652DC">
        <w:rPr>
          <w:rtl/>
        </w:rPr>
        <w:t xml:space="preserve">يقصد بكلمة "بث" إرسال إشارة حاملة لبرنامج إما بوسائل سلكية أو لاسلكية أو غيرها من الوسائل ليستقبلها الجمهور؛ </w:t>
      </w:r>
      <w:r>
        <w:rPr>
          <w:rtl/>
        </w:rPr>
        <w:t xml:space="preserve">ويعتبر </w:t>
      </w:r>
      <w:r>
        <w:rPr>
          <w:rFonts w:hint="cs"/>
          <w:rtl/>
        </w:rPr>
        <w:t>ال</w:t>
      </w:r>
      <w:r w:rsidRPr="00655E12">
        <w:rPr>
          <w:rtl/>
        </w:rPr>
        <w:t xml:space="preserve">إرسال </w:t>
      </w:r>
      <w:r>
        <w:rPr>
          <w:rFonts w:hint="cs"/>
          <w:rtl/>
        </w:rPr>
        <w:t>الذي</w:t>
      </w:r>
      <w:r w:rsidRPr="00655E12">
        <w:rPr>
          <w:rtl/>
        </w:rPr>
        <w:t xml:space="preserve"> يتم عبر الساتل من باب "</w:t>
      </w:r>
      <w:r w:rsidRPr="00655E12">
        <w:rPr>
          <w:rFonts w:hint="cs"/>
          <w:rtl/>
        </w:rPr>
        <w:t>البث</w:t>
      </w:r>
      <w:r w:rsidRPr="00655E12">
        <w:rPr>
          <w:rtl/>
        </w:rPr>
        <w:t xml:space="preserve">" أيضا </w:t>
      </w:r>
      <w:r w:rsidR="00E547AA" w:rsidRPr="007652DC">
        <w:rPr>
          <w:rtl/>
        </w:rPr>
        <w:t>؛ ويعتبر إرسال إشارات مجفَّرة من باب "البث" في حال أتيحت للجمهور وسيلة فك التجفير من قبل هيئة البث أو بموافقتها.</w:t>
      </w:r>
      <w:r w:rsidR="009921F5" w:rsidRPr="007652DC">
        <w:rPr>
          <w:rFonts w:hint="cs"/>
          <w:rtl/>
        </w:rPr>
        <w:t xml:space="preserve"> </w:t>
      </w:r>
      <w:r w:rsidR="009921F5" w:rsidRPr="007652DC">
        <w:rPr>
          <w:rtl/>
        </w:rPr>
        <w:t>ولا تعتبر أشكال الإرسال التي تتم عبر الشبكات الحاسوبية من باب "البث".</w:t>
      </w:r>
      <w:r w:rsidR="00013DD9" w:rsidRPr="007652DC">
        <w:rPr>
          <w:rFonts w:hint="cs"/>
          <w:rtl/>
        </w:rPr>
        <w:t xml:space="preserve"> و</w:t>
      </w:r>
      <w:r w:rsidR="00013DD9" w:rsidRPr="007652DC">
        <w:rPr>
          <w:rtl/>
        </w:rPr>
        <w:t>لأغراض هذه المعاهدة، لا يؤثر تعريف "البث" على الأطر التنظيمية الوطنية للأطراف المتعاقدة.</w:t>
      </w:r>
    </w:p>
    <w:p w:rsidR="0088398D" w:rsidRPr="00E4620C" w:rsidRDefault="00655E12" w:rsidP="00655E12">
      <w:pPr>
        <w:pStyle w:val="NormalParaAR"/>
        <w:ind w:left="566"/>
      </w:pPr>
      <w:r>
        <w:rPr>
          <w:rFonts w:hint="cs"/>
          <w:rtl/>
        </w:rPr>
        <w:t>(ه)</w:t>
      </w:r>
      <w:r>
        <w:rPr>
          <w:rtl/>
        </w:rPr>
        <w:tab/>
      </w:r>
      <w:r w:rsidR="007652DC">
        <w:rPr>
          <w:rFonts w:hint="cs"/>
          <w:rtl/>
        </w:rPr>
        <w:t>"</w:t>
      </w:r>
      <w:r w:rsidR="007652DC" w:rsidRPr="007652DC">
        <w:rPr>
          <w:rtl/>
        </w:rPr>
        <w:t>إعادة إرسال</w:t>
      </w:r>
      <w:r w:rsidR="007652DC">
        <w:rPr>
          <w:rFonts w:hint="cs"/>
          <w:rtl/>
        </w:rPr>
        <w:t xml:space="preserve">": </w:t>
      </w:r>
      <w:r w:rsidR="005A28F7">
        <w:rPr>
          <w:rFonts w:hint="cs"/>
          <w:rtl/>
        </w:rPr>
        <w:t>إزالة</w:t>
      </w:r>
      <w:r w:rsidR="0073505C">
        <w:rPr>
          <w:rtl/>
        </w:rPr>
        <w:t xml:space="preserve"> الأقواس المربعة من "أو مؤجل"</w:t>
      </w:r>
      <w:r w:rsidR="0073505C" w:rsidRPr="0073505C">
        <w:rPr>
          <w:rtl/>
        </w:rPr>
        <w:t xml:space="preserve">، بحيث </w:t>
      </w:r>
      <w:r w:rsidR="0073505C">
        <w:rPr>
          <w:rFonts w:hint="cs"/>
          <w:rtl/>
        </w:rPr>
        <w:t>يصبح نص التعريف</w:t>
      </w:r>
      <w:r w:rsidR="0073505C" w:rsidRPr="0073505C">
        <w:rPr>
          <w:rtl/>
        </w:rPr>
        <w:t xml:space="preserve"> كما يلي:</w:t>
      </w:r>
    </w:p>
    <w:p w:rsidR="007652DC" w:rsidRDefault="00655E12" w:rsidP="00EB15BD">
      <w:pPr>
        <w:pStyle w:val="NormalParaAR"/>
        <w:ind w:left="566"/>
        <w:rPr>
          <w:rtl/>
        </w:rPr>
      </w:pPr>
      <w:r>
        <w:rPr>
          <w:rFonts w:hint="cs"/>
          <w:rtl/>
        </w:rPr>
        <w:t>(ه)</w:t>
      </w:r>
      <w:r>
        <w:rPr>
          <w:rtl/>
        </w:rPr>
        <w:tab/>
      </w:r>
      <w:r w:rsidR="007652DC" w:rsidRPr="007652DC">
        <w:rPr>
          <w:rtl/>
        </w:rPr>
        <w:t>يقصد بعبارة "إعادة إرسال" إرسال إشارة بث حاملة لبرنامج ليستقبلها الجمهور بأية وسيلة من قبل أي</w:t>
      </w:r>
      <w:r w:rsidR="0040456C">
        <w:rPr>
          <w:rFonts w:hint="cs"/>
          <w:rtl/>
        </w:rPr>
        <w:t xml:space="preserve"> </w:t>
      </w:r>
      <w:r w:rsidR="00EB15BD">
        <w:rPr>
          <w:rFonts w:hint="cs"/>
          <w:rtl/>
        </w:rPr>
        <w:t xml:space="preserve">شخص آخر </w:t>
      </w:r>
      <w:r w:rsidR="007652DC" w:rsidRPr="007652DC">
        <w:rPr>
          <w:rtl/>
        </w:rPr>
        <w:t>خلاف هيئة البث الأصلية أو من قبل شخص يعمل بالنيابة عنها، سوا</w:t>
      </w:r>
      <w:r w:rsidR="002228C7">
        <w:rPr>
          <w:rtl/>
        </w:rPr>
        <w:t>ء على نحو متزامن أو شبه متزامن أو</w:t>
      </w:r>
      <w:r>
        <w:rPr>
          <w:rFonts w:hint="cs"/>
          <w:rtl/>
        </w:rPr>
        <w:t> </w:t>
      </w:r>
      <w:r w:rsidR="002228C7">
        <w:rPr>
          <w:rtl/>
        </w:rPr>
        <w:t>مؤجل</w:t>
      </w:r>
      <w:r w:rsidR="007652DC" w:rsidRPr="007652DC">
        <w:rPr>
          <w:rtl/>
        </w:rPr>
        <w:t>.</w:t>
      </w:r>
    </w:p>
    <w:p w:rsidR="00827965" w:rsidRPr="00827965" w:rsidRDefault="00655E12" w:rsidP="00672852">
      <w:pPr>
        <w:pStyle w:val="NormalParaAR"/>
        <w:keepNext/>
        <w:rPr>
          <w:lang w:bidi="ar-MA"/>
        </w:rPr>
      </w:pPr>
      <w:r>
        <w:rPr>
          <w:rFonts w:hint="cs"/>
          <w:rtl/>
          <w:lang w:bidi="ar-MA"/>
        </w:rPr>
        <w:lastRenderedPageBreak/>
        <w:t>-</w:t>
      </w:r>
      <w:r>
        <w:rPr>
          <w:rtl/>
          <w:lang w:bidi="ar-MA"/>
        </w:rPr>
        <w:tab/>
      </w:r>
      <w:r w:rsidR="009203DF">
        <w:rPr>
          <w:rtl/>
          <w:lang w:bidi="ar-MA"/>
        </w:rPr>
        <w:t xml:space="preserve">البند (ح) </w:t>
      </w:r>
      <w:r w:rsidR="00827965" w:rsidRPr="00827965">
        <w:rPr>
          <w:rtl/>
          <w:lang w:bidi="ar-MA"/>
        </w:rPr>
        <w:t xml:space="preserve">"إشارة سابقة للبث " </w:t>
      </w:r>
      <w:r w:rsidR="009203DF" w:rsidRPr="009203DF">
        <w:rPr>
          <w:rtl/>
          <w:lang w:bidi="ar-MA"/>
        </w:rPr>
        <w:t xml:space="preserve">يصبح </w:t>
      </w:r>
      <w:r w:rsidR="009203DF">
        <w:rPr>
          <w:rFonts w:hint="cs"/>
          <w:rtl/>
          <w:lang w:bidi="ar-MA"/>
        </w:rPr>
        <w:t xml:space="preserve">هو </w:t>
      </w:r>
      <w:r w:rsidR="00827965" w:rsidRPr="00827965">
        <w:rPr>
          <w:rtl/>
          <w:lang w:bidi="ar-MA"/>
        </w:rPr>
        <w:t>البند الجديد (ك) وتضاف البنود الجديدة التالية (ح) و (ط) و (ي):</w:t>
      </w:r>
    </w:p>
    <w:p w:rsidR="00120472" w:rsidRDefault="00120472" w:rsidP="00EB15BD">
      <w:pPr>
        <w:pStyle w:val="NormalParaAR"/>
        <w:ind w:left="566"/>
        <w:rPr>
          <w:rtl/>
          <w:lang w:bidi="ar-MA"/>
        </w:rPr>
      </w:pPr>
      <w:r>
        <w:rPr>
          <w:rFonts w:hint="cs"/>
          <w:rtl/>
          <w:lang w:bidi="ar-MA"/>
        </w:rPr>
        <w:t>(</w:t>
      </w:r>
      <w:r w:rsidR="006C4FC8">
        <w:rPr>
          <w:rtl/>
          <w:lang w:bidi="ar-MA"/>
        </w:rPr>
        <w:t>ح) يقصد ب</w:t>
      </w:r>
      <w:r w:rsidR="00655E12">
        <w:rPr>
          <w:rFonts w:hint="cs"/>
          <w:rtl/>
          <w:lang w:bidi="ar-MA"/>
        </w:rPr>
        <w:t xml:space="preserve">عبارة </w:t>
      </w:r>
      <w:r w:rsidR="00827965" w:rsidRPr="00827965">
        <w:rPr>
          <w:rtl/>
          <w:lang w:bidi="ar-MA"/>
        </w:rPr>
        <w:t>"</w:t>
      </w:r>
      <w:r w:rsidR="00F44421">
        <w:rPr>
          <w:rtl/>
          <w:lang w:bidi="ar-MA"/>
        </w:rPr>
        <w:t>الإرسالات المؤجلة المطابقة</w:t>
      </w:r>
      <w:r w:rsidR="00771539">
        <w:rPr>
          <w:rFonts w:hint="cs"/>
          <w:rtl/>
          <w:lang w:bidi="ar-MA"/>
        </w:rPr>
        <w:t xml:space="preserve"> للبث</w:t>
      </w:r>
      <w:r w:rsidR="00827965" w:rsidRPr="00827965">
        <w:rPr>
          <w:rtl/>
          <w:lang w:bidi="ar-MA"/>
        </w:rPr>
        <w:t>" الإرسال</w:t>
      </w:r>
      <w:r w:rsidR="0003467E">
        <w:rPr>
          <w:rFonts w:hint="cs"/>
          <w:rtl/>
          <w:lang w:bidi="ar-MA"/>
        </w:rPr>
        <w:t>ات</w:t>
      </w:r>
      <w:r w:rsidR="00827965" w:rsidRPr="00827965">
        <w:rPr>
          <w:rtl/>
          <w:lang w:bidi="ar-MA"/>
        </w:rPr>
        <w:t xml:space="preserve"> المؤجل</w:t>
      </w:r>
      <w:r w:rsidR="0003467E">
        <w:rPr>
          <w:rFonts w:hint="cs"/>
          <w:rtl/>
          <w:lang w:bidi="ar-MA"/>
        </w:rPr>
        <w:t>ة</w:t>
      </w:r>
      <w:r w:rsidR="00827965" w:rsidRPr="00827965">
        <w:rPr>
          <w:rtl/>
          <w:lang w:bidi="ar-MA"/>
        </w:rPr>
        <w:t xml:space="preserve"> </w:t>
      </w:r>
      <w:r w:rsidR="007572D8">
        <w:rPr>
          <w:rFonts w:hint="cs"/>
          <w:rtl/>
          <w:lang w:bidi="ar-MA"/>
        </w:rPr>
        <w:t>المشابه</w:t>
      </w:r>
      <w:r w:rsidR="0003467E">
        <w:rPr>
          <w:rFonts w:hint="cs"/>
          <w:rtl/>
          <w:lang w:bidi="ar-MA"/>
        </w:rPr>
        <w:t>ة</w:t>
      </w:r>
      <w:r w:rsidR="00827965" w:rsidRPr="00827965">
        <w:rPr>
          <w:rtl/>
          <w:lang w:bidi="ar-MA"/>
        </w:rPr>
        <w:t xml:space="preserve"> للإرسالات الحية الخطية لهيئة </w:t>
      </w:r>
      <w:r w:rsidR="007572D8">
        <w:rPr>
          <w:rFonts w:hint="cs"/>
          <w:rtl/>
          <w:lang w:bidi="ar-MA"/>
        </w:rPr>
        <w:t>البث</w:t>
      </w:r>
      <w:r w:rsidR="00827965" w:rsidRPr="00827965">
        <w:rPr>
          <w:rtl/>
          <w:lang w:bidi="ar-MA"/>
        </w:rPr>
        <w:t xml:space="preserve"> والمتاح</w:t>
      </w:r>
      <w:r w:rsidR="0003467E">
        <w:rPr>
          <w:rFonts w:hint="cs"/>
          <w:rtl/>
          <w:lang w:bidi="ar-MA"/>
        </w:rPr>
        <w:t>ة</w:t>
      </w:r>
      <w:r w:rsidR="00827965" w:rsidRPr="00827965">
        <w:rPr>
          <w:rtl/>
          <w:lang w:bidi="ar-MA"/>
        </w:rPr>
        <w:t xml:space="preserve"> </w:t>
      </w:r>
      <w:r w:rsidR="007572D8">
        <w:rPr>
          <w:rFonts w:hint="cs"/>
          <w:rtl/>
          <w:lang w:bidi="ar-MA"/>
        </w:rPr>
        <w:t>ل</w:t>
      </w:r>
      <w:r w:rsidR="00827965" w:rsidRPr="00827965">
        <w:rPr>
          <w:rtl/>
          <w:lang w:bidi="ar-MA"/>
        </w:rPr>
        <w:t xml:space="preserve">عدد محدود من الأسابيع أو الأشهر بعد </w:t>
      </w:r>
      <w:r w:rsidR="00771539">
        <w:rPr>
          <w:rFonts w:hint="cs"/>
          <w:rtl/>
          <w:lang w:bidi="ar-MA"/>
        </w:rPr>
        <w:t>تلك</w:t>
      </w:r>
      <w:r w:rsidR="00827965" w:rsidRPr="00827965">
        <w:rPr>
          <w:rtl/>
          <w:lang w:bidi="ar-MA"/>
        </w:rPr>
        <w:t xml:space="preserve"> الإرسالات الخطية</w:t>
      </w:r>
      <w:r w:rsidR="00EB15BD">
        <w:rPr>
          <w:rFonts w:hint="cs"/>
          <w:rtl/>
          <w:lang w:bidi="ar-MA"/>
        </w:rPr>
        <w:t xml:space="preserve">، </w:t>
      </w:r>
      <w:r w:rsidR="00B56839">
        <w:rPr>
          <w:rFonts w:hint="cs"/>
          <w:rtl/>
          <w:lang w:bidi="ar-MA"/>
        </w:rPr>
        <w:t>و</w:t>
      </w:r>
      <w:r w:rsidR="00EB15BD">
        <w:rPr>
          <w:rFonts w:hint="cs"/>
          <w:rtl/>
          <w:lang w:bidi="ar-MA"/>
        </w:rPr>
        <w:t xml:space="preserve">الإعادة </w:t>
      </w:r>
      <w:r w:rsidR="007572D8">
        <w:rPr>
          <w:rtl/>
          <w:lang w:bidi="ar-MA"/>
        </w:rPr>
        <w:t>عبر</w:t>
      </w:r>
      <w:r w:rsidR="00771539">
        <w:rPr>
          <w:rFonts w:hint="cs"/>
          <w:rtl/>
          <w:lang w:bidi="ar-MA"/>
        </w:rPr>
        <w:t> </w:t>
      </w:r>
      <w:r w:rsidR="007572D8">
        <w:rPr>
          <w:rtl/>
          <w:lang w:bidi="ar-MA"/>
        </w:rPr>
        <w:t>الإنترنت</w:t>
      </w:r>
      <w:r w:rsidR="00827965" w:rsidRPr="00827965">
        <w:rPr>
          <w:rtl/>
          <w:lang w:bidi="ar-MA"/>
        </w:rPr>
        <w:t xml:space="preserve">، وخدمات </w:t>
      </w:r>
      <w:r w:rsidR="00771539">
        <w:rPr>
          <w:rFonts w:hint="cs"/>
          <w:rtl/>
          <w:lang w:bidi="ar-MA"/>
        </w:rPr>
        <w:t>استدراك البرامج</w:t>
      </w:r>
      <w:r w:rsidR="007572D8">
        <w:rPr>
          <w:rFonts w:hint="cs"/>
          <w:rtl/>
          <w:lang w:bidi="ar-MA"/>
        </w:rPr>
        <w:t xml:space="preserve"> حسب الطلب</w:t>
      </w:r>
      <w:r w:rsidR="00827965" w:rsidRPr="00827965">
        <w:rPr>
          <w:rtl/>
          <w:lang w:bidi="ar-MA"/>
        </w:rPr>
        <w:t>، وملخصات الأحداث الرياضية.</w:t>
      </w:r>
    </w:p>
    <w:p w:rsidR="00827965" w:rsidRPr="00120472" w:rsidRDefault="00120472" w:rsidP="00EB15BD">
      <w:pPr>
        <w:pStyle w:val="NormalParaAR"/>
        <w:ind w:left="566"/>
        <w:rPr>
          <w:lang w:bidi="ar-MA"/>
        </w:rPr>
      </w:pPr>
      <w:r>
        <w:rPr>
          <w:rFonts w:hint="cs"/>
          <w:rtl/>
          <w:lang w:bidi="ar-MA"/>
        </w:rPr>
        <w:t>(</w:t>
      </w:r>
      <w:r w:rsidR="00827965" w:rsidRPr="00120472">
        <w:rPr>
          <w:rtl/>
          <w:lang w:bidi="ar-MA"/>
        </w:rPr>
        <w:t xml:space="preserve">ط) </w:t>
      </w:r>
      <w:r w:rsidR="0007716D">
        <w:rPr>
          <w:rFonts w:hint="cs"/>
          <w:rtl/>
          <w:lang w:bidi="ar-MA"/>
        </w:rPr>
        <w:t>ويُقصد</w:t>
      </w:r>
      <w:r w:rsidR="00827965" w:rsidRPr="00120472">
        <w:rPr>
          <w:rtl/>
          <w:lang w:bidi="ar-MA"/>
        </w:rPr>
        <w:t xml:space="preserve"> </w:t>
      </w:r>
      <w:r w:rsidR="00EA5184">
        <w:rPr>
          <w:rFonts w:hint="cs"/>
          <w:rtl/>
          <w:lang w:bidi="ar-MA"/>
        </w:rPr>
        <w:t>بـ</w:t>
      </w:r>
      <w:r w:rsidR="00771539">
        <w:rPr>
          <w:rFonts w:hint="cs"/>
          <w:rtl/>
          <w:lang w:bidi="ar-MA"/>
        </w:rPr>
        <w:t xml:space="preserve">عبارة </w:t>
      </w:r>
      <w:r w:rsidR="00827965" w:rsidRPr="00120472">
        <w:rPr>
          <w:rtl/>
          <w:lang w:bidi="ar-MA"/>
        </w:rPr>
        <w:t>"</w:t>
      </w:r>
      <w:r w:rsidR="0007716D" w:rsidRPr="0007716D">
        <w:rPr>
          <w:rtl/>
        </w:rPr>
        <w:t xml:space="preserve"> </w:t>
      </w:r>
      <w:r w:rsidR="0007716D" w:rsidRPr="0007716D">
        <w:rPr>
          <w:rtl/>
          <w:lang w:bidi="ar-MA"/>
        </w:rPr>
        <w:t>الإرسالات المؤجلة ذات الصلة الوثيقة</w:t>
      </w:r>
      <w:r w:rsidR="00EA5184">
        <w:rPr>
          <w:rFonts w:hint="cs"/>
          <w:rtl/>
          <w:lang w:bidi="ar-MA"/>
        </w:rPr>
        <w:t>"</w:t>
      </w:r>
      <w:r w:rsidR="0007716D" w:rsidRPr="0007716D">
        <w:rPr>
          <w:rtl/>
          <w:lang w:bidi="ar-MA"/>
        </w:rPr>
        <w:t xml:space="preserve"> </w:t>
      </w:r>
      <w:r w:rsidR="00771539">
        <w:rPr>
          <w:rFonts w:hint="cs"/>
          <w:rtl/>
          <w:lang w:bidi="ar-MA"/>
        </w:rPr>
        <w:t>الإرسالات</w:t>
      </w:r>
      <w:r w:rsidR="0007716D" w:rsidRPr="0007716D">
        <w:rPr>
          <w:rtl/>
          <w:lang w:bidi="ar-MA"/>
        </w:rPr>
        <w:t xml:space="preserve"> ا</w:t>
      </w:r>
      <w:r w:rsidR="00771539">
        <w:rPr>
          <w:rtl/>
          <w:lang w:bidi="ar-MA"/>
        </w:rPr>
        <w:t>لتي تُبَث فقط عبر الإنترنت</w:t>
      </w:r>
      <w:r w:rsidR="00771539">
        <w:rPr>
          <w:rFonts w:hint="cs"/>
          <w:rtl/>
          <w:lang w:bidi="ar-MA"/>
        </w:rPr>
        <w:t xml:space="preserve"> و</w:t>
      </w:r>
      <w:r w:rsidR="0007716D" w:rsidRPr="0007716D">
        <w:rPr>
          <w:rtl/>
          <w:lang w:bidi="ar-MA"/>
        </w:rPr>
        <w:t>تكم</w:t>
      </w:r>
      <w:r w:rsidR="00771539">
        <w:rPr>
          <w:rFonts w:hint="cs"/>
          <w:rtl/>
          <w:lang w:bidi="ar-MA"/>
        </w:rPr>
        <w:t>ّ</w:t>
      </w:r>
      <w:r w:rsidR="0007716D" w:rsidRPr="0007716D">
        <w:rPr>
          <w:rtl/>
          <w:lang w:bidi="ar-MA"/>
        </w:rPr>
        <w:t xml:space="preserve">ل البث الخطي الحي </w:t>
      </w:r>
      <w:r w:rsidR="00281A25">
        <w:rPr>
          <w:rFonts w:hint="cs"/>
          <w:rtl/>
          <w:lang w:bidi="ar-MA"/>
        </w:rPr>
        <w:t>لهيئة</w:t>
      </w:r>
      <w:r w:rsidR="00771539">
        <w:rPr>
          <w:rtl/>
          <w:lang w:bidi="ar-MA"/>
        </w:rPr>
        <w:t xml:space="preserve"> البث</w:t>
      </w:r>
      <w:r w:rsidR="00771539">
        <w:rPr>
          <w:rFonts w:hint="cs"/>
          <w:rtl/>
          <w:lang w:bidi="ar-MA"/>
        </w:rPr>
        <w:t xml:space="preserve"> وتُتاح </w:t>
      </w:r>
      <w:r w:rsidR="0007716D" w:rsidRPr="0007716D">
        <w:rPr>
          <w:rtl/>
          <w:lang w:bidi="ar-MA"/>
        </w:rPr>
        <w:t>لعدد محدود من الأسابيع أو الأشهر</w:t>
      </w:r>
      <w:r w:rsidR="00EB15BD">
        <w:rPr>
          <w:rFonts w:hint="cs"/>
          <w:rtl/>
          <w:lang w:bidi="ar-MA"/>
        </w:rPr>
        <w:t>،</w:t>
      </w:r>
      <w:r w:rsidR="0007716D" w:rsidRPr="0007716D">
        <w:rPr>
          <w:rtl/>
          <w:lang w:bidi="ar-MA"/>
        </w:rPr>
        <w:t xml:space="preserve"> </w:t>
      </w:r>
      <w:r w:rsidR="00EB15BD">
        <w:rPr>
          <w:rFonts w:hint="cs"/>
          <w:rtl/>
        </w:rPr>
        <w:t>مثل الأحداث الرياضية الموازية</w:t>
      </w:r>
      <w:r w:rsidR="00771539" w:rsidRPr="00771539">
        <w:rPr>
          <w:rFonts w:hint="cs"/>
          <w:rtl/>
        </w:rPr>
        <w:t xml:space="preserve">، </w:t>
      </w:r>
      <w:r w:rsidR="00EB15BD">
        <w:rPr>
          <w:rFonts w:hint="cs"/>
          <w:rtl/>
        </w:rPr>
        <w:t xml:space="preserve">والتغطية </w:t>
      </w:r>
      <w:r w:rsidR="00771539" w:rsidRPr="00771539">
        <w:rPr>
          <w:rFonts w:hint="cs"/>
          <w:rtl/>
        </w:rPr>
        <w:t xml:space="preserve">الإضافية </w:t>
      </w:r>
      <w:r w:rsidR="00EB15BD">
        <w:rPr>
          <w:rFonts w:hint="cs"/>
          <w:rtl/>
        </w:rPr>
        <w:t xml:space="preserve">للأخبار أو </w:t>
      </w:r>
      <w:r w:rsidR="00771539" w:rsidRPr="00771539">
        <w:rPr>
          <w:rFonts w:hint="cs"/>
          <w:rtl/>
        </w:rPr>
        <w:t>البرامج</w:t>
      </w:r>
      <w:r w:rsidR="00771539" w:rsidRPr="00771539">
        <w:rPr>
          <w:rtl/>
        </w:rPr>
        <w:t xml:space="preserve">، </w:t>
      </w:r>
      <w:r w:rsidR="00771539" w:rsidRPr="00771539">
        <w:rPr>
          <w:rFonts w:hint="cs"/>
          <w:rtl/>
        </w:rPr>
        <w:t>والعروض المسبقة</w:t>
      </w:r>
      <w:r w:rsidR="00771539" w:rsidRPr="00771539">
        <w:rPr>
          <w:rtl/>
        </w:rPr>
        <w:t>، و</w:t>
      </w:r>
      <w:r w:rsidR="00771539" w:rsidRPr="00771539">
        <w:rPr>
          <w:rFonts w:hint="cs"/>
          <w:rtl/>
        </w:rPr>
        <w:t>ال</w:t>
      </w:r>
      <w:r w:rsidR="00771539" w:rsidRPr="00771539">
        <w:rPr>
          <w:rtl/>
        </w:rPr>
        <w:t xml:space="preserve">مقابلات </w:t>
      </w:r>
      <w:r w:rsidR="00771539" w:rsidRPr="00771539">
        <w:rPr>
          <w:rFonts w:hint="cs"/>
          <w:rtl/>
        </w:rPr>
        <w:t>ال</w:t>
      </w:r>
      <w:r w:rsidR="00771539" w:rsidRPr="00771539">
        <w:rPr>
          <w:rtl/>
        </w:rPr>
        <w:t>إضافية</w:t>
      </w:r>
      <w:r w:rsidR="00771539" w:rsidRPr="00771539">
        <w:rPr>
          <w:rFonts w:hint="cs"/>
          <w:rtl/>
        </w:rPr>
        <w:t>،</w:t>
      </w:r>
      <w:r w:rsidR="00771539" w:rsidRPr="00771539">
        <w:rPr>
          <w:rtl/>
        </w:rPr>
        <w:t xml:space="preserve"> وبرامج </w:t>
      </w:r>
      <w:r w:rsidR="00771539" w:rsidRPr="00771539">
        <w:rPr>
          <w:rFonts w:hint="cs"/>
          <w:rtl/>
        </w:rPr>
        <w:t>ما </w:t>
      </w:r>
      <w:r w:rsidR="00771539" w:rsidRPr="00771539">
        <w:rPr>
          <w:rtl/>
        </w:rPr>
        <w:t>وراء الكواليس.</w:t>
      </w:r>
    </w:p>
    <w:p w:rsidR="00AB73CE" w:rsidRDefault="00120472" w:rsidP="00EB15BD">
      <w:pPr>
        <w:pStyle w:val="NormalParaAR"/>
        <w:ind w:left="566"/>
        <w:rPr>
          <w:rtl/>
          <w:lang w:bidi="ar-MA"/>
        </w:rPr>
      </w:pPr>
      <w:r>
        <w:rPr>
          <w:rFonts w:hint="cs"/>
          <w:rtl/>
          <w:lang w:bidi="ar-MA"/>
        </w:rPr>
        <w:t>(</w:t>
      </w:r>
      <w:r w:rsidR="00827965" w:rsidRPr="00827965">
        <w:rPr>
          <w:rtl/>
          <w:lang w:bidi="ar-MA"/>
        </w:rPr>
        <w:t xml:space="preserve">ي) </w:t>
      </w:r>
      <w:r w:rsidR="00E2350D">
        <w:rPr>
          <w:rFonts w:hint="cs"/>
          <w:rtl/>
          <w:lang w:bidi="ar-MA"/>
        </w:rPr>
        <w:t>ويُقصد بـ</w:t>
      </w:r>
      <w:r w:rsidR="00771539">
        <w:rPr>
          <w:rFonts w:hint="cs"/>
          <w:rtl/>
          <w:lang w:bidi="ar-MA"/>
        </w:rPr>
        <w:t xml:space="preserve">عبارة </w:t>
      </w:r>
      <w:r w:rsidR="00827965" w:rsidRPr="00827965">
        <w:rPr>
          <w:rtl/>
          <w:lang w:bidi="ar-MA"/>
        </w:rPr>
        <w:t>"</w:t>
      </w:r>
      <w:r w:rsidR="00E2350D" w:rsidRPr="00E2350D">
        <w:rPr>
          <w:rtl/>
          <w:lang w:bidi="ar-MA"/>
        </w:rPr>
        <w:t xml:space="preserve">الإرسالات المؤجلة غير </w:t>
      </w:r>
      <w:r w:rsidR="00771539">
        <w:rPr>
          <w:rFonts w:hint="cs"/>
          <w:rtl/>
          <w:lang w:bidi="ar-MA"/>
        </w:rPr>
        <w:t>المتصلة</w:t>
      </w:r>
      <w:r w:rsidR="00E2350D">
        <w:rPr>
          <w:rFonts w:hint="cs"/>
          <w:rtl/>
          <w:lang w:bidi="ar-MA"/>
        </w:rPr>
        <w:t>"</w:t>
      </w:r>
      <w:r w:rsidR="00E2350D" w:rsidRPr="00E2350D">
        <w:rPr>
          <w:rtl/>
          <w:lang w:bidi="ar-MA"/>
        </w:rPr>
        <w:t xml:space="preserve"> </w:t>
      </w:r>
      <w:r w:rsidR="00771539">
        <w:rPr>
          <w:rFonts w:hint="cs"/>
          <w:rtl/>
          <w:lang w:bidi="ar-MA"/>
        </w:rPr>
        <w:t>الإرسالات</w:t>
      </w:r>
      <w:r w:rsidR="00E2350D" w:rsidRPr="00E2350D">
        <w:rPr>
          <w:rtl/>
          <w:lang w:bidi="ar-MA"/>
        </w:rPr>
        <w:t xml:space="preserve"> التي تُبَث فقط عبر الإنترنت، </w:t>
      </w:r>
      <w:r w:rsidR="00771539" w:rsidRPr="00771539">
        <w:rPr>
          <w:rtl/>
        </w:rPr>
        <w:t>ولكنها لا تكم</w:t>
      </w:r>
      <w:r w:rsidR="00771539" w:rsidRPr="00771539">
        <w:rPr>
          <w:rFonts w:hint="cs"/>
          <w:rtl/>
        </w:rPr>
        <w:t>ّ</w:t>
      </w:r>
      <w:r w:rsidR="00771539" w:rsidRPr="00771539">
        <w:rPr>
          <w:rtl/>
        </w:rPr>
        <w:t>ل الإرسالات الخطية الحية</w:t>
      </w:r>
      <w:r w:rsidR="00771539" w:rsidRPr="00771539">
        <w:rPr>
          <w:rFonts w:hint="cs"/>
          <w:rtl/>
        </w:rPr>
        <w:t xml:space="preserve"> لهيئة البث</w:t>
      </w:r>
      <w:r w:rsidR="00771539">
        <w:rPr>
          <w:rFonts w:hint="cs"/>
          <w:rtl/>
        </w:rPr>
        <w:t xml:space="preserve">، </w:t>
      </w:r>
      <w:r w:rsidR="00771539" w:rsidRPr="00771539">
        <w:rPr>
          <w:rtl/>
        </w:rPr>
        <w:t xml:space="preserve">مثل قنوات </w:t>
      </w:r>
      <w:r w:rsidR="00EB15BD">
        <w:rPr>
          <w:rFonts w:hint="cs"/>
          <w:rtl/>
        </w:rPr>
        <w:t xml:space="preserve">البث الصرفة على الإنترنت </w:t>
      </w:r>
      <w:r w:rsidR="00771539" w:rsidRPr="00771539">
        <w:rPr>
          <w:rFonts w:hint="cs"/>
          <w:rtl/>
        </w:rPr>
        <w:t>حسب</w:t>
      </w:r>
      <w:r w:rsidR="00771539">
        <w:rPr>
          <w:rtl/>
        </w:rPr>
        <w:t xml:space="preserve"> الطلب</w:t>
      </w:r>
      <w:r w:rsidR="00771539">
        <w:rPr>
          <w:rFonts w:hint="cs"/>
          <w:rtl/>
        </w:rPr>
        <w:t>،</w:t>
      </w:r>
      <w:r w:rsidR="00771539" w:rsidRPr="00771539">
        <w:rPr>
          <w:rtl/>
        </w:rPr>
        <w:t xml:space="preserve"> أو التي يمكن </w:t>
      </w:r>
      <w:r w:rsidR="00771539" w:rsidRPr="00771539">
        <w:rPr>
          <w:rFonts w:hint="cs"/>
          <w:rtl/>
        </w:rPr>
        <w:t>أن ينفذ</w:t>
      </w:r>
      <w:r w:rsidR="00771539" w:rsidRPr="00771539">
        <w:rPr>
          <w:rtl/>
        </w:rPr>
        <w:t xml:space="preserve"> إليها </w:t>
      </w:r>
      <w:r w:rsidR="00771539" w:rsidRPr="00771539">
        <w:rPr>
          <w:rFonts w:hint="cs"/>
          <w:rtl/>
        </w:rPr>
        <w:t>أفراد الجمهور</w:t>
      </w:r>
      <w:r w:rsidR="00771539">
        <w:rPr>
          <w:rtl/>
        </w:rPr>
        <w:t xml:space="preserve"> دون أي قيود زمنية</w:t>
      </w:r>
      <w:r w:rsidR="00EB15BD">
        <w:rPr>
          <w:rFonts w:hint="cs"/>
          <w:rtl/>
        </w:rPr>
        <w:t xml:space="preserve">، مثل </w:t>
      </w:r>
      <w:r w:rsidR="00771539" w:rsidRPr="00771539">
        <w:rPr>
          <w:rFonts w:hint="cs"/>
          <w:rtl/>
        </w:rPr>
        <w:t>الكتالوجات</w:t>
      </w:r>
      <w:r w:rsidR="00771539" w:rsidRPr="00771539">
        <w:rPr>
          <w:rtl/>
        </w:rPr>
        <w:t xml:space="preserve"> </w:t>
      </w:r>
      <w:r w:rsidR="00771539" w:rsidRPr="00771539">
        <w:rPr>
          <w:rFonts w:hint="cs"/>
          <w:rtl/>
        </w:rPr>
        <w:t>حسب الطلب</w:t>
      </w:r>
      <w:r w:rsidR="00771539" w:rsidRPr="00771539">
        <w:rPr>
          <w:rtl/>
        </w:rPr>
        <w:t xml:space="preserve"> </w:t>
      </w:r>
      <w:r w:rsidR="00771539" w:rsidRPr="00771539">
        <w:rPr>
          <w:rFonts w:hint="cs"/>
          <w:rtl/>
        </w:rPr>
        <w:t>ال</w:t>
      </w:r>
      <w:r w:rsidR="00771539" w:rsidRPr="00771539">
        <w:rPr>
          <w:rtl/>
        </w:rPr>
        <w:t xml:space="preserve">متاحة بعد </w:t>
      </w:r>
      <w:r w:rsidR="00771539">
        <w:rPr>
          <w:rFonts w:hint="cs"/>
          <w:rtl/>
        </w:rPr>
        <w:t xml:space="preserve">انقضاء </w:t>
      </w:r>
      <w:r w:rsidR="00EB15BD">
        <w:rPr>
          <w:rFonts w:hint="cs"/>
          <w:rtl/>
        </w:rPr>
        <w:t>فترة ال</w:t>
      </w:r>
      <w:r w:rsidR="00771539" w:rsidRPr="00771539">
        <w:rPr>
          <w:rtl/>
        </w:rPr>
        <w:t xml:space="preserve">إعادة عبر الإنترنت وخدمات </w:t>
      </w:r>
      <w:r w:rsidR="00771539" w:rsidRPr="00771539">
        <w:rPr>
          <w:rFonts w:hint="cs"/>
          <w:rtl/>
        </w:rPr>
        <w:t>استدراك البرامج</w:t>
      </w:r>
      <w:r w:rsidR="00771539" w:rsidRPr="00771539">
        <w:rPr>
          <w:rtl/>
        </w:rPr>
        <w:t xml:space="preserve"> حسب الطلب.</w:t>
      </w:r>
    </w:p>
    <w:p w:rsidR="00F156AF" w:rsidRDefault="00771539" w:rsidP="003853A0">
      <w:pPr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MA"/>
        </w:rPr>
        <w:t>ثانيا.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ab/>
      </w:r>
      <w:r w:rsidR="00A74C5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MA"/>
        </w:rPr>
        <w:t>موضوع</w:t>
      </w:r>
      <w:r w:rsidR="00FA5A64" w:rsidRPr="00FA5A6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MA"/>
        </w:rPr>
        <w:t xml:space="preserve"> الحماية</w:t>
      </w:r>
    </w:p>
    <w:p w:rsidR="00FA5A64" w:rsidRDefault="006C4FC8" w:rsidP="00EB15BD">
      <w:pPr>
        <w:pStyle w:val="NormalParaAR"/>
        <w:rPr>
          <w:lang w:bidi="ar-MA"/>
        </w:rPr>
      </w:pPr>
      <w:r>
        <w:rPr>
          <w:rFonts w:hint="cs"/>
          <w:rtl/>
          <w:lang w:bidi="ar-MA"/>
        </w:rPr>
        <w:t>(1)</w:t>
      </w:r>
      <w:r>
        <w:rPr>
          <w:rtl/>
          <w:lang w:bidi="ar-MA"/>
        </w:rPr>
        <w:tab/>
      </w:r>
      <w:r w:rsidR="00982DA7">
        <w:rPr>
          <w:rFonts w:hint="cs"/>
          <w:rtl/>
          <w:lang w:bidi="ar-MA"/>
        </w:rPr>
        <w:t>ت</w:t>
      </w:r>
      <w:r w:rsidR="00A74C52" w:rsidRPr="00A74C52">
        <w:rPr>
          <w:rtl/>
          <w:lang w:bidi="ar-MA"/>
        </w:rPr>
        <w:t xml:space="preserve">متدّ </w:t>
      </w:r>
      <w:r w:rsidR="00A74C52" w:rsidRPr="006C4FC8">
        <w:rPr>
          <w:rtl/>
        </w:rPr>
        <w:t>الحماية</w:t>
      </w:r>
      <w:r w:rsidR="00A74C52" w:rsidRPr="00A74C52">
        <w:rPr>
          <w:rtl/>
          <w:lang w:bidi="ar-MA"/>
        </w:rPr>
        <w:t xml:space="preserve"> الممنوحة بناء على هذه المعاهدة فقط إلى الإشارات الحاملة للبرامج بما فيها الإشارات السابقة للبث التي ترسل من قبل هيئة البث أو بالنيابة عنها، ولا تمتدّ إلى البرامج المتضمنة فيها.</w:t>
      </w:r>
    </w:p>
    <w:p w:rsidR="00B50093" w:rsidRDefault="006C4FC8" w:rsidP="006C4FC8">
      <w:pPr>
        <w:pStyle w:val="NormalParaAR"/>
        <w:rPr>
          <w:lang w:bidi="ar-MA"/>
        </w:rPr>
      </w:pPr>
      <w:r>
        <w:rPr>
          <w:rFonts w:hint="cs"/>
          <w:rtl/>
          <w:lang w:bidi="ar-MA"/>
        </w:rPr>
        <w:t>(2)</w:t>
      </w:r>
      <w:r>
        <w:rPr>
          <w:rtl/>
          <w:lang w:bidi="ar-MA"/>
        </w:rPr>
        <w:tab/>
      </w:r>
      <w:r w:rsidR="00B50093">
        <w:rPr>
          <w:rFonts w:hint="cs"/>
          <w:rtl/>
          <w:lang w:bidi="ar-MA"/>
        </w:rPr>
        <w:t>و</w:t>
      </w:r>
      <w:r w:rsidR="00B50093" w:rsidRPr="00B50093">
        <w:rPr>
          <w:rtl/>
          <w:lang w:bidi="ar-MA"/>
        </w:rPr>
        <w:t>تتمتع هيئات البث أيضا ب</w:t>
      </w:r>
      <w:r>
        <w:rPr>
          <w:rFonts w:hint="cs"/>
          <w:rtl/>
          <w:lang w:bidi="ar-MA"/>
        </w:rPr>
        <w:t>ال</w:t>
      </w:r>
      <w:r w:rsidR="00B50093" w:rsidRPr="00B50093">
        <w:rPr>
          <w:rtl/>
          <w:lang w:bidi="ar-MA"/>
        </w:rPr>
        <w:t>حماية</w:t>
      </w:r>
      <w:r w:rsidR="00825692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ل</w:t>
      </w:r>
      <w:r w:rsidR="00825692">
        <w:rPr>
          <w:rFonts w:hint="cs"/>
          <w:rtl/>
          <w:lang w:bidi="ar-MA"/>
        </w:rPr>
        <w:t>ما يلي:</w:t>
      </w:r>
    </w:p>
    <w:p w:rsidR="00B50093" w:rsidRDefault="006C4FC8" w:rsidP="00EB15BD">
      <w:pPr>
        <w:pStyle w:val="NormalParaAR"/>
        <w:spacing w:after="0"/>
        <w:ind w:left="851"/>
        <w:rPr>
          <w:rtl/>
          <w:lang w:bidi="ar-MA"/>
        </w:rPr>
      </w:pPr>
      <w:r>
        <w:rPr>
          <w:rFonts w:hint="cs"/>
          <w:rtl/>
          <w:lang w:bidi="ar-MA"/>
        </w:rPr>
        <w:t>"1"</w:t>
      </w:r>
      <w:r>
        <w:rPr>
          <w:rtl/>
          <w:lang w:bidi="ar-MA"/>
        </w:rPr>
        <w:tab/>
      </w:r>
      <w:r w:rsidR="00B50093">
        <w:rPr>
          <w:rFonts w:hint="cs"/>
          <w:rtl/>
          <w:lang w:bidi="ar-MA"/>
        </w:rPr>
        <w:t>ا</w:t>
      </w:r>
      <w:r w:rsidR="00B50093" w:rsidRPr="00B50093">
        <w:rPr>
          <w:rtl/>
          <w:lang w:bidi="ar-MA"/>
        </w:rPr>
        <w:t>لإرسال المتزامن</w:t>
      </w:r>
      <w:r w:rsidR="00A71E79">
        <w:rPr>
          <w:rFonts w:hint="cs"/>
          <w:rtl/>
          <w:lang w:bidi="ar-MA"/>
        </w:rPr>
        <w:t>؛</w:t>
      </w:r>
    </w:p>
    <w:p w:rsidR="00A524D8" w:rsidRDefault="00B50093" w:rsidP="00EB15BD">
      <w:pPr>
        <w:pStyle w:val="NormalParaAR"/>
        <w:spacing w:after="0"/>
        <w:ind w:left="851"/>
        <w:rPr>
          <w:rtl/>
          <w:lang w:bidi="ar-MA"/>
        </w:rPr>
      </w:pPr>
      <w:r>
        <w:rPr>
          <w:rFonts w:hint="cs"/>
          <w:rtl/>
          <w:lang w:bidi="ar-MA"/>
        </w:rPr>
        <w:t>"2"</w:t>
      </w:r>
      <w:r w:rsidR="006C4FC8">
        <w:rPr>
          <w:rFonts w:hint="cs"/>
          <w:rtl/>
          <w:lang w:bidi="ar-MA"/>
        </w:rPr>
        <w:tab/>
      </w:r>
      <w:r w:rsidRPr="00B50093">
        <w:rPr>
          <w:rtl/>
          <w:lang w:bidi="ar-MA"/>
        </w:rPr>
        <w:t>و</w:t>
      </w:r>
      <w:r>
        <w:rPr>
          <w:rFonts w:hint="cs"/>
          <w:rtl/>
          <w:lang w:bidi="ar-MA"/>
        </w:rPr>
        <w:t xml:space="preserve">الإرسال </w:t>
      </w:r>
      <w:r w:rsidRPr="00B50093">
        <w:rPr>
          <w:rtl/>
          <w:lang w:bidi="ar-MA"/>
        </w:rPr>
        <w:t>شبه المتزامن</w:t>
      </w:r>
      <w:r w:rsidR="00A71E79">
        <w:rPr>
          <w:rFonts w:hint="cs"/>
          <w:rtl/>
          <w:lang w:bidi="ar-MA"/>
        </w:rPr>
        <w:t>؛</w:t>
      </w:r>
    </w:p>
    <w:p w:rsidR="00AD2767" w:rsidRDefault="006C4FC8" w:rsidP="00EB15BD">
      <w:pPr>
        <w:pStyle w:val="NormalParaAR"/>
        <w:ind w:left="850"/>
        <w:rPr>
          <w:rtl/>
          <w:lang w:bidi="ar-MA"/>
        </w:rPr>
      </w:pPr>
      <w:r>
        <w:rPr>
          <w:rFonts w:hint="cs"/>
          <w:rtl/>
          <w:lang w:bidi="ar-MA"/>
        </w:rPr>
        <w:t>"3"</w:t>
      </w:r>
      <w:r>
        <w:rPr>
          <w:rtl/>
          <w:lang w:bidi="ar-MA"/>
        </w:rPr>
        <w:tab/>
      </w:r>
      <w:r w:rsidR="00EB15BD">
        <w:rPr>
          <w:rFonts w:hint="cs"/>
          <w:rtl/>
          <w:lang w:bidi="ar-MA"/>
        </w:rPr>
        <w:t xml:space="preserve">والإرسال </w:t>
      </w:r>
      <w:r w:rsidR="00A524D8">
        <w:rPr>
          <w:rFonts w:hint="cs"/>
          <w:rtl/>
          <w:lang w:bidi="ar-MA"/>
        </w:rPr>
        <w:t xml:space="preserve">المؤجل </w:t>
      </w:r>
      <w:r w:rsidR="0045100E">
        <w:rPr>
          <w:rFonts w:hint="cs"/>
          <w:rtl/>
          <w:lang w:bidi="ar-MA"/>
        </w:rPr>
        <w:t>المطابق</w:t>
      </w:r>
      <w:r w:rsidR="00E4620C">
        <w:rPr>
          <w:rFonts w:hint="cs"/>
          <w:rtl/>
          <w:lang w:bidi="ar-MA"/>
        </w:rPr>
        <w:t>.</w:t>
      </w:r>
    </w:p>
    <w:p w:rsidR="00B50093" w:rsidRDefault="006C4FC8" w:rsidP="006C4FC8">
      <w:pPr>
        <w:pStyle w:val="NormalParaAR"/>
        <w:rPr>
          <w:lang w:bidi="ar-MA"/>
        </w:rPr>
      </w:pPr>
      <w:r>
        <w:rPr>
          <w:rFonts w:hint="cs"/>
          <w:rtl/>
          <w:lang w:bidi="ar-MA"/>
        </w:rPr>
        <w:t>(3)</w:t>
      </w:r>
      <w:r>
        <w:rPr>
          <w:rtl/>
          <w:lang w:bidi="ar-MA"/>
        </w:rPr>
        <w:tab/>
      </w:r>
      <w:r w:rsidR="00C80674">
        <w:rPr>
          <w:rFonts w:hint="cs"/>
          <w:rtl/>
          <w:lang w:bidi="ar-MA"/>
        </w:rPr>
        <w:t>توفر</w:t>
      </w:r>
      <w:r w:rsidR="00A10932">
        <w:rPr>
          <w:rFonts w:hint="cs"/>
          <w:rtl/>
          <w:lang w:bidi="ar-MA"/>
        </w:rPr>
        <w:t xml:space="preserve"> الأطراف المتعاقدة </w:t>
      </w:r>
      <w:r w:rsidR="004C2124">
        <w:rPr>
          <w:rFonts w:hint="cs"/>
          <w:rtl/>
          <w:lang w:bidi="ar-MA"/>
        </w:rPr>
        <w:t>حماية كافية وفعالة للإرسالات المؤجلة ذات الصلة الوثيقة.</w:t>
      </w:r>
      <w:r w:rsidR="00AC76AF">
        <w:rPr>
          <w:rStyle w:val="FootnoteReference"/>
          <w:rtl/>
          <w:lang w:bidi="ar-MA"/>
        </w:rPr>
        <w:footnoteReference w:id="1"/>
      </w:r>
      <w:r w:rsidR="004C2124">
        <w:rPr>
          <w:rFonts w:hint="cs"/>
          <w:rtl/>
          <w:lang w:bidi="ar-MA"/>
        </w:rPr>
        <w:t xml:space="preserve"> </w:t>
      </w:r>
    </w:p>
    <w:p w:rsidR="00C80674" w:rsidRDefault="006C4FC8" w:rsidP="007C4DC8">
      <w:pPr>
        <w:pStyle w:val="NormalParaAR"/>
        <w:rPr>
          <w:lang w:bidi="ar-MA"/>
        </w:rPr>
      </w:pPr>
      <w:r>
        <w:rPr>
          <w:rFonts w:hint="cs"/>
          <w:rtl/>
          <w:lang w:bidi="ar-MA"/>
        </w:rPr>
        <w:t>(4)</w:t>
      </w:r>
      <w:r>
        <w:rPr>
          <w:rtl/>
          <w:lang w:bidi="ar-MA"/>
        </w:rPr>
        <w:tab/>
      </w:r>
      <w:r w:rsidR="00D268F1">
        <w:rPr>
          <w:rFonts w:hint="cs"/>
          <w:rtl/>
          <w:lang w:bidi="ar-MA"/>
        </w:rPr>
        <w:t xml:space="preserve">"1" </w:t>
      </w:r>
      <w:r w:rsidR="00EB15BD">
        <w:rPr>
          <w:rFonts w:hint="cs"/>
          <w:rtl/>
          <w:lang w:bidi="ar-MA"/>
        </w:rPr>
        <w:t xml:space="preserve">يجوز أن </w:t>
      </w:r>
      <w:r w:rsidR="00C80674">
        <w:rPr>
          <w:rFonts w:hint="cs"/>
          <w:rtl/>
          <w:lang w:bidi="ar-MA"/>
        </w:rPr>
        <w:t>تتمتع هيئات البث ب</w:t>
      </w:r>
      <w:r w:rsidR="007C4DC8">
        <w:rPr>
          <w:rFonts w:hint="cs"/>
          <w:rtl/>
          <w:lang w:bidi="ar-MA"/>
        </w:rPr>
        <w:t>الحماية لل</w:t>
      </w:r>
      <w:r w:rsidR="006B2FB0">
        <w:rPr>
          <w:rFonts w:hint="cs"/>
          <w:rtl/>
          <w:lang w:bidi="ar-MA"/>
        </w:rPr>
        <w:t>إرسال المؤجل</w:t>
      </w:r>
      <w:r w:rsidR="00C80674">
        <w:rPr>
          <w:rFonts w:hint="cs"/>
          <w:rtl/>
          <w:lang w:bidi="ar-MA"/>
        </w:rPr>
        <w:t xml:space="preserve"> غير </w:t>
      </w:r>
      <w:r w:rsidR="006B2FB0">
        <w:rPr>
          <w:rFonts w:hint="cs"/>
          <w:rtl/>
          <w:lang w:bidi="ar-MA"/>
        </w:rPr>
        <w:t>المتصل</w:t>
      </w:r>
      <w:r w:rsidR="007C4DC8">
        <w:rPr>
          <w:rFonts w:hint="cs"/>
          <w:rtl/>
          <w:lang w:bidi="ar-MA"/>
        </w:rPr>
        <w:t>.</w:t>
      </w:r>
    </w:p>
    <w:p w:rsidR="00D268F1" w:rsidRDefault="00D268F1" w:rsidP="00DA2572">
      <w:pPr>
        <w:pStyle w:val="NormalParaAR"/>
        <w:ind w:left="566"/>
        <w:rPr>
          <w:rtl/>
          <w:lang w:bidi="ar-MA"/>
        </w:rPr>
      </w:pPr>
      <w:r>
        <w:rPr>
          <w:rFonts w:hint="cs"/>
          <w:rtl/>
          <w:lang w:bidi="ar-MA"/>
        </w:rPr>
        <w:t>"2"</w:t>
      </w:r>
      <w:r w:rsidR="006C4FC8">
        <w:rPr>
          <w:rtl/>
          <w:lang w:bidi="ar-MA"/>
        </w:rPr>
        <w:tab/>
      </w:r>
      <w:r w:rsidR="004A0B59" w:rsidRPr="004A0B59">
        <w:rPr>
          <w:rtl/>
          <w:lang w:bidi="ar-MA"/>
        </w:rPr>
        <w:t>يجوز للأطراف</w:t>
      </w:r>
      <w:r w:rsidR="007C4DC8">
        <w:rPr>
          <w:rtl/>
          <w:lang w:bidi="ar-MA"/>
        </w:rPr>
        <w:t xml:space="preserve"> المتعاقدة أن تنص على </w:t>
      </w:r>
      <w:r w:rsidR="007C4DC8">
        <w:rPr>
          <w:rFonts w:hint="cs"/>
          <w:rtl/>
          <w:lang w:bidi="ar-MA"/>
        </w:rPr>
        <w:t xml:space="preserve">أن تتمتع </w:t>
      </w:r>
      <w:r w:rsidR="007C4DC8">
        <w:rPr>
          <w:rtl/>
          <w:lang w:bidi="ar-MA"/>
        </w:rPr>
        <w:t xml:space="preserve">هيئة بث </w:t>
      </w:r>
      <w:r w:rsidR="004A0B59" w:rsidRPr="004A0B59">
        <w:rPr>
          <w:rtl/>
          <w:lang w:bidi="ar-MA"/>
        </w:rPr>
        <w:t>تابعة لطرف متعاقد آخر بالحق</w:t>
      </w:r>
      <w:r w:rsidR="004A0B59">
        <w:rPr>
          <w:rtl/>
          <w:lang w:bidi="ar-MA"/>
        </w:rPr>
        <w:t xml:space="preserve"> المشار إليه في الفقرة الفرعية </w:t>
      </w:r>
      <w:r w:rsidR="004A0B59">
        <w:rPr>
          <w:rFonts w:hint="cs"/>
          <w:rtl/>
          <w:lang w:bidi="ar-MA"/>
        </w:rPr>
        <w:t>"</w:t>
      </w:r>
      <w:r w:rsidR="004A0B59">
        <w:rPr>
          <w:rtl/>
          <w:lang w:bidi="ar-MA"/>
        </w:rPr>
        <w:t>1</w:t>
      </w:r>
      <w:r w:rsidR="004A0B59">
        <w:rPr>
          <w:rFonts w:hint="cs"/>
          <w:rtl/>
          <w:lang w:bidi="ar-MA"/>
        </w:rPr>
        <w:t>"</w:t>
      </w:r>
      <w:r w:rsidR="004A0B59" w:rsidRPr="004A0B59">
        <w:rPr>
          <w:rtl/>
          <w:lang w:bidi="ar-MA"/>
        </w:rPr>
        <w:t xml:space="preserve"> أعلاه فقط إذا كان </w:t>
      </w:r>
      <w:r w:rsidR="006B2FB0">
        <w:rPr>
          <w:rFonts w:hint="cs"/>
          <w:rtl/>
          <w:lang w:bidi="ar-MA"/>
        </w:rPr>
        <w:t xml:space="preserve">تشريع </w:t>
      </w:r>
      <w:r w:rsidR="004A0B59" w:rsidRPr="004A0B59">
        <w:rPr>
          <w:rtl/>
          <w:lang w:bidi="ar-MA"/>
        </w:rPr>
        <w:t xml:space="preserve">ذلك الطرف المتعاقد </w:t>
      </w:r>
      <w:r w:rsidR="006B2FB0">
        <w:rPr>
          <w:rFonts w:hint="cs"/>
          <w:rtl/>
          <w:lang w:bidi="ar-MA"/>
        </w:rPr>
        <w:t xml:space="preserve">الآخر ينص على </w:t>
      </w:r>
      <w:r w:rsidR="004A0B59" w:rsidRPr="004A0B59">
        <w:rPr>
          <w:rtl/>
          <w:lang w:bidi="ar-MA"/>
        </w:rPr>
        <w:t>منح حماية مماثلة.</w:t>
      </w:r>
    </w:p>
    <w:p w:rsidR="00F52D51" w:rsidRDefault="00384C5F" w:rsidP="00DA2572">
      <w:pPr>
        <w:pStyle w:val="NumberedParaAR"/>
        <w:tabs>
          <w:tab w:val="clear" w:pos="567"/>
          <w:tab w:val="num" w:pos="424"/>
        </w:tabs>
      </w:pPr>
      <w:r>
        <w:rPr>
          <w:rFonts w:hint="cs"/>
          <w:rtl/>
        </w:rPr>
        <w:t>و</w:t>
      </w:r>
      <w:r w:rsidR="004A405C">
        <w:rPr>
          <w:rtl/>
        </w:rPr>
        <w:t>في الختام</w:t>
      </w:r>
      <w:r w:rsidR="004A405C" w:rsidRPr="004A405C">
        <w:rPr>
          <w:rtl/>
        </w:rPr>
        <w:t xml:space="preserve">، نأمل أن </w:t>
      </w:r>
      <w:r w:rsidR="00145439">
        <w:rPr>
          <w:rFonts w:hint="cs"/>
          <w:rtl/>
        </w:rPr>
        <w:t xml:space="preserve">تساعد </w:t>
      </w:r>
      <w:r w:rsidR="004A405C" w:rsidRPr="004A405C">
        <w:rPr>
          <w:rtl/>
        </w:rPr>
        <w:t xml:space="preserve">هذه المساهمات </w:t>
      </w:r>
      <w:r w:rsidR="00145439">
        <w:rPr>
          <w:rFonts w:hint="cs"/>
          <w:rtl/>
        </w:rPr>
        <w:t>في</w:t>
      </w:r>
      <w:r w:rsidR="004A405C" w:rsidRPr="004A405C">
        <w:rPr>
          <w:rtl/>
        </w:rPr>
        <w:t xml:space="preserve"> </w:t>
      </w:r>
      <w:r w:rsidR="00DA2572">
        <w:rPr>
          <w:rFonts w:hint="cs"/>
          <w:rtl/>
        </w:rPr>
        <w:t>وضع صيغة نهائية ل</w:t>
      </w:r>
      <w:r w:rsidR="007C4DC8">
        <w:rPr>
          <w:rFonts w:hint="cs"/>
          <w:rtl/>
        </w:rPr>
        <w:t>اقتراح</w:t>
      </w:r>
      <w:r w:rsidR="004A405C" w:rsidRPr="004A405C">
        <w:rPr>
          <w:rtl/>
        </w:rPr>
        <w:t xml:space="preserve"> أساسي </w:t>
      </w:r>
      <w:r w:rsidR="00490E2D">
        <w:rPr>
          <w:rFonts w:hint="cs"/>
          <w:rtl/>
        </w:rPr>
        <w:t>ل</w:t>
      </w:r>
      <w:r w:rsidR="00490E2D" w:rsidRPr="00490E2D">
        <w:rPr>
          <w:rtl/>
        </w:rPr>
        <w:t xml:space="preserve">معاهدة </w:t>
      </w:r>
      <w:r w:rsidR="007C4DC8">
        <w:rPr>
          <w:rFonts w:hint="cs"/>
          <w:rtl/>
        </w:rPr>
        <w:t xml:space="preserve">بشأن </w:t>
      </w:r>
      <w:r w:rsidR="00490E2D" w:rsidRPr="00490E2D">
        <w:rPr>
          <w:rtl/>
        </w:rPr>
        <w:t>حماية هيئات البث</w:t>
      </w:r>
      <w:r w:rsidR="00DA2572">
        <w:rPr>
          <w:rFonts w:hint="cs"/>
          <w:rtl/>
        </w:rPr>
        <w:t>،</w:t>
      </w:r>
      <w:r w:rsidR="00490E2D" w:rsidRPr="00490E2D">
        <w:rPr>
          <w:rtl/>
        </w:rPr>
        <w:t xml:space="preserve"> </w:t>
      </w:r>
      <w:r w:rsidR="00490E2D">
        <w:rPr>
          <w:rFonts w:hint="cs"/>
          <w:rtl/>
        </w:rPr>
        <w:t>ي</w:t>
      </w:r>
      <w:r w:rsidR="004A405C" w:rsidRPr="004A405C">
        <w:rPr>
          <w:rtl/>
        </w:rPr>
        <w:t xml:space="preserve">توافق مع ولاية الجمعية </w:t>
      </w:r>
      <w:r w:rsidR="002D1090">
        <w:rPr>
          <w:rFonts w:hint="cs"/>
          <w:rtl/>
        </w:rPr>
        <w:t>العامة</w:t>
      </w:r>
      <w:r w:rsidR="007C4DC8">
        <w:rPr>
          <w:rtl/>
        </w:rPr>
        <w:t xml:space="preserve"> لسنة 2007 و</w:t>
      </w:r>
      <w:r w:rsidR="007C4DC8">
        <w:rPr>
          <w:rFonts w:hint="cs"/>
          <w:rtl/>
        </w:rPr>
        <w:t>ي</w:t>
      </w:r>
      <w:r w:rsidR="004A405C" w:rsidRPr="004A405C">
        <w:rPr>
          <w:rtl/>
        </w:rPr>
        <w:t>عكس</w:t>
      </w:r>
      <w:r w:rsidR="007C4DC8">
        <w:rPr>
          <w:rFonts w:hint="cs"/>
          <w:rtl/>
        </w:rPr>
        <w:t>،</w:t>
      </w:r>
      <w:r w:rsidR="004A405C" w:rsidRPr="004A405C">
        <w:rPr>
          <w:rtl/>
        </w:rPr>
        <w:t xml:space="preserve"> في الوقت نفسه</w:t>
      </w:r>
      <w:r w:rsidR="007C4DC8">
        <w:rPr>
          <w:rFonts w:hint="cs"/>
          <w:rtl/>
        </w:rPr>
        <w:t>،</w:t>
      </w:r>
      <w:r w:rsidR="004A405C" w:rsidRPr="004A405C">
        <w:rPr>
          <w:rtl/>
        </w:rPr>
        <w:t xml:space="preserve"> التغييرات</w:t>
      </w:r>
      <w:r w:rsidR="00490E2D">
        <w:rPr>
          <w:rtl/>
        </w:rPr>
        <w:t xml:space="preserve"> </w:t>
      </w:r>
      <w:r w:rsidR="00490E2D">
        <w:rPr>
          <w:rFonts w:hint="cs"/>
          <w:rtl/>
        </w:rPr>
        <w:t>التي طرأت على</w:t>
      </w:r>
      <w:r w:rsidR="00490E2D">
        <w:rPr>
          <w:rtl/>
        </w:rPr>
        <w:t xml:space="preserve"> التكنولوجيا وعادات</w:t>
      </w:r>
      <w:r w:rsidR="004A405C" w:rsidRPr="004A405C">
        <w:rPr>
          <w:rtl/>
        </w:rPr>
        <w:t xml:space="preserve"> الجمهور </w:t>
      </w:r>
      <w:r w:rsidR="00490E2D">
        <w:rPr>
          <w:rtl/>
        </w:rPr>
        <w:t>في</w:t>
      </w:r>
      <w:r w:rsidR="007C4DC8">
        <w:rPr>
          <w:rFonts w:hint="cs"/>
          <w:rtl/>
        </w:rPr>
        <w:t> </w:t>
      </w:r>
      <w:r w:rsidR="00490E2D">
        <w:rPr>
          <w:rtl/>
        </w:rPr>
        <w:t>السنوات الأخيرة</w:t>
      </w:r>
      <w:r w:rsidR="004A405C" w:rsidRPr="004A405C">
        <w:rPr>
          <w:rtl/>
        </w:rPr>
        <w:t xml:space="preserve">، </w:t>
      </w:r>
      <w:r w:rsidR="00DA2572">
        <w:rPr>
          <w:rFonts w:hint="cs"/>
          <w:rtl/>
        </w:rPr>
        <w:t>هدف ا</w:t>
      </w:r>
      <w:r w:rsidR="007C4DC8">
        <w:rPr>
          <w:rFonts w:hint="cs"/>
          <w:rtl/>
        </w:rPr>
        <w:t xml:space="preserve">لدعوة إلى </w:t>
      </w:r>
      <w:r w:rsidR="004A405C" w:rsidRPr="004A405C">
        <w:rPr>
          <w:rtl/>
        </w:rPr>
        <w:t>عقد مؤتمر دبلوماسي.</w:t>
      </w:r>
    </w:p>
    <w:p w:rsidR="006E24AA" w:rsidRDefault="006E24AA" w:rsidP="006E24AA">
      <w:pPr>
        <w:pStyle w:val="NumberedParaAR"/>
        <w:numPr>
          <w:ilvl w:val="0"/>
          <w:numId w:val="0"/>
        </w:numPr>
      </w:pPr>
    </w:p>
    <w:p w:rsidR="00F54295" w:rsidRPr="00F156AF" w:rsidRDefault="00F54295" w:rsidP="00C75F73">
      <w:pPr>
        <w:pStyle w:val="EndofDocumentAR"/>
        <w:rPr>
          <w:rtl/>
          <w:lang w:bidi="ar-EG"/>
        </w:rPr>
      </w:pPr>
      <w:r>
        <w:rPr>
          <w:rFonts w:hint="cs"/>
          <w:rtl/>
          <w:lang w:bidi="ar-EG"/>
        </w:rPr>
        <w:t>[نهاية الوثيقة]</w:t>
      </w:r>
    </w:p>
    <w:sectPr w:rsidR="00F54295" w:rsidRPr="00F156AF" w:rsidSect="00E4620C">
      <w:headerReference w:type="default" r:id="rId10"/>
      <w:pgSz w:w="11907" w:h="16840" w:code="9"/>
      <w:pgMar w:top="567" w:right="1418" w:bottom="1135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F0" w:rsidRDefault="00212FF0">
      <w:r>
        <w:separator/>
      </w:r>
    </w:p>
  </w:endnote>
  <w:endnote w:type="continuationSeparator" w:id="0">
    <w:p w:rsidR="00212FF0" w:rsidRDefault="002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F0" w:rsidRDefault="00212FF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12FF0" w:rsidRDefault="00212FF0" w:rsidP="009622BF">
      <w:pPr>
        <w:bidi/>
      </w:pPr>
      <w:r>
        <w:separator/>
      </w:r>
    </w:p>
  </w:footnote>
  <w:footnote w:id="1">
    <w:p w:rsidR="00AC76AF" w:rsidRDefault="00AC76AF" w:rsidP="00340CE2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 w:rsidR="006C4FC8">
        <w:rPr>
          <w:rFonts w:hint="cs"/>
          <w:rtl/>
        </w:rPr>
        <w:tab/>
      </w:r>
      <w:r w:rsidRPr="006C4FC8">
        <w:rPr>
          <w:b/>
          <w:bCs/>
          <w:i/>
          <w:iCs/>
          <w:rtl/>
        </w:rPr>
        <w:t>بيان متفق عليه بشأن "الحماية الكافية والفعالة":</w:t>
      </w:r>
      <w:r w:rsidRPr="006C4FC8">
        <w:rPr>
          <w:i/>
          <w:iCs/>
          <w:rtl/>
        </w:rPr>
        <w:t xml:space="preserve"> </w:t>
      </w:r>
      <w:r w:rsidR="00DA2572">
        <w:rPr>
          <w:rFonts w:hint="cs"/>
          <w:i/>
          <w:iCs/>
          <w:rtl/>
        </w:rPr>
        <w:t xml:space="preserve">تسمح </w:t>
      </w:r>
      <w:r w:rsidRPr="006C4FC8">
        <w:rPr>
          <w:i/>
          <w:iCs/>
          <w:rtl/>
        </w:rPr>
        <w:t xml:space="preserve">الحماية الكافية والفعالة للأطراف المتعاقدة </w:t>
      </w:r>
      <w:r w:rsidR="00DA2572">
        <w:rPr>
          <w:rFonts w:hint="cs"/>
          <w:i/>
          <w:iCs/>
          <w:rtl/>
        </w:rPr>
        <w:t>ب</w:t>
      </w:r>
      <w:r w:rsidRPr="006C4FC8">
        <w:rPr>
          <w:i/>
          <w:iCs/>
          <w:rtl/>
        </w:rPr>
        <w:t xml:space="preserve">المرونة في تنفيذها على المستوى الوطني، شريطة أن يكون </w:t>
      </w:r>
      <w:r w:rsidRPr="006C4FC8">
        <w:rPr>
          <w:rFonts w:hint="cs"/>
          <w:i/>
          <w:iCs/>
          <w:rtl/>
        </w:rPr>
        <w:t>لهيئة البث</w:t>
      </w:r>
      <w:r w:rsidR="00340CE2">
        <w:rPr>
          <w:rFonts w:hint="cs"/>
          <w:i/>
          <w:iCs/>
          <w:rtl/>
        </w:rPr>
        <w:t xml:space="preserve"> حق مستقل عن صاحب </w:t>
      </w:r>
      <w:r w:rsidR="000E7425" w:rsidRPr="006C4FC8">
        <w:rPr>
          <w:i/>
          <w:iCs/>
          <w:rtl/>
        </w:rPr>
        <w:t>حق المؤلف والحقوق المجاورة</w:t>
      </w:r>
      <w:r w:rsidR="00340CE2">
        <w:rPr>
          <w:rFonts w:hint="cs"/>
          <w:i/>
          <w:iCs/>
          <w:rtl/>
        </w:rPr>
        <w:t xml:space="preserve">، حسب ما </w:t>
      </w:r>
      <w:r w:rsidR="00340CE2">
        <w:rPr>
          <w:i/>
          <w:iCs/>
          <w:rtl/>
        </w:rPr>
        <w:t>ينطبق</w:t>
      </w:r>
      <w:r w:rsidRPr="006C4FC8">
        <w:rPr>
          <w:i/>
          <w:iCs/>
          <w:rtl/>
        </w:rPr>
        <w:t xml:space="preserve">، في اتخاذ الإجراءات القانونية لوقف أو منع قرصنة </w:t>
      </w:r>
      <w:r w:rsidR="006C4FC8">
        <w:rPr>
          <w:rFonts w:hint="cs"/>
          <w:i/>
          <w:iCs/>
          <w:rtl/>
        </w:rPr>
        <w:t>إرسالاتها</w:t>
      </w:r>
      <w:r w:rsidR="00C778B9" w:rsidRPr="006C4FC8">
        <w:rPr>
          <w:i/>
          <w:iCs/>
          <w:rtl/>
        </w:rPr>
        <w:t xml:space="preserve"> المؤجلة ذات الصلة الوثيقة</w:t>
      </w:r>
      <w:r w:rsidRPr="006C4FC8">
        <w:rPr>
          <w:i/>
          <w:iCs/>
          <w:rtl/>
        </w:rPr>
        <w:t xml:space="preserve">، ما لم يثبت مستخدم </w:t>
      </w:r>
      <w:r w:rsidR="006C4FC8">
        <w:rPr>
          <w:rFonts w:hint="cs"/>
          <w:i/>
          <w:iCs/>
          <w:rtl/>
        </w:rPr>
        <w:t>ذلك</w:t>
      </w:r>
      <w:r w:rsidR="006C4FC8">
        <w:rPr>
          <w:i/>
          <w:iCs/>
          <w:rtl/>
        </w:rPr>
        <w:t xml:space="preserve"> الإرسال أنه مرخص بموجب</w:t>
      </w:r>
      <w:r w:rsidR="006C4FC8">
        <w:rPr>
          <w:rFonts w:hint="cs"/>
          <w:i/>
          <w:iCs/>
          <w:rtl/>
        </w:rPr>
        <w:t xml:space="preserve"> </w:t>
      </w:r>
      <w:r w:rsidR="006C4FC8">
        <w:rPr>
          <w:i/>
          <w:iCs/>
          <w:rtl/>
        </w:rPr>
        <w:t>قانون أو</w:t>
      </w:r>
      <w:r w:rsidR="006C4FC8">
        <w:rPr>
          <w:rFonts w:hint="cs"/>
          <w:i/>
          <w:iCs/>
          <w:rtl/>
        </w:rPr>
        <w:t xml:space="preserve"> </w:t>
      </w:r>
      <w:r w:rsidRPr="006C4FC8">
        <w:rPr>
          <w:i/>
          <w:iCs/>
          <w:rtl/>
        </w:rPr>
        <w:t>عقد.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FB" w:rsidRDefault="00197AFB" w:rsidP="00FF3616">
    <w:r w:rsidRPr="00A030DE">
      <w:t>SCCR/36/5</w:t>
    </w:r>
  </w:p>
  <w:p w:rsidR="00197AFB" w:rsidRDefault="00197AFB" w:rsidP="00D61541">
    <w:r>
      <w:fldChar w:fldCharType="begin"/>
    </w:r>
    <w:r>
      <w:instrText xml:space="preserve"> PAGE  \* MERGEFORMAT </w:instrText>
    </w:r>
    <w:r>
      <w:fldChar w:fldCharType="separate"/>
    </w:r>
    <w:r w:rsidR="001C192D">
      <w:rPr>
        <w:noProof/>
      </w:rPr>
      <w:t>3</w:t>
    </w:r>
    <w:r>
      <w:fldChar w:fldCharType="end"/>
    </w:r>
  </w:p>
  <w:p w:rsidR="00197AFB" w:rsidRDefault="00197AFB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F6E4E"/>
    <w:multiLevelType w:val="hybridMultilevel"/>
    <w:tmpl w:val="07E42228"/>
    <w:lvl w:ilvl="0" w:tplc="88780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6024A"/>
    <w:multiLevelType w:val="hybridMultilevel"/>
    <w:tmpl w:val="EB445280"/>
    <w:lvl w:ilvl="0" w:tplc="5C5CCC16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9A78ED"/>
    <w:multiLevelType w:val="hybridMultilevel"/>
    <w:tmpl w:val="114AB86C"/>
    <w:lvl w:ilvl="0" w:tplc="B38EE852">
      <w:start w:val="1"/>
      <w:numFmt w:val="arabicAlpha"/>
      <w:lvlText w:val="(%1)"/>
      <w:lvlJc w:val="left"/>
      <w:pPr>
        <w:ind w:left="72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D4813"/>
    <w:multiLevelType w:val="hybridMultilevel"/>
    <w:tmpl w:val="5442DD16"/>
    <w:lvl w:ilvl="0" w:tplc="7968FAF6">
      <w:start w:val="1"/>
      <w:numFmt w:val="arabicAlpha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7C2992"/>
    <w:multiLevelType w:val="hybridMultilevel"/>
    <w:tmpl w:val="C9544A4C"/>
    <w:lvl w:ilvl="0" w:tplc="EC24C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70554244"/>
    <w:multiLevelType w:val="hybridMultilevel"/>
    <w:tmpl w:val="5482609C"/>
    <w:lvl w:ilvl="0" w:tplc="38E07B66">
      <w:start w:val="1"/>
      <w:numFmt w:val="arabicAlpha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2"/>
  </w:num>
  <w:num w:numId="5">
    <w:abstractNumId w:val="8"/>
  </w:num>
  <w:num w:numId="6">
    <w:abstractNumId w:val="24"/>
  </w:num>
  <w:num w:numId="7">
    <w:abstractNumId w:val="14"/>
  </w:num>
  <w:num w:numId="8">
    <w:abstractNumId w:val="21"/>
  </w:num>
  <w:num w:numId="9">
    <w:abstractNumId w:val="19"/>
  </w:num>
  <w:num w:numId="10">
    <w:abstractNumId w:val="25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23"/>
  </w:num>
  <w:num w:numId="23">
    <w:abstractNumId w:val="17"/>
  </w:num>
  <w:num w:numId="24">
    <w:abstractNumId w:val="18"/>
  </w:num>
  <w:num w:numId="25">
    <w:abstractNumId w:val="10"/>
  </w:num>
  <w:num w:numId="26">
    <w:abstractNumId w:val="2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C"/>
    <w:rsid w:val="00002CBE"/>
    <w:rsid w:val="00003232"/>
    <w:rsid w:val="000033DA"/>
    <w:rsid w:val="0000579F"/>
    <w:rsid w:val="000058D4"/>
    <w:rsid w:val="000074D1"/>
    <w:rsid w:val="000076BD"/>
    <w:rsid w:val="00010481"/>
    <w:rsid w:val="00010671"/>
    <w:rsid w:val="000114E2"/>
    <w:rsid w:val="00013347"/>
    <w:rsid w:val="00013D73"/>
    <w:rsid w:val="00013DD9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F98"/>
    <w:rsid w:val="00031B2C"/>
    <w:rsid w:val="00033D2C"/>
    <w:rsid w:val="0003467E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387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3921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03A8"/>
    <w:rsid w:val="00071138"/>
    <w:rsid w:val="00073402"/>
    <w:rsid w:val="00075745"/>
    <w:rsid w:val="00075A04"/>
    <w:rsid w:val="00075D39"/>
    <w:rsid w:val="000760C3"/>
    <w:rsid w:val="000763A4"/>
    <w:rsid w:val="00076901"/>
    <w:rsid w:val="0007716D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0D9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83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42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5B1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631C"/>
    <w:rsid w:val="00110107"/>
    <w:rsid w:val="00110531"/>
    <w:rsid w:val="00110794"/>
    <w:rsid w:val="00112524"/>
    <w:rsid w:val="00113769"/>
    <w:rsid w:val="00114141"/>
    <w:rsid w:val="00114827"/>
    <w:rsid w:val="00115266"/>
    <w:rsid w:val="001153CB"/>
    <w:rsid w:val="001154FB"/>
    <w:rsid w:val="00115B51"/>
    <w:rsid w:val="001171EF"/>
    <w:rsid w:val="001173C5"/>
    <w:rsid w:val="00120472"/>
    <w:rsid w:val="00121092"/>
    <w:rsid w:val="00121AA0"/>
    <w:rsid w:val="00121FE6"/>
    <w:rsid w:val="00123F16"/>
    <w:rsid w:val="0012405D"/>
    <w:rsid w:val="001252B1"/>
    <w:rsid w:val="00126897"/>
    <w:rsid w:val="0012696D"/>
    <w:rsid w:val="0012797C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439"/>
    <w:rsid w:val="00146C9E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97AFB"/>
    <w:rsid w:val="001A098F"/>
    <w:rsid w:val="001A10CB"/>
    <w:rsid w:val="001A110B"/>
    <w:rsid w:val="001A149A"/>
    <w:rsid w:val="001A2AB7"/>
    <w:rsid w:val="001A3624"/>
    <w:rsid w:val="001A4A9C"/>
    <w:rsid w:val="001A6B88"/>
    <w:rsid w:val="001A6C33"/>
    <w:rsid w:val="001A6E68"/>
    <w:rsid w:val="001B0F54"/>
    <w:rsid w:val="001B3131"/>
    <w:rsid w:val="001B4B2F"/>
    <w:rsid w:val="001B7267"/>
    <w:rsid w:val="001B7C00"/>
    <w:rsid w:val="001C09D2"/>
    <w:rsid w:val="001C1620"/>
    <w:rsid w:val="001C18B2"/>
    <w:rsid w:val="001C192D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D9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48D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0EA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2FF0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28C7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4309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19B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A25"/>
    <w:rsid w:val="00281F4F"/>
    <w:rsid w:val="0028491D"/>
    <w:rsid w:val="00286744"/>
    <w:rsid w:val="00287B41"/>
    <w:rsid w:val="002909B9"/>
    <w:rsid w:val="00292A6E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090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A98"/>
    <w:rsid w:val="00301FE4"/>
    <w:rsid w:val="00303E3A"/>
    <w:rsid w:val="00305417"/>
    <w:rsid w:val="00306127"/>
    <w:rsid w:val="003063AB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01"/>
    <w:rsid w:val="00334127"/>
    <w:rsid w:val="00335CA6"/>
    <w:rsid w:val="003365F0"/>
    <w:rsid w:val="00336C50"/>
    <w:rsid w:val="00337388"/>
    <w:rsid w:val="0034007D"/>
    <w:rsid w:val="00340CE2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0E70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4C5F"/>
    <w:rsid w:val="003853A0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40AB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56C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0B5F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0E"/>
    <w:rsid w:val="004512B2"/>
    <w:rsid w:val="004528EE"/>
    <w:rsid w:val="00453360"/>
    <w:rsid w:val="00456409"/>
    <w:rsid w:val="004569A5"/>
    <w:rsid w:val="004569C6"/>
    <w:rsid w:val="00456ADC"/>
    <w:rsid w:val="0045768F"/>
    <w:rsid w:val="00457769"/>
    <w:rsid w:val="00457822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BE3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2D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0B59"/>
    <w:rsid w:val="004A1DC1"/>
    <w:rsid w:val="004A31A2"/>
    <w:rsid w:val="004A405C"/>
    <w:rsid w:val="004A48A7"/>
    <w:rsid w:val="004A655D"/>
    <w:rsid w:val="004B01B1"/>
    <w:rsid w:val="004B08D1"/>
    <w:rsid w:val="004B10E6"/>
    <w:rsid w:val="004B198F"/>
    <w:rsid w:val="004B3127"/>
    <w:rsid w:val="004B46D0"/>
    <w:rsid w:val="004B57B0"/>
    <w:rsid w:val="004B60CE"/>
    <w:rsid w:val="004B61C9"/>
    <w:rsid w:val="004C0B26"/>
    <w:rsid w:val="004C113C"/>
    <w:rsid w:val="004C12FE"/>
    <w:rsid w:val="004C1D57"/>
    <w:rsid w:val="004C2124"/>
    <w:rsid w:val="004C2F7C"/>
    <w:rsid w:val="004C34F8"/>
    <w:rsid w:val="004C375F"/>
    <w:rsid w:val="004C482F"/>
    <w:rsid w:val="004C49C9"/>
    <w:rsid w:val="004C627F"/>
    <w:rsid w:val="004C708C"/>
    <w:rsid w:val="004C76C1"/>
    <w:rsid w:val="004C7DDE"/>
    <w:rsid w:val="004D0D1A"/>
    <w:rsid w:val="004D169F"/>
    <w:rsid w:val="004D18CF"/>
    <w:rsid w:val="004D30CE"/>
    <w:rsid w:val="004D4071"/>
    <w:rsid w:val="004D421A"/>
    <w:rsid w:val="004D4593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B82"/>
    <w:rsid w:val="005219E6"/>
    <w:rsid w:val="00521B4A"/>
    <w:rsid w:val="0052212E"/>
    <w:rsid w:val="00522E91"/>
    <w:rsid w:val="0052302D"/>
    <w:rsid w:val="005236A5"/>
    <w:rsid w:val="0052423B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52E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32B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6C80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75E5"/>
    <w:rsid w:val="005A0C60"/>
    <w:rsid w:val="005A255F"/>
    <w:rsid w:val="005A28F7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527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0AF0"/>
    <w:rsid w:val="005D1103"/>
    <w:rsid w:val="005D276D"/>
    <w:rsid w:val="005D5912"/>
    <w:rsid w:val="005D794C"/>
    <w:rsid w:val="005D7A9F"/>
    <w:rsid w:val="005D7AA2"/>
    <w:rsid w:val="005E1E70"/>
    <w:rsid w:val="005E2154"/>
    <w:rsid w:val="005E2FC7"/>
    <w:rsid w:val="005E37B9"/>
    <w:rsid w:val="005E427F"/>
    <w:rsid w:val="005E4574"/>
    <w:rsid w:val="005E47F5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298B"/>
    <w:rsid w:val="00603B68"/>
    <w:rsid w:val="00603B9C"/>
    <w:rsid w:val="00605297"/>
    <w:rsid w:val="00605CB9"/>
    <w:rsid w:val="00605F55"/>
    <w:rsid w:val="006065BF"/>
    <w:rsid w:val="00607C00"/>
    <w:rsid w:val="00610430"/>
    <w:rsid w:val="00611858"/>
    <w:rsid w:val="00613341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E12"/>
    <w:rsid w:val="006575ED"/>
    <w:rsid w:val="006578FD"/>
    <w:rsid w:val="00660060"/>
    <w:rsid w:val="006609AA"/>
    <w:rsid w:val="00661FC3"/>
    <w:rsid w:val="00662EDE"/>
    <w:rsid w:val="00664C9F"/>
    <w:rsid w:val="00666548"/>
    <w:rsid w:val="00666A71"/>
    <w:rsid w:val="00667537"/>
    <w:rsid w:val="00670865"/>
    <w:rsid w:val="00671AED"/>
    <w:rsid w:val="006725B5"/>
    <w:rsid w:val="00672852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22A"/>
    <w:rsid w:val="00682AAD"/>
    <w:rsid w:val="00685D2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53C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FB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4FC8"/>
    <w:rsid w:val="006C570B"/>
    <w:rsid w:val="006C572E"/>
    <w:rsid w:val="006C5997"/>
    <w:rsid w:val="006C5CD2"/>
    <w:rsid w:val="006D0636"/>
    <w:rsid w:val="006D06DC"/>
    <w:rsid w:val="006D6E46"/>
    <w:rsid w:val="006D7FA8"/>
    <w:rsid w:val="006E24AA"/>
    <w:rsid w:val="006E4601"/>
    <w:rsid w:val="006E4D79"/>
    <w:rsid w:val="006E5B86"/>
    <w:rsid w:val="006E63FF"/>
    <w:rsid w:val="006E652D"/>
    <w:rsid w:val="006E7572"/>
    <w:rsid w:val="006F2F22"/>
    <w:rsid w:val="006F434A"/>
    <w:rsid w:val="006F78CD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15A1"/>
    <w:rsid w:val="00723422"/>
    <w:rsid w:val="007260FE"/>
    <w:rsid w:val="00726DD6"/>
    <w:rsid w:val="0073076E"/>
    <w:rsid w:val="00733416"/>
    <w:rsid w:val="0073377E"/>
    <w:rsid w:val="00733E05"/>
    <w:rsid w:val="0073505C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2D8"/>
    <w:rsid w:val="00757B82"/>
    <w:rsid w:val="0076281A"/>
    <w:rsid w:val="00762ADE"/>
    <w:rsid w:val="0076365D"/>
    <w:rsid w:val="007642DC"/>
    <w:rsid w:val="007652DC"/>
    <w:rsid w:val="007660E6"/>
    <w:rsid w:val="007661A9"/>
    <w:rsid w:val="007662C0"/>
    <w:rsid w:val="0076742F"/>
    <w:rsid w:val="00767712"/>
    <w:rsid w:val="007711D0"/>
    <w:rsid w:val="007712E6"/>
    <w:rsid w:val="00771539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3F2"/>
    <w:rsid w:val="00787917"/>
    <w:rsid w:val="00791489"/>
    <w:rsid w:val="007915BE"/>
    <w:rsid w:val="00791683"/>
    <w:rsid w:val="00792F0C"/>
    <w:rsid w:val="0079436D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4DC8"/>
    <w:rsid w:val="007D0B7F"/>
    <w:rsid w:val="007D1266"/>
    <w:rsid w:val="007D1ABA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499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5692"/>
    <w:rsid w:val="00826560"/>
    <w:rsid w:val="00826CBB"/>
    <w:rsid w:val="00827180"/>
    <w:rsid w:val="0082770D"/>
    <w:rsid w:val="00827965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398D"/>
    <w:rsid w:val="008840D5"/>
    <w:rsid w:val="00884939"/>
    <w:rsid w:val="008853E0"/>
    <w:rsid w:val="00885BE2"/>
    <w:rsid w:val="00885C87"/>
    <w:rsid w:val="008863C8"/>
    <w:rsid w:val="0088654D"/>
    <w:rsid w:val="00886D40"/>
    <w:rsid w:val="00887A0E"/>
    <w:rsid w:val="008907F3"/>
    <w:rsid w:val="0089084F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C5E"/>
    <w:rsid w:val="008F332B"/>
    <w:rsid w:val="008F52D0"/>
    <w:rsid w:val="008F52F3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2817"/>
    <w:rsid w:val="00913495"/>
    <w:rsid w:val="00913874"/>
    <w:rsid w:val="009163CC"/>
    <w:rsid w:val="0091674C"/>
    <w:rsid w:val="00916862"/>
    <w:rsid w:val="00916B2A"/>
    <w:rsid w:val="00916D96"/>
    <w:rsid w:val="009174EA"/>
    <w:rsid w:val="009174F7"/>
    <w:rsid w:val="00917E76"/>
    <w:rsid w:val="00920167"/>
    <w:rsid w:val="009203DF"/>
    <w:rsid w:val="00921BB8"/>
    <w:rsid w:val="00921D28"/>
    <w:rsid w:val="00922034"/>
    <w:rsid w:val="0092266C"/>
    <w:rsid w:val="009241E8"/>
    <w:rsid w:val="00924A0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29FE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DA7"/>
    <w:rsid w:val="00983CEA"/>
    <w:rsid w:val="00984198"/>
    <w:rsid w:val="00984E04"/>
    <w:rsid w:val="00986194"/>
    <w:rsid w:val="009861D2"/>
    <w:rsid w:val="00986E53"/>
    <w:rsid w:val="00987CE5"/>
    <w:rsid w:val="009921F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0DE"/>
    <w:rsid w:val="00A06D32"/>
    <w:rsid w:val="00A07545"/>
    <w:rsid w:val="00A10932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E82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4D8"/>
    <w:rsid w:val="00A52AFB"/>
    <w:rsid w:val="00A53967"/>
    <w:rsid w:val="00A5455C"/>
    <w:rsid w:val="00A545EC"/>
    <w:rsid w:val="00A54C5F"/>
    <w:rsid w:val="00A54D3B"/>
    <w:rsid w:val="00A5578A"/>
    <w:rsid w:val="00A61365"/>
    <w:rsid w:val="00A61436"/>
    <w:rsid w:val="00A6160B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1E79"/>
    <w:rsid w:val="00A72405"/>
    <w:rsid w:val="00A72874"/>
    <w:rsid w:val="00A72E48"/>
    <w:rsid w:val="00A7359C"/>
    <w:rsid w:val="00A73616"/>
    <w:rsid w:val="00A74C52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916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3CE"/>
    <w:rsid w:val="00AC13B0"/>
    <w:rsid w:val="00AC2FD0"/>
    <w:rsid w:val="00AC3DBD"/>
    <w:rsid w:val="00AC5E85"/>
    <w:rsid w:val="00AC76AF"/>
    <w:rsid w:val="00AD03D8"/>
    <w:rsid w:val="00AD0D5F"/>
    <w:rsid w:val="00AD2767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3A55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093"/>
    <w:rsid w:val="00B508A7"/>
    <w:rsid w:val="00B52081"/>
    <w:rsid w:val="00B52695"/>
    <w:rsid w:val="00B538CF"/>
    <w:rsid w:val="00B545AF"/>
    <w:rsid w:val="00B55B09"/>
    <w:rsid w:val="00B56711"/>
    <w:rsid w:val="00B56839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428D"/>
    <w:rsid w:val="00BB4729"/>
    <w:rsid w:val="00BB5E2C"/>
    <w:rsid w:val="00BB7D9E"/>
    <w:rsid w:val="00BC16AC"/>
    <w:rsid w:val="00BC2B7B"/>
    <w:rsid w:val="00BC3AE8"/>
    <w:rsid w:val="00BC3AF4"/>
    <w:rsid w:val="00BC43A8"/>
    <w:rsid w:val="00BC4B62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3AD8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5F73"/>
    <w:rsid w:val="00C76CF7"/>
    <w:rsid w:val="00C778B9"/>
    <w:rsid w:val="00C80674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3EE1"/>
    <w:rsid w:val="00CB4C42"/>
    <w:rsid w:val="00CB4DFA"/>
    <w:rsid w:val="00CB7BD7"/>
    <w:rsid w:val="00CC0060"/>
    <w:rsid w:val="00CC1E99"/>
    <w:rsid w:val="00CC4CB6"/>
    <w:rsid w:val="00CC4DB0"/>
    <w:rsid w:val="00CC5038"/>
    <w:rsid w:val="00CC5326"/>
    <w:rsid w:val="00CC55B2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2F9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B49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3DA5"/>
    <w:rsid w:val="00D2427F"/>
    <w:rsid w:val="00D249BC"/>
    <w:rsid w:val="00D24BB7"/>
    <w:rsid w:val="00D2506D"/>
    <w:rsid w:val="00D263AE"/>
    <w:rsid w:val="00D268F1"/>
    <w:rsid w:val="00D27855"/>
    <w:rsid w:val="00D27E5A"/>
    <w:rsid w:val="00D3054C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3A6E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269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27B"/>
    <w:rsid w:val="00D97426"/>
    <w:rsid w:val="00D97568"/>
    <w:rsid w:val="00DA06B0"/>
    <w:rsid w:val="00DA151D"/>
    <w:rsid w:val="00DA2572"/>
    <w:rsid w:val="00DA29BA"/>
    <w:rsid w:val="00DA3249"/>
    <w:rsid w:val="00DA38CE"/>
    <w:rsid w:val="00DA3E96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3B3"/>
    <w:rsid w:val="00DF427A"/>
    <w:rsid w:val="00DF45C5"/>
    <w:rsid w:val="00DF5A8C"/>
    <w:rsid w:val="00DF6A5C"/>
    <w:rsid w:val="00DF71D8"/>
    <w:rsid w:val="00E00CCA"/>
    <w:rsid w:val="00E01623"/>
    <w:rsid w:val="00E02645"/>
    <w:rsid w:val="00E03FE3"/>
    <w:rsid w:val="00E05794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281A"/>
    <w:rsid w:val="00E2350D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20C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7AA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4C68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864"/>
    <w:rsid w:val="00E96DDE"/>
    <w:rsid w:val="00EA04AE"/>
    <w:rsid w:val="00EA062F"/>
    <w:rsid w:val="00EA17A9"/>
    <w:rsid w:val="00EA311B"/>
    <w:rsid w:val="00EA36CA"/>
    <w:rsid w:val="00EA3D9C"/>
    <w:rsid w:val="00EA43C0"/>
    <w:rsid w:val="00EA4711"/>
    <w:rsid w:val="00EA4CB0"/>
    <w:rsid w:val="00EA5184"/>
    <w:rsid w:val="00EA566F"/>
    <w:rsid w:val="00EB15BD"/>
    <w:rsid w:val="00EB2857"/>
    <w:rsid w:val="00EB30B7"/>
    <w:rsid w:val="00EB3F8A"/>
    <w:rsid w:val="00EB416F"/>
    <w:rsid w:val="00EB43B9"/>
    <w:rsid w:val="00EB4482"/>
    <w:rsid w:val="00EB49EF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D68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C54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6AF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1E0C"/>
    <w:rsid w:val="00F421D1"/>
    <w:rsid w:val="00F4323B"/>
    <w:rsid w:val="00F43B8E"/>
    <w:rsid w:val="00F44421"/>
    <w:rsid w:val="00F45196"/>
    <w:rsid w:val="00F45D51"/>
    <w:rsid w:val="00F46842"/>
    <w:rsid w:val="00F4765F"/>
    <w:rsid w:val="00F479B5"/>
    <w:rsid w:val="00F47A1B"/>
    <w:rsid w:val="00F47C4B"/>
    <w:rsid w:val="00F508E3"/>
    <w:rsid w:val="00F52D51"/>
    <w:rsid w:val="00F53775"/>
    <w:rsid w:val="00F539A6"/>
    <w:rsid w:val="00F54295"/>
    <w:rsid w:val="00F55E0E"/>
    <w:rsid w:val="00F5611D"/>
    <w:rsid w:val="00F56E3E"/>
    <w:rsid w:val="00F5727F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1C54"/>
    <w:rsid w:val="00F8465D"/>
    <w:rsid w:val="00F848B3"/>
    <w:rsid w:val="00F85755"/>
    <w:rsid w:val="00F86A0B"/>
    <w:rsid w:val="00F87057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A64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36FC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6B0F"/>
    <w:rsid w:val="00FD01CC"/>
    <w:rsid w:val="00FD08AF"/>
    <w:rsid w:val="00FD1E7A"/>
    <w:rsid w:val="00FD2672"/>
    <w:rsid w:val="00FD28F4"/>
    <w:rsid w:val="00FD2CE2"/>
    <w:rsid w:val="00FD2FF1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153C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FootnoteTextChar">
    <w:name w:val="Footnote Text Char"/>
    <w:basedOn w:val="DefaultParagraphFont"/>
    <w:link w:val="FootnoteText"/>
    <w:semiHidden/>
    <w:rsid w:val="006A153C"/>
    <w:rPr>
      <w:rFonts w:ascii="Arabic Typesetting" w:hAnsi="Arabic Typesetting" w:cs="Arabic Typesetting"/>
      <w:sz w:val="28"/>
      <w:szCs w:val="28"/>
    </w:rPr>
  </w:style>
  <w:style w:type="paragraph" w:styleId="ListParagraph">
    <w:name w:val="List Paragraph"/>
    <w:basedOn w:val="Normal"/>
    <w:uiPriority w:val="34"/>
    <w:qFormat/>
    <w:rsid w:val="006E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153C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FootnoteTextChar">
    <w:name w:val="Footnote Text Char"/>
    <w:basedOn w:val="DefaultParagraphFont"/>
    <w:link w:val="FootnoteText"/>
    <w:semiHidden/>
    <w:rsid w:val="006A153C"/>
    <w:rPr>
      <w:rFonts w:ascii="Arabic Typesetting" w:hAnsi="Arabic Typesetting" w:cs="Arabic Typesetting"/>
      <w:sz w:val="28"/>
      <w:szCs w:val="28"/>
    </w:rPr>
  </w:style>
  <w:style w:type="paragraph" w:styleId="ListParagraph">
    <w:name w:val="List Paragraph"/>
    <w:basedOn w:val="Normal"/>
    <w:uiPriority w:val="34"/>
    <w:qFormat/>
    <w:rsid w:val="006E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FA13-7E85-4B92-96F1-CE859B31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3951</Characters>
  <Application>Microsoft Office Word</Application>
  <DocSecurity>4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SCCR/36/5 (Arabic)</vt:lpstr>
    </vt:vector>
  </TitlesOfParts>
  <Company>World Intellectual Property Organization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SCCR/36/5 (Arabic)</dc:title>
  <dc:creator>MERZOUK Fawzi</dc:creator>
  <cp:lastModifiedBy>HAIZEL Francesca</cp:lastModifiedBy>
  <cp:revision>2</cp:revision>
  <cp:lastPrinted>2018-05-15T10:52:00Z</cp:lastPrinted>
  <dcterms:created xsi:type="dcterms:W3CDTF">2018-05-15T15:57:00Z</dcterms:created>
  <dcterms:modified xsi:type="dcterms:W3CDTF">2018-05-15T15:57:00Z</dcterms:modified>
</cp:coreProperties>
</file>