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0E7ED7" w:rsidP="00291C0D">
            <w:pPr>
              <w:pStyle w:val="DocumentCodeAR"/>
              <w:bidi/>
              <w:rPr>
                <w:rtl/>
              </w:rPr>
            </w:pPr>
            <w:r>
              <w:t>SC</w:t>
            </w:r>
            <w:r w:rsidR="00983389">
              <w:t>C</w:t>
            </w:r>
            <w:r>
              <w:t>R</w:t>
            </w:r>
            <w:r w:rsidR="00100F97">
              <w:t>/</w:t>
            </w:r>
            <w:r w:rsidR="00C7444A">
              <w:t>3</w:t>
            </w:r>
            <w:r w:rsidR="00291C0D">
              <w:t>1</w:t>
            </w:r>
            <w:r w:rsidR="00624170">
              <w:t>/5</w:t>
            </w:r>
          </w:p>
        </w:tc>
      </w:tr>
      <w:tr w:rsidR="001667B6" w:rsidTr="00BF164F">
        <w:tc>
          <w:tcPr>
            <w:tcW w:w="9571" w:type="dxa"/>
            <w:gridSpan w:val="3"/>
          </w:tcPr>
          <w:p w:rsidR="001667B6" w:rsidRPr="00B6101C" w:rsidRDefault="00B6101C" w:rsidP="00624170">
            <w:pPr>
              <w:pStyle w:val="DocumentLanguageAR"/>
              <w:bidi/>
              <w:rPr>
                <w:rtl/>
              </w:rPr>
            </w:pPr>
            <w:r w:rsidRPr="00B6101C">
              <w:rPr>
                <w:rFonts w:hint="cs"/>
                <w:rtl/>
              </w:rPr>
              <w:t xml:space="preserve">الأصل: </w:t>
            </w:r>
            <w:r w:rsidR="00624170">
              <w:rPr>
                <w:rFonts w:hint="cs"/>
                <w:rtl/>
              </w:rPr>
              <w:t>بالفرنسية</w:t>
            </w:r>
          </w:p>
        </w:tc>
      </w:tr>
      <w:tr w:rsidR="001667B6" w:rsidTr="00BF164F">
        <w:tc>
          <w:tcPr>
            <w:tcW w:w="9571" w:type="dxa"/>
            <w:gridSpan w:val="3"/>
          </w:tcPr>
          <w:p w:rsidR="001667B6" w:rsidRPr="00B6101C" w:rsidRDefault="00B6101C" w:rsidP="00624170">
            <w:pPr>
              <w:pStyle w:val="DocumentDateAR"/>
              <w:bidi/>
              <w:rPr>
                <w:rtl/>
              </w:rPr>
            </w:pPr>
            <w:r w:rsidRPr="00B6101C">
              <w:rPr>
                <w:rFonts w:hint="cs"/>
                <w:rtl/>
              </w:rPr>
              <w:t xml:space="preserve">التاريخ: </w:t>
            </w:r>
            <w:r w:rsidR="00624170">
              <w:rPr>
                <w:rFonts w:hint="cs"/>
                <w:rtl/>
              </w:rPr>
              <w:t>4</w:t>
            </w:r>
            <w:r w:rsidR="009D0288">
              <w:rPr>
                <w:rFonts w:hint="cs"/>
                <w:rtl/>
              </w:rPr>
              <w:t xml:space="preserve"> </w:t>
            </w:r>
            <w:r w:rsidR="00624170">
              <w:rPr>
                <w:rFonts w:hint="cs"/>
                <w:rtl/>
              </w:rPr>
              <w:t>ديسمبر</w:t>
            </w:r>
            <w:r w:rsidR="009D0288">
              <w:rPr>
                <w:rFonts w:hint="cs"/>
                <w:rtl/>
              </w:rPr>
              <w:t xml:space="preserve"> </w:t>
            </w:r>
            <w:r w:rsidR="00C7444A">
              <w:rPr>
                <w:rFonts w:hint="cs"/>
                <w:rtl/>
              </w:rPr>
              <w:t>2015</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0E7ED7" w:rsidP="00983389">
      <w:pPr>
        <w:pStyle w:val="MeetingTitleAR"/>
        <w:bidi/>
        <w:ind w:right="550"/>
        <w:rPr>
          <w:rtl/>
          <w:lang w:val="fr-CH"/>
        </w:rPr>
      </w:pPr>
      <w:r w:rsidRPr="00F27305">
        <w:rPr>
          <w:rtl/>
        </w:rPr>
        <w:t>اللجنة الدائمة المعنية ب</w:t>
      </w:r>
      <w:r>
        <w:rPr>
          <w:rFonts w:hint="cs"/>
          <w:rtl/>
        </w:rPr>
        <w:t>حق المؤلف والحقوق المجاورة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0E7ED7" w:rsidP="00291C0D">
      <w:pPr>
        <w:pStyle w:val="MeetingSessionAR"/>
        <w:bidi/>
        <w:rPr>
          <w:rFonts w:ascii="Cambria Math" w:hAnsi="Cambria Math"/>
          <w:rtl/>
          <w:lang w:bidi="ar-EG"/>
        </w:rPr>
      </w:pPr>
      <w:r>
        <w:rPr>
          <w:rFonts w:ascii="Cambria Math" w:hAnsi="Cambria Math"/>
          <w:rtl/>
        </w:rPr>
        <w:t>الدورة</w:t>
      </w:r>
      <w:r>
        <w:rPr>
          <w:rFonts w:ascii="Cambria Math" w:hAnsi="Cambria Math" w:hint="cs"/>
          <w:rtl/>
          <w:lang w:val="fr-CH"/>
        </w:rPr>
        <w:t xml:space="preserve"> </w:t>
      </w:r>
      <w:r w:rsidR="00291C0D">
        <w:rPr>
          <w:rFonts w:ascii="Cambria Math" w:hAnsi="Cambria Math" w:hint="cs"/>
          <w:rtl/>
          <w:lang w:val="fr-CH" w:bidi="ar-EG"/>
        </w:rPr>
        <w:t>الحادية والثلاثون</w:t>
      </w:r>
    </w:p>
    <w:p w:rsidR="00D61541" w:rsidRPr="00D61541" w:rsidRDefault="00D61541" w:rsidP="00291C0D">
      <w:pPr>
        <w:pStyle w:val="MeetingDatesAR"/>
        <w:bidi/>
        <w:rPr>
          <w:rtl/>
        </w:rPr>
      </w:pPr>
      <w:r w:rsidRPr="00D61541">
        <w:rPr>
          <w:rFonts w:hint="cs"/>
          <w:rtl/>
        </w:rPr>
        <w:t xml:space="preserve">جنيف، من </w:t>
      </w:r>
      <w:r w:rsidR="00291C0D">
        <w:rPr>
          <w:rFonts w:hint="cs"/>
          <w:rtl/>
        </w:rPr>
        <w:t>7</w:t>
      </w:r>
      <w:r w:rsidR="00DA59BD">
        <w:rPr>
          <w:rFonts w:hint="cs"/>
          <w:rtl/>
        </w:rPr>
        <w:t xml:space="preserve"> </w:t>
      </w:r>
      <w:r w:rsidR="00291C0D">
        <w:rPr>
          <w:rFonts w:hint="cs"/>
          <w:rtl/>
        </w:rPr>
        <w:t>إلى 11 ديسمبر</w:t>
      </w:r>
      <w:r w:rsidR="00C7444A">
        <w:rPr>
          <w:rFonts w:hint="cs"/>
          <w:rtl/>
        </w:rPr>
        <w:t xml:space="preserve"> 2015</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B45C43" w:rsidP="00D46E55">
      <w:pPr>
        <w:pStyle w:val="DocumentTitleAR"/>
        <w:bidi/>
        <w:rPr>
          <w:rtl/>
        </w:rPr>
      </w:pPr>
      <w:r>
        <w:rPr>
          <w:rFonts w:hint="cs"/>
          <w:rtl/>
        </w:rPr>
        <w:t xml:space="preserve">اقتراح من السنغال والكونغو بإدراج حق التتبع في جدول أعمال </w:t>
      </w:r>
      <w:r w:rsidR="00D46E55">
        <w:rPr>
          <w:rFonts w:hint="cs"/>
          <w:rtl/>
        </w:rPr>
        <w:t>العمل المقبل</w:t>
      </w:r>
      <w:r>
        <w:rPr>
          <w:rFonts w:hint="cs"/>
          <w:rtl/>
        </w:rPr>
        <w:t xml:space="preserve"> للجنة الدائمة المعنية بحق المؤلف والحقوق المجاورة التابعة للمنظمة العالمية للملكية الفكرية</w:t>
      </w:r>
    </w:p>
    <w:p w:rsidR="00D61541" w:rsidRDefault="00B45C43" w:rsidP="00D46E55">
      <w:pPr>
        <w:pStyle w:val="PreparedbyAR"/>
        <w:bidi/>
      </w:pPr>
      <w:r>
        <w:rPr>
          <w:rFonts w:hint="cs"/>
          <w:rtl/>
        </w:rPr>
        <w:t xml:space="preserve">وثيقة </w:t>
      </w:r>
      <w:r w:rsidR="00D46E55">
        <w:rPr>
          <w:rFonts w:hint="cs"/>
          <w:rtl/>
        </w:rPr>
        <w:t>من تقديم</w:t>
      </w:r>
      <w:r>
        <w:rPr>
          <w:rFonts w:hint="cs"/>
          <w:rtl/>
        </w:rPr>
        <w:t xml:space="preserve"> السنغال والكونغو</w:t>
      </w:r>
    </w:p>
    <w:p w:rsidR="00B45C43" w:rsidRDefault="00B45C43">
      <w:pPr>
        <w:rPr>
          <w:rFonts w:ascii="Arabic Typesetting" w:hAnsi="Arabic Typesetting" w:cs="Arabic Typesetting"/>
          <w:sz w:val="36"/>
          <w:szCs w:val="36"/>
          <w:rtl/>
          <w:lang w:val="fr-CH"/>
        </w:rPr>
      </w:pPr>
      <w:r>
        <w:rPr>
          <w:rtl/>
          <w:lang w:val="fr-CH"/>
        </w:rPr>
        <w:br w:type="page"/>
      </w:r>
    </w:p>
    <w:p w:rsidR="00597054" w:rsidRPr="00B45C43" w:rsidRDefault="00B45C43" w:rsidP="00D46E55">
      <w:pPr>
        <w:pStyle w:val="NormalParaAR"/>
        <w:spacing w:after="480"/>
        <w:jc w:val="center"/>
        <w:rPr>
          <w:b/>
          <w:bCs/>
          <w:sz w:val="40"/>
          <w:szCs w:val="40"/>
          <w:rtl/>
        </w:rPr>
      </w:pPr>
      <w:r w:rsidRPr="00B45C43">
        <w:rPr>
          <w:rFonts w:hint="cs"/>
          <w:b/>
          <w:bCs/>
          <w:sz w:val="40"/>
          <w:szCs w:val="40"/>
          <w:rtl/>
        </w:rPr>
        <w:lastRenderedPageBreak/>
        <w:t xml:space="preserve">اقتراح من السنغال والكونغو بإدراج حق التتبع في جدول أعمال </w:t>
      </w:r>
      <w:r w:rsidR="00D46E55">
        <w:rPr>
          <w:rFonts w:hint="cs"/>
          <w:b/>
          <w:bCs/>
          <w:sz w:val="40"/>
          <w:szCs w:val="40"/>
          <w:rtl/>
        </w:rPr>
        <w:t>العمل المقبل</w:t>
      </w:r>
      <w:r w:rsidRPr="00B45C43">
        <w:rPr>
          <w:rFonts w:hint="cs"/>
          <w:b/>
          <w:bCs/>
          <w:sz w:val="40"/>
          <w:szCs w:val="40"/>
          <w:rtl/>
        </w:rPr>
        <w:t xml:space="preserve"> للجنة الدائمة المعنية بحق المؤلف والحقوق المجاورة التابعة للمنظمة العالمية للملكية الفكرية</w:t>
      </w:r>
    </w:p>
    <w:p w:rsidR="00B45C43" w:rsidRDefault="00B45C43" w:rsidP="00D46E55">
      <w:pPr>
        <w:pStyle w:val="NumberedParaAR"/>
        <w:ind w:left="-1"/>
      </w:pPr>
      <w:r>
        <w:rPr>
          <w:rFonts w:hint="cs"/>
          <w:rtl/>
        </w:rPr>
        <w:t>تنص الفقرة (1) من المادة 14</w:t>
      </w:r>
      <w:r w:rsidRPr="00B45C43">
        <w:rPr>
          <w:rFonts w:hint="cs"/>
          <w:vertAlign w:val="superscript"/>
          <w:rtl/>
        </w:rPr>
        <w:t>(ثالثا)</w:t>
      </w:r>
      <w:r w:rsidR="00605CC2">
        <w:rPr>
          <w:rStyle w:val="FootnoteReference"/>
          <w:rtl/>
        </w:rPr>
        <w:footnoteReference w:id="1"/>
      </w:r>
      <w:r>
        <w:rPr>
          <w:rFonts w:hint="cs"/>
          <w:rtl/>
        </w:rPr>
        <w:t xml:space="preserve"> من اتفاقية برن على تمتع مؤلفي مصنف فني </w:t>
      </w:r>
      <w:r w:rsidR="003A24A0" w:rsidRPr="003A24A0">
        <w:rPr>
          <w:rFonts w:hint="cs"/>
          <w:i/>
          <w:iCs/>
          <w:rtl/>
        </w:rPr>
        <w:t>"</w:t>
      </w:r>
      <w:r w:rsidR="003A24A0" w:rsidRPr="003A24A0">
        <w:rPr>
          <w:i/>
          <w:iCs/>
          <w:rtl/>
        </w:rPr>
        <w:t>بحق غير قابل للتصرف فيه، في تعلق مصلحتهم بعمليات بيع المصنف التالية لأول تنازل عن حق الاستغلال يجريه المؤلف</w:t>
      </w:r>
      <w:r w:rsidR="003A24A0" w:rsidRPr="003A24A0">
        <w:rPr>
          <w:rFonts w:hint="cs"/>
          <w:i/>
          <w:iCs/>
          <w:rtl/>
        </w:rPr>
        <w:t>"</w:t>
      </w:r>
      <w:r w:rsidR="003A24A0">
        <w:rPr>
          <w:rFonts w:hint="cs"/>
          <w:rtl/>
        </w:rPr>
        <w:t>. وتنشئ هذه المادة حقا يُعرف باسم "حق التتبع" أو "حق إعادة البيع".</w:t>
      </w:r>
    </w:p>
    <w:p w:rsidR="003A24A0" w:rsidRDefault="003A24A0" w:rsidP="00D46E55">
      <w:pPr>
        <w:pStyle w:val="NumberedParaAR"/>
        <w:ind w:left="-1"/>
      </w:pPr>
      <w:r>
        <w:rPr>
          <w:rFonts w:hint="cs"/>
          <w:rtl/>
        </w:rPr>
        <w:t>وبموجب الفقرة (2) من المادة</w:t>
      </w:r>
      <w:r w:rsidRPr="003A24A0">
        <w:rPr>
          <w:rFonts w:hint="cs"/>
          <w:rtl/>
        </w:rPr>
        <w:t xml:space="preserve"> </w:t>
      </w:r>
      <w:r>
        <w:rPr>
          <w:rFonts w:hint="cs"/>
          <w:rtl/>
        </w:rPr>
        <w:t>14</w:t>
      </w:r>
      <w:r w:rsidRPr="00B45C43">
        <w:rPr>
          <w:rFonts w:hint="cs"/>
          <w:vertAlign w:val="superscript"/>
          <w:rtl/>
        </w:rPr>
        <w:t>(ثالثا)</w:t>
      </w:r>
      <w:r>
        <w:rPr>
          <w:rFonts w:hint="cs"/>
          <w:rtl/>
        </w:rPr>
        <w:t>، يخضع هذا الحق لشرط المعاملة بالمثل و</w:t>
      </w:r>
      <w:r w:rsidRPr="003A24A0">
        <w:rPr>
          <w:rFonts w:hint="cs"/>
          <w:i/>
          <w:iCs/>
          <w:rtl/>
        </w:rPr>
        <w:t>"</w:t>
      </w:r>
      <w:r w:rsidRPr="003A24A0">
        <w:rPr>
          <w:i/>
          <w:iCs/>
          <w:rtl/>
        </w:rPr>
        <w:t>في الحدود التي يسمح بها تشريع الدولة المطلوب توفير الحماية فيها</w:t>
      </w:r>
      <w:r w:rsidRPr="003A24A0">
        <w:rPr>
          <w:rFonts w:hint="cs"/>
          <w:i/>
          <w:iCs/>
          <w:rtl/>
        </w:rPr>
        <w:t>"</w:t>
      </w:r>
      <w:r>
        <w:rPr>
          <w:rFonts w:hint="cs"/>
          <w:rtl/>
        </w:rPr>
        <w:t>. ونتيجة لذلك، فإن ووجود حماية ومستوى تلك الحماية فيما يخص حق التتبع يختلفان من بلد إلى آخر ويعتمدان على جنسية المؤلف أو مكان إقامته.</w:t>
      </w:r>
    </w:p>
    <w:p w:rsidR="003A24A0" w:rsidRDefault="00256367" w:rsidP="00D46E55">
      <w:pPr>
        <w:pStyle w:val="NumberedParaAR"/>
        <w:ind w:left="-1"/>
      </w:pPr>
      <w:r>
        <w:rPr>
          <w:rFonts w:hint="cs"/>
          <w:rtl/>
        </w:rPr>
        <w:t>وهناك، حاليا، أكثر من 80 بلدا يعترف بحق التتبع في تشريعاته الوطنية وثمة بلدان أخرى تنظر في إمكانية الاعتراف به. وقد عاد الاعتراف بهذا الحق في الدول الأعضاء بفوائد كبيرة على الفنانين وساعد على تشجيع الإبداع في مجال الفنون البصرية.</w:t>
      </w:r>
    </w:p>
    <w:p w:rsidR="00256367" w:rsidRDefault="00256367" w:rsidP="00D46E55">
      <w:pPr>
        <w:pStyle w:val="NumberedParaAR"/>
        <w:ind w:left="-1"/>
      </w:pPr>
      <w:r>
        <w:rPr>
          <w:rFonts w:hint="cs"/>
          <w:rtl/>
        </w:rPr>
        <w:t>غير أنه ما زال يتعيّن إحراز تقدم كبير كي يتسنى الاعتراف بهذا الحق على الصعيد العالمي. فلم يدرج عدد من البلدان بعد هذا الحق في قوانينه، وما</w:t>
      </w:r>
      <w:r w:rsidR="00D46E55">
        <w:rPr>
          <w:rFonts w:hint="eastAsia"/>
          <w:rtl/>
        </w:rPr>
        <w:t> </w:t>
      </w:r>
      <w:r>
        <w:rPr>
          <w:rFonts w:hint="cs"/>
          <w:rtl/>
        </w:rPr>
        <w:t>زال من غير الممكن ل</w:t>
      </w:r>
      <w:r w:rsidR="00D46E55">
        <w:rPr>
          <w:rFonts w:hint="cs"/>
          <w:rtl/>
        </w:rPr>
        <w:t>مبدعي الفنون التشكيلية</w:t>
      </w:r>
      <w:r>
        <w:rPr>
          <w:rFonts w:hint="cs"/>
          <w:rtl/>
        </w:rPr>
        <w:t xml:space="preserve"> في تلك الدول </w:t>
      </w:r>
      <w:r w:rsidR="00412CE6">
        <w:rPr>
          <w:rFonts w:hint="cs"/>
          <w:rtl/>
        </w:rPr>
        <w:t>أن يطالبوا</w:t>
      </w:r>
      <w:r>
        <w:rPr>
          <w:rFonts w:hint="cs"/>
          <w:rtl/>
        </w:rPr>
        <w:t xml:space="preserve"> بتلك الحماية في البلدان التي </w:t>
      </w:r>
      <w:r w:rsidR="00412CE6">
        <w:rPr>
          <w:rFonts w:hint="cs"/>
          <w:rtl/>
        </w:rPr>
        <w:t>تتيحها أو أن يستفيدوا منها، بسبب شرط المعاملة بالمثل.</w:t>
      </w:r>
    </w:p>
    <w:p w:rsidR="00412CE6" w:rsidRDefault="00412CE6" w:rsidP="00D46E55">
      <w:pPr>
        <w:pStyle w:val="NumberedParaAR"/>
        <w:ind w:left="-1"/>
      </w:pPr>
      <w:r>
        <w:rPr>
          <w:rFonts w:hint="cs"/>
          <w:rtl/>
        </w:rPr>
        <w:t>وفي الدورة السابعة والعشرين للجنة الويبو الدائمة المعنية بحق المؤلف والحقوق المجاورة (اللجنة)، المعقودة في أبريل</w:t>
      </w:r>
      <w:r>
        <w:rPr>
          <w:rFonts w:hint="eastAsia"/>
          <w:rtl/>
        </w:rPr>
        <w:t> </w:t>
      </w:r>
      <w:r>
        <w:rPr>
          <w:rFonts w:hint="cs"/>
          <w:rtl/>
        </w:rPr>
        <w:t>2014، اقترح السنغال والكونغو برازافيل، لأوّل مرّة على الإطلاق، أن يُدرج موضوع حق التتبع في العمل المقبل للجنة. ولقي الاقتراح دعما إيجابيا من قبل العديد من الدول الأعضاء الواقعة في القارات الخمس.</w:t>
      </w:r>
    </w:p>
    <w:p w:rsidR="00C264E9" w:rsidRDefault="00C264E9" w:rsidP="00D46E55">
      <w:pPr>
        <w:pStyle w:val="NumberedParaAR"/>
        <w:ind w:left="-1"/>
      </w:pPr>
      <w:r>
        <w:rPr>
          <w:rFonts w:hint="cs"/>
          <w:rtl/>
        </w:rPr>
        <w:t>وفي آخر اجتماع عقدته اللجنة خلال دورتها الثلاثين في 3 يوليو 2015، أعاد الكونغو برازافيل طرح اقتراحه بإدراج حق التتبع في جدول أعمال اللجنة وأيدته في ذلك عدة دول أعضاء. وأشار رئيس اللجنة في مشروع تقريره إلى أنه من المناسب تحليل القضايا المرتبطة بهذا الموضوع بشكل أعمق في الاجتماع المقبل.</w:t>
      </w:r>
    </w:p>
    <w:p w:rsidR="00C264E9" w:rsidRDefault="00605CC2" w:rsidP="006D0885">
      <w:pPr>
        <w:pStyle w:val="NumberedParaAR"/>
        <w:numPr>
          <w:ilvl w:val="0"/>
          <w:numId w:val="0"/>
        </w:numPr>
        <w:rPr>
          <w:rtl/>
        </w:rPr>
      </w:pPr>
      <w:r>
        <w:rPr>
          <w:rFonts w:hint="cs"/>
          <w:rtl/>
        </w:rPr>
        <w:t xml:space="preserve">وسيمكّن إدراج حق التتبع في جدول أعمال اللجنة </w:t>
      </w:r>
      <w:r w:rsidR="006D0885">
        <w:rPr>
          <w:rFonts w:hint="cs"/>
          <w:rtl/>
        </w:rPr>
        <w:t xml:space="preserve">وخطة عملها </w:t>
      </w:r>
      <w:r>
        <w:rPr>
          <w:rFonts w:hint="cs"/>
          <w:rtl/>
        </w:rPr>
        <w:t>من معرفة وفهم التشريعات والممارسات الوطنية ذات الصلة، بالإضافة إلى إجراء تحليلات مقارنة ودراسات أثر من أجل تحديد المشاكل وإيجاد الحلول اللازمة، لا سيما ما</w:t>
      </w:r>
      <w:r>
        <w:rPr>
          <w:rFonts w:hint="eastAsia"/>
          <w:rtl/>
        </w:rPr>
        <w:t> </w:t>
      </w:r>
      <w:r w:rsidR="00412045">
        <w:rPr>
          <w:rFonts w:hint="cs"/>
          <w:rtl/>
        </w:rPr>
        <w:t>يتعلق بالويبو</w:t>
      </w:r>
      <w:r>
        <w:rPr>
          <w:rFonts w:hint="cs"/>
          <w:rtl/>
        </w:rPr>
        <w:t xml:space="preserve"> والدور الذي ستؤديه في ضمان ملاءمة تلك الحلول.</w:t>
      </w:r>
    </w:p>
    <w:p w:rsidR="00605CC2" w:rsidRDefault="00605CC2" w:rsidP="00412045">
      <w:pPr>
        <w:pStyle w:val="NumberedParaAR"/>
        <w:keepNext/>
        <w:numPr>
          <w:ilvl w:val="0"/>
          <w:numId w:val="0"/>
        </w:numPr>
        <w:rPr>
          <w:rtl/>
        </w:rPr>
      </w:pPr>
      <w:r>
        <w:rPr>
          <w:rFonts w:hint="cs"/>
          <w:rtl/>
        </w:rPr>
        <w:lastRenderedPageBreak/>
        <w:t>8.</w:t>
      </w:r>
      <w:r w:rsidR="00614E39">
        <w:rPr>
          <w:rFonts w:hint="cs"/>
          <w:rtl/>
        </w:rPr>
        <w:t xml:space="preserve"> ونظرا لأن:</w:t>
      </w:r>
    </w:p>
    <w:p w:rsidR="00614E39" w:rsidRDefault="00614E39" w:rsidP="00412045">
      <w:pPr>
        <w:pStyle w:val="NumberedParaAR"/>
        <w:keepNext/>
        <w:numPr>
          <w:ilvl w:val="0"/>
          <w:numId w:val="0"/>
        </w:numPr>
        <w:ind w:left="566"/>
        <w:rPr>
          <w:rtl/>
        </w:rPr>
      </w:pPr>
      <w:r>
        <w:rPr>
          <w:rFonts w:hint="cs"/>
          <w:rtl/>
        </w:rPr>
        <w:t>أ)</w:t>
      </w:r>
      <w:r>
        <w:rPr>
          <w:rtl/>
        </w:rPr>
        <w:tab/>
      </w:r>
      <w:r>
        <w:rPr>
          <w:rFonts w:hint="cs"/>
          <w:rtl/>
        </w:rPr>
        <w:t>الفنون البصرية موجودة في كل من الدول الأعضاء في الويبو وتمثّل ثقافة كل بلد وتراثه الثقافي؛</w:t>
      </w:r>
    </w:p>
    <w:p w:rsidR="00614E39" w:rsidRDefault="00614E39" w:rsidP="00614E39">
      <w:pPr>
        <w:pStyle w:val="NumberedParaAR"/>
        <w:numPr>
          <w:ilvl w:val="0"/>
          <w:numId w:val="0"/>
        </w:numPr>
        <w:ind w:left="566"/>
        <w:rPr>
          <w:rtl/>
        </w:rPr>
      </w:pPr>
      <w:r>
        <w:rPr>
          <w:rFonts w:hint="cs"/>
          <w:rtl/>
        </w:rPr>
        <w:t>ب)</w:t>
      </w:r>
      <w:r>
        <w:rPr>
          <w:rtl/>
        </w:rPr>
        <w:tab/>
      </w:r>
      <w:r>
        <w:rPr>
          <w:rFonts w:hint="cs"/>
          <w:rtl/>
        </w:rPr>
        <w:t>حق التتبع حق مهم ومعترف به في اتفاقية برن؛</w:t>
      </w:r>
    </w:p>
    <w:p w:rsidR="00614E39" w:rsidRDefault="00614E39" w:rsidP="006D0885">
      <w:pPr>
        <w:pStyle w:val="NumberedParaAR"/>
        <w:numPr>
          <w:ilvl w:val="0"/>
          <w:numId w:val="0"/>
        </w:numPr>
        <w:ind w:left="566"/>
        <w:rPr>
          <w:rtl/>
        </w:rPr>
      </w:pPr>
      <w:r>
        <w:rPr>
          <w:rFonts w:hint="cs"/>
          <w:rtl/>
        </w:rPr>
        <w:t>(ج)</w:t>
      </w:r>
      <w:r>
        <w:rPr>
          <w:rtl/>
        </w:rPr>
        <w:tab/>
      </w:r>
      <w:r>
        <w:rPr>
          <w:rFonts w:hint="cs"/>
          <w:rtl/>
        </w:rPr>
        <w:t>منح الحماية التي يكفلها</w:t>
      </w:r>
      <w:r w:rsidR="006D0885">
        <w:rPr>
          <w:rFonts w:hint="cs"/>
          <w:rtl/>
        </w:rPr>
        <w:t xml:space="preserve"> حق التتبع في الأماكن التي لا يوجد</w:t>
      </w:r>
      <w:r>
        <w:rPr>
          <w:rFonts w:hint="cs"/>
          <w:rtl/>
        </w:rPr>
        <w:t xml:space="preserve"> فيها ذلك الحق سيحفّز التنمية الثقافية والاجتماعية والاقتصادية؛</w:t>
      </w:r>
    </w:p>
    <w:p w:rsidR="00614E39" w:rsidRDefault="00614E39" w:rsidP="00614E39">
      <w:pPr>
        <w:pStyle w:val="NumberedParaAR"/>
        <w:numPr>
          <w:ilvl w:val="0"/>
          <w:numId w:val="0"/>
        </w:numPr>
        <w:ind w:left="566"/>
        <w:rPr>
          <w:rtl/>
        </w:rPr>
      </w:pPr>
      <w:r>
        <w:rPr>
          <w:rFonts w:hint="cs"/>
          <w:rtl/>
        </w:rPr>
        <w:t>(د)</w:t>
      </w:r>
      <w:r>
        <w:rPr>
          <w:rtl/>
        </w:rPr>
        <w:tab/>
      </w:r>
      <w:r>
        <w:rPr>
          <w:rFonts w:hint="cs"/>
          <w:rtl/>
        </w:rPr>
        <w:t>حق التتبع لم يُطبق بعد في كل البلدان التي هي أعضاء في اتفاقية برن، لأسباب عدة أهمها الطابع غير الإلزامي لذلك الحق؛</w:t>
      </w:r>
    </w:p>
    <w:p w:rsidR="00614E39" w:rsidRDefault="00614E39" w:rsidP="00495593">
      <w:pPr>
        <w:pStyle w:val="NumberedParaAR"/>
        <w:numPr>
          <w:ilvl w:val="0"/>
          <w:numId w:val="0"/>
        </w:numPr>
        <w:ind w:left="566"/>
        <w:rPr>
          <w:rtl/>
        </w:rPr>
      </w:pPr>
      <w:r>
        <w:rPr>
          <w:rFonts w:hint="cs"/>
          <w:rtl/>
        </w:rPr>
        <w:t>(ه)</w:t>
      </w:r>
      <w:r>
        <w:rPr>
          <w:rtl/>
        </w:rPr>
        <w:tab/>
      </w:r>
      <w:r>
        <w:rPr>
          <w:rFonts w:hint="cs"/>
          <w:rtl/>
        </w:rPr>
        <w:t xml:space="preserve">هذا الوضع يؤدي إلى اختلافات كبيرة فيما يخص مستوى الحماية الممنوحة </w:t>
      </w:r>
      <w:r w:rsidR="00495593">
        <w:rPr>
          <w:rFonts w:hint="cs"/>
          <w:rtl/>
        </w:rPr>
        <w:t>لمبدعي الفنون البصرية في شتى أنحاء العالم؛</w:t>
      </w:r>
    </w:p>
    <w:p w:rsidR="00495593" w:rsidRDefault="00495593" w:rsidP="00614E39">
      <w:pPr>
        <w:pStyle w:val="NumberedParaAR"/>
        <w:numPr>
          <w:ilvl w:val="0"/>
          <w:numId w:val="0"/>
        </w:numPr>
        <w:ind w:left="566"/>
        <w:rPr>
          <w:rtl/>
        </w:rPr>
      </w:pPr>
      <w:r>
        <w:rPr>
          <w:rFonts w:hint="cs"/>
          <w:rtl/>
        </w:rPr>
        <w:t>(و)</w:t>
      </w:r>
      <w:r>
        <w:rPr>
          <w:rtl/>
        </w:rPr>
        <w:tab/>
      </w:r>
      <w:r>
        <w:rPr>
          <w:rFonts w:hint="cs"/>
          <w:rtl/>
        </w:rPr>
        <w:t>مبدعو الفنون البصرية الذين ينتمون إلى بلدان لا تحمي حق التتبع أو يعيشون في تلك البلدان يعانون من اختلاف في المعاملة إذا ما قورنوا بالفنانين المنتمين إلى بلدان تُتاح فيها تلك الحماية؛</w:t>
      </w:r>
    </w:p>
    <w:p w:rsidR="00495593" w:rsidRDefault="00495593" w:rsidP="006D0885">
      <w:pPr>
        <w:pStyle w:val="NumberedParaAR"/>
        <w:numPr>
          <w:ilvl w:val="0"/>
          <w:numId w:val="0"/>
        </w:numPr>
        <w:ind w:left="566"/>
        <w:rPr>
          <w:rtl/>
        </w:rPr>
      </w:pPr>
      <w:r>
        <w:rPr>
          <w:rFonts w:hint="cs"/>
          <w:rtl/>
        </w:rPr>
        <w:t>(ز)</w:t>
      </w:r>
      <w:r>
        <w:rPr>
          <w:rtl/>
        </w:rPr>
        <w:tab/>
      </w:r>
      <w:r w:rsidR="006D0885">
        <w:rPr>
          <w:rFonts w:hint="cs"/>
          <w:rtl/>
        </w:rPr>
        <w:t>أعضاء اللجنة ومراقبوها سيستفيدون من المعارف المتأتية من تبادل التجارب والممارسات المتعلقة بحق التتبع في الأماكن التي يوجد فيها ذلك الحق؛</w:t>
      </w:r>
    </w:p>
    <w:p w:rsidR="006D0885" w:rsidRDefault="006D0885" w:rsidP="00C227A4">
      <w:pPr>
        <w:pStyle w:val="NumberedParaAR"/>
        <w:numPr>
          <w:ilvl w:val="0"/>
          <w:numId w:val="0"/>
        </w:numPr>
        <w:spacing w:after="480"/>
        <w:rPr>
          <w:rtl/>
        </w:rPr>
      </w:pPr>
      <w:r>
        <w:rPr>
          <w:rFonts w:hint="cs"/>
          <w:rtl/>
        </w:rPr>
        <w:t>ينبغي منح الأولوية لحق التتبع من ضمن الموضوعات التي ستُدرج في العمل المقبل للجنة. وينبغي أن يُدرج هذا الحق في جدول أعمال اللجنة وخطة عملها.</w:t>
      </w:r>
    </w:p>
    <w:p w:rsidR="00C227A4" w:rsidRDefault="003C796D" w:rsidP="00B124A9">
      <w:pPr>
        <w:pStyle w:val="NormalParaAR"/>
        <w:spacing w:after="840"/>
        <w:rPr>
          <w:rtl/>
        </w:rPr>
      </w:pPr>
      <w:r>
        <w:rPr>
          <w:rtl/>
        </w:rPr>
        <w:tab/>
      </w:r>
      <w:r>
        <w:rPr>
          <w:rFonts w:hint="cs"/>
          <w:rtl/>
        </w:rPr>
        <w:tab/>
      </w:r>
      <w:r>
        <w:rPr>
          <w:rtl/>
        </w:rPr>
        <w:tab/>
      </w:r>
      <w:r>
        <w:rPr>
          <w:rFonts w:hint="cs"/>
          <w:rtl/>
        </w:rPr>
        <w:tab/>
      </w:r>
      <w:r>
        <w:rPr>
          <w:rtl/>
        </w:rPr>
        <w:tab/>
      </w:r>
      <w:r>
        <w:rPr>
          <w:rFonts w:hint="cs"/>
          <w:rtl/>
        </w:rPr>
        <w:tab/>
      </w:r>
      <w:r>
        <w:rPr>
          <w:rtl/>
        </w:rPr>
        <w:tab/>
      </w:r>
      <w:r>
        <w:rPr>
          <w:rFonts w:hint="cs"/>
          <w:rtl/>
        </w:rPr>
        <w:tab/>
      </w:r>
      <w:r>
        <w:rPr>
          <w:rtl/>
        </w:rPr>
        <w:tab/>
      </w:r>
      <w:r>
        <w:rPr>
          <w:rFonts w:hint="cs"/>
          <w:rtl/>
        </w:rPr>
        <w:tab/>
      </w:r>
      <w:r w:rsidR="00864F42">
        <w:rPr>
          <w:rFonts w:hint="cs"/>
          <w:rtl/>
        </w:rPr>
        <w:t>جنيف، 23 نوفمبر 2015</w:t>
      </w:r>
    </w:p>
    <w:p w:rsidR="00864F42" w:rsidRPr="00864F42" w:rsidRDefault="00864F42" w:rsidP="00864F42">
      <w:pPr>
        <w:pStyle w:val="EndofDocumentAR"/>
        <w:rPr>
          <w:rtl/>
        </w:rPr>
      </w:pPr>
      <w:r>
        <w:rPr>
          <w:rFonts w:hint="cs"/>
          <w:rtl/>
        </w:rPr>
        <w:t>[نهاية الوثيقة]</w:t>
      </w:r>
    </w:p>
    <w:sectPr w:rsidR="00864F42" w:rsidRPr="00864F42"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170" w:rsidRDefault="00624170">
      <w:r>
        <w:separator/>
      </w:r>
    </w:p>
  </w:endnote>
  <w:endnote w:type="continuationSeparator" w:id="0">
    <w:p w:rsidR="00624170" w:rsidRDefault="0062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170" w:rsidRDefault="00624170" w:rsidP="009622BF">
      <w:pPr>
        <w:bidi/>
      </w:pPr>
      <w:bookmarkStart w:id="0" w:name="OLE_LINK1"/>
      <w:bookmarkStart w:id="1" w:name="OLE_LINK2"/>
      <w:r>
        <w:separator/>
      </w:r>
      <w:bookmarkEnd w:id="0"/>
      <w:bookmarkEnd w:id="1"/>
    </w:p>
  </w:footnote>
  <w:footnote w:type="continuationSeparator" w:id="0">
    <w:p w:rsidR="00624170" w:rsidRDefault="00624170" w:rsidP="009622BF">
      <w:pPr>
        <w:bidi/>
      </w:pPr>
      <w:r>
        <w:separator/>
      </w:r>
    </w:p>
  </w:footnote>
  <w:footnote w:id="1">
    <w:p w:rsidR="00605CC2" w:rsidRDefault="00605CC2" w:rsidP="00605CC2">
      <w:pPr>
        <w:pStyle w:val="FootnoteText"/>
        <w:rPr>
          <w:b/>
          <w:bCs/>
          <w:rtl/>
        </w:rPr>
      </w:pPr>
      <w:r>
        <w:rPr>
          <w:rStyle w:val="FootnoteReference"/>
        </w:rPr>
        <w:footnoteRef/>
      </w:r>
      <w:r>
        <w:rPr>
          <w:rtl/>
        </w:rPr>
        <w:t xml:space="preserve"> </w:t>
      </w:r>
      <w:r w:rsidRPr="00605CC2">
        <w:rPr>
          <w:b/>
          <w:bCs/>
          <w:rtl/>
        </w:rPr>
        <w:t>المادة 14</w:t>
      </w:r>
      <w:r w:rsidRPr="00605CC2">
        <w:rPr>
          <w:b/>
          <w:bCs/>
          <w:vertAlign w:val="superscript"/>
          <w:rtl/>
        </w:rPr>
        <w:t>(ثالثا)</w:t>
      </w:r>
      <w:r>
        <w:rPr>
          <w:rFonts w:hint="cs"/>
          <w:b/>
          <w:bCs/>
          <w:rtl/>
        </w:rPr>
        <w:t xml:space="preserve"> </w:t>
      </w:r>
      <w:r w:rsidRPr="00605CC2">
        <w:rPr>
          <w:rFonts w:hint="cs"/>
          <w:b/>
          <w:bCs/>
          <w:rtl/>
        </w:rPr>
        <w:t>"</w:t>
      </w:r>
      <w:r w:rsidRPr="00605CC2">
        <w:rPr>
          <w:b/>
          <w:bCs/>
          <w:rtl/>
        </w:rPr>
        <w:t>حق التتبع</w:t>
      </w:r>
      <w:r w:rsidRPr="00605CC2">
        <w:rPr>
          <w:rFonts w:hint="cs"/>
          <w:b/>
          <w:bCs/>
          <w:rtl/>
        </w:rPr>
        <w:t>"</w:t>
      </w:r>
      <w:r w:rsidRPr="00605CC2">
        <w:rPr>
          <w:b/>
          <w:bCs/>
          <w:rtl/>
        </w:rPr>
        <w:t xml:space="preserve"> ب</w:t>
      </w:r>
      <w:r>
        <w:rPr>
          <w:b/>
          <w:bCs/>
          <w:rtl/>
        </w:rPr>
        <w:t>شأن المصنفات الفنية والمخطوطات:</w:t>
      </w:r>
    </w:p>
    <w:p w:rsidR="00605CC2" w:rsidRDefault="00605CC2" w:rsidP="00605CC2">
      <w:pPr>
        <w:pStyle w:val="FootnoteText"/>
        <w:rPr>
          <w:b/>
          <w:bCs/>
          <w:i/>
          <w:iCs/>
          <w:rtl/>
        </w:rPr>
      </w:pPr>
      <w:r w:rsidRPr="00605CC2">
        <w:rPr>
          <w:b/>
          <w:bCs/>
          <w:i/>
          <w:iCs/>
          <w:rtl/>
        </w:rPr>
        <w:t>(1) حق الانتفاع</w:t>
      </w:r>
      <w:r>
        <w:rPr>
          <w:rFonts w:hint="cs"/>
          <w:b/>
          <w:bCs/>
          <w:i/>
          <w:iCs/>
          <w:rtl/>
        </w:rPr>
        <w:t xml:space="preserve"> </w:t>
      </w:r>
      <w:r w:rsidRPr="00605CC2">
        <w:rPr>
          <w:b/>
          <w:bCs/>
          <w:i/>
          <w:iCs/>
          <w:rtl/>
        </w:rPr>
        <w:t xml:space="preserve">بعمليات إعادة البيع (2) </w:t>
      </w:r>
      <w:r>
        <w:rPr>
          <w:b/>
          <w:bCs/>
          <w:i/>
          <w:iCs/>
          <w:rtl/>
        </w:rPr>
        <w:t>التشريعات المطبقة (3) الإجراءات</w:t>
      </w:r>
    </w:p>
    <w:p w:rsidR="00605CC2" w:rsidRPr="00605CC2" w:rsidRDefault="00A77418" w:rsidP="00605CC2">
      <w:pPr>
        <w:pStyle w:val="FootnoteText"/>
        <w:rPr>
          <w:b/>
          <w:bCs/>
          <w:rtl/>
        </w:rPr>
      </w:pPr>
      <w:r>
        <w:rPr>
          <w:rtl/>
        </w:rPr>
        <w:t>(1)</w:t>
      </w:r>
      <w:r>
        <w:rPr>
          <w:rFonts w:hint="cs"/>
          <w:rtl/>
        </w:rPr>
        <w:t xml:space="preserve"> </w:t>
      </w:r>
      <w:r w:rsidR="00605CC2" w:rsidRPr="00605CC2">
        <w:rPr>
          <w:rtl/>
        </w:rPr>
        <w:t>فيما يتعلق بالمصنفات الفنية الأصلية والمخطوطات الأصلية لكتاب ومؤلفين موسيقيين، يتمتع المؤلف، أو من له صفة بعد وفاته من الأشخاص أو الهيئات وفقا للتشريع الوطني، بحق غير قابل للتصرف فيه، في تعلق مصلحتهم بعمليات بيع المصنف التالية لأول تنازل عن حق الاستغلال يجريه المؤلف.</w:t>
      </w:r>
    </w:p>
    <w:p w:rsidR="00605CC2" w:rsidRPr="00605CC2" w:rsidRDefault="00A77418" w:rsidP="00605CC2">
      <w:pPr>
        <w:pStyle w:val="FootnoteText"/>
        <w:rPr>
          <w:rtl/>
        </w:rPr>
      </w:pPr>
      <w:r>
        <w:rPr>
          <w:rtl/>
        </w:rPr>
        <w:t>(2)</w:t>
      </w:r>
      <w:r>
        <w:rPr>
          <w:rFonts w:hint="cs"/>
          <w:rtl/>
        </w:rPr>
        <w:t xml:space="preserve"> </w:t>
      </w:r>
      <w:r w:rsidR="00605CC2" w:rsidRPr="00605CC2">
        <w:rPr>
          <w:rtl/>
        </w:rPr>
        <w:t>لا يمكن المطالبة بتوفير الحماية المنصوص عليها في الفقرة السابقة في أية دولة من دول الاتحاد إلا إذا كان تشريع الدولة التي ينتمي إليها المؤلف يقرر هذه الحماية وفي الحدود التي يسمح بها تشريع الدولة المطلوب توفير الحماية فيها.</w:t>
      </w:r>
    </w:p>
    <w:p w:rsidR="00605CC2" w:rsidRDefault="00A77418" w:rsidP="00605CC2">
      <w:pPr>
        <w:pStyle w:val="FootnoteText"/>
      </w:pPr>
      <w:r>
        <w:rPr>
          <w:rtl/>
        </w:rPr>
        <w:t>(3)</w:t>
      </w:r>
      <w:r>
        <w:rPr>
          <w:rFonts w:hint="cs"/>
          <w:rtl/>
        </w:rPr>
        <w:t xml:space="preserve"> </w:t>
      </w:r>
      <w:r w:rsidR="00605CC2" w:rsidRPr="00605CC2">
        <w:rPr>
          <w:rtl/>
        </w:rPr>
        <w:t>يختص التشريع الوطني بتحديد إجراءات التحصيل والمبالغ الواجبة.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0E7ED7" w:rsidP="00597054">
    <w:r>
      <w:t>SC</w:t>
    </w:r>
    <w:r w:rsidR="00983389">
      <w:t>C</w:t>
    </w:r>
    <w:r>
      <w:t>R</w:t>
    </w:r>
    <w:r w:rsidR="002F77FC">
      <w:t>/</w:t>
    </w:r>
    <w:r w:rsidR="00B45C43">
      <w:t>31/5</w:t>
    </w:r>
  </w:p>
  <w:p w:rsidR="002F77FC" w:rsidRDefault="002F77FC" w:rsidP="00D61541">
    <w:r>
      <w:fldChar w:fldCharType="begin"/>
    </w:r>
    <w:r>
      <w:instrText xml:space="preserve"> PAGE  \* MERGEFORMAT </w:instrText>
    </w:r>
    <w:r>
      <w:fldChar w:fldCharType="separate"/>
    </w:r>
    <w:r w:rsidR="00EA5F08">
      <w:rPr>
        <w:noProof/>
      </w:rPr>
      <w:t>3</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170"/>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C7702"/>
    <w:rsid w:val="000D0C07"/>
    <w:rsid w:val="000D0C7C"/>
    <w:rsid w:val="000D1A1D"/>
    <w:rsid w:val="000D5FB7"/>
    <w:rsid w:val="000E06A5"/>
    <w:rsid w:val="000E16EB"/>
    <w:rsid w:val="000E591F"/>
    <w:rsid w:val="000E5A23"/>
    <w:rsid w:val="000E6045"/>
    <w:rsid w:val="000E7872"/>
    <w:rsid w:val="000E7ED7"/>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44D5F"/>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0FCC"/>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434D"/>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367"/>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1C0D"/>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8E8"/>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19"/>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42A0"/>
    <w:rsid w:val="0034582C"/>
    <w:rsid w:val="00345916"/>
    <w:rsid w:val="00345CAC"/>
    <w:rsid w:val="0034789E"/>
    <w:rsid w:val="003501DA"/>
    <w:rsid w:val="003503E2"/>
    <w:rsid w:val="00351DC1"/>
    <w:rsid w:val="00352A87"/>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4A0"/>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C796D"/>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45"/>
    <w:rsid w:val="00412057"/>
    <w:rsid w:val="004126C1"/>
    <w:rsid w:val="00412CE6"/>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5593"/>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97054"/>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5CC2"/>
    <w:rsid w:val="006065BF"/>
    <w:rsid w:val="00607C00"/>
    <w:rsid w:val="00610430"/>
    <w:rsid w:val="00611858"/>
    <w:rsid w:val="00614E39"/>
    <w:rsid w:val="00614EB1"/>
    <w:rsid w:val="00614F67"/>
    <w:rsid w:val="00615277"/>
    <w:rsid w:val="00615519"/>
    <w:rsid w:val="00615CED"/>
    <w:rsid w:val="00615CFC"/>
    <w:rsid w:val="00617A92"/>
    <w:rsid w:val="00620CEE"/>
    <w:rsid w:val="00622558"/>
    <w:rsid w:val="00622D5F"/>
    <w:rsid w:val="00622EAE"/>
    <w:rsid w:val="0062334E"/>
    <w:rsid w:val="00623A4F"/>
    <w:rsid w:val="00624170"/>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0885"/>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5D7C"/>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31B"/>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64F42"/>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97B67"/>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0288"/>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06"/>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418"/>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3F0B"/>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1AB"/>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4A9"/>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5C43"/>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51F"/>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4B04"/>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27A4"/>
    <w:rsid w:val="00C2338E"/>
    <w:rsid w:val="00C23FB0"/>
    <w:rsid w:val="00C24021"/>
    <w:rsid w:val="00C248AF"/>
    <w:rsid w:val="00C24B09"/>
    <w:rsid w:val="00C24BDE"/>
    <w:rsid w:val="00C24E9F"/>
    <w:rsid w:val="00C264E9"/>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444A"/>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46E55"/>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59BD"/>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A5F08"/>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F1ED9-56E3-42F9-BC56-BC01245D4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2873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SCCR/29/-- (Arabic)</vt:lpstr>
    </vt:vector>
  </TitlesOfParts>
  <Company>World Intellectual Property Organization</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SCCR/29/-- (Arabic)</dc:title>
  <dc:creator>MERZOUK Fawzi</dc:creator>
  <cp:lastModifiedBy>HAIZEL Francesca</cp:lastModifiedBy>
  <cp:revision>2</cp:revision>
  <cp:lastPrinted>2015-12-07T11:41:00Z</cp:lastPrinted>
  <dcterms:created xsi:type="dcterms:W3CDTF">2015-12-07T14:59:00Z</dcterms:created>
  <dcterms:modified xsi:type="dcterms:W3CDTF">2015-12-07T14:59:00Z</dcterms:modified>
</cp:coreProperties>
</file>