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1E30" w:rsidRPr="00787390" w:rsidTr="00882770">
        <w:trPr>
          <w:trHeight w:val="1977"/>
        </w:trPr>
        <w:tc>
          <w:tcPr>
            <w:tcW w:w="4594" w:type="dxa"/>
            <w:tcBorders>
              <w:bottom w:val="single" w:sz="4" w:space="0" w:color="auto"/>
            </w:tcBorders>
            <w:tcMar>
              <w:bottom w:w="170" w:type="dxa"/>
            </w:tcMar>
          </w:tcPr>
          <w:p w:rsidR="00F01E30" w:rsidRPr="00787390" w:rsidRDefault="00F01E30" w:rsidP="00882770">
            <w:pPr>
              <w:jc w:val="both"/>
            </w:pPr>
            <w:r w:rsidRPr="00787390">
              <w:rPr>
                <w:noProof/>
                <w:lang w:eastAsia="en-US"/>
              </w:rPr>
              <w:drawing>
                <wp:anchor distT="0" distB="0" distL="114300" distR="114300" simplePos="0" relativeHeight="251659264" behindDoc="1" locked="0" layoutInCell="0" allowOverlap="1" wp14:anchorId="78E7B61F" wp14:editId="6C42AC1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1E30" w:rsidRPr="00787390" w:rsidRDefault="00F01E30" w:rsidP="00882770"/>
        </w:tc>
        <w:tc>
          <w:tcPr>
            <w:tcW w:w="425" w:type="dxa"/>
            <w:tcBorders>
              <w:bottom w:val="single" w:sz="4" w:space="0" w:color="auto"/>
            </w:tcBorders>
            <w:tcMar>
              <w:left w:w="0" w:type="dxa"/>
              <w:right w:w="0" w:type="dxa"/>
            </w:tcMar>
          </w:tcPr>
          <w:p w:rsidR="00F01E30" w:rsidRPr="00787390" w:rsidRDefault="00F01E30" w:rsidP="00882770">
            <w:pPr>
              <w:jc w:val="right"/>
            </w:pPr>
            <w:r w:rsidRPr="00787390">
              <w:rPr>
                <w:b/>
                <w:sz w:val="40"/>
                <w:szCs w:val="40"/>
              </w:rPr>
              <w:t>C</w:t>
            </w:r>
          </w:p>
        </w:tc>
      </w:tr>
      <w:tr w:rsidR="00F01E30" w:rsidRPr="00787390" w:rsidTr="00882770">
        <w:trPr>
          <w:trHeight w:hRule="exact" w:val="340"/>
        </w:trPr>
        <w:tc>
          <w:tcPr>
            <w:tcW w:w="9356" w:type="dxa"/>
            <w:gridSpan w:val="3"/>
            <w:tcBorders>
              <w:top w:val="single" w:sz="4" w:space="0" w:color="auto"/>
            </w:tcBorders>
            <w:tcMar>
              <w:top w:w="170" w:type="dxa"/>
              <w:left w:w="0" w:type="dxa"/>
              <w:right w:w="0" w:type="dxa"/>
            </w:tcMar>
            <w:vAlign w:val="bottom"/>
          </w:tcPr>
          <w:p w:rsidR="00F01E30" w:rsidRPr="00787390" w:rsidRDefault="00F01E30" w:rsidP="00F01E30">
            <w:pPr>
              <w:jc w:val="right"/>
              <w:rPr>
                <w:rFonts w:ascii="Arial Black" w:hAnsi="Arial Black"/>
                <w:caps/>
                <w:sz w:val="15"/>
              </w:rPr>
            </w:pPr>
            <w:r w:rsidRPr="00787390">
              <w:rPr>
                <w:rFonts w:ascii="Arial Black" w:hAnsi="Arial Black"/>
                <w:caps/>
                <w:sz w:val="15"/>
              </w:rPr>
              <w:t>IPC/</w:t>
            </w:r>
            <w:r>
              <w:rPr>
                <w:rFonts w:ascii="Arial Black" w:hAnsi="Arial Black" w:hint="eastAsia"/>
                <w:caps/>
                <w:sz w:val="15"/>
              </w:rPr>
              <w:t>CE</w:t>
            </w:r>
            <w:r w:rsidRPr="00787390">
              <w:rPr>
                <w:rFonts w:ascii="Arial Black" w:hAnsi="Arial Black"/>
                <w:caps/>
                <w:sz w:val="15"/>
              </w:rPr>
              <w:t>/</w:t>
            </w:r>
            <w:r>
              <w:rPr>
                <w:rFonts w:ascii="Arial Black" w:hAnsi="Arial Black" w:hint="eastAsia"/>
                <w:caps/>
                <w:sz w:val="15"/>
              </w:rPr>
              <w:t>49</w:t>
            </w:r>
            <w:r w:rsidRPr="00787390">
              <w:rPr>
                <w:rFonts w:ascii="Arial Black" w:hAnsi="Arial Black"/>
                <w:caps/>
                <w:sz w:val="15"/>
              </w:rPr>
              <w:t>/</w:t>
            </w:r>
            <w:bookmarkStart w:id="0" w:name="Code"/>
            <w:bookmarkEnd w:id="0"/>
            <w:r>
              <w:rPr>
                <w:rFonts w:ascii="Arial Black" w:hAnsi="Arial Black" w:hint="eastAsia"/>
                <w:caps/>
                <w:sz w:val="15"/>
              </w:rPr>
              <w:t>2</w:t>
            </w:r>
          </w:p>
        </w:tc>
      </w:tr>
      <w:tr w:rsidR="00F01E30" w:rsidRPr="00787390" w:rsidTr="00882770">
        <w:trPr>
          <w:trHeight w:hRule="exact" w:val="170"/>
        </w:trPr>
        <w:tc>
          <w:tcPr>
            <w:tcW w:w="9356" w:type="dxa"/>
            <w:gridSpan w:val="3"/>
            <w:noWrap/>
            <w:tcMar>
              <w:left w:w="0" w:type="dxa"/>
              <w:right w:w="0" w:type="dxa"/>
            </w:tcMar>
            <w:vAlign w:val="bottom"/>
          </w:tcPr>
          <w:p w:rsidR="00F01E30" w:rsidRPr="00787390" w:rsidRDefault="00F01E30" w:rsidP="00882770">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1" w:name="Original"/>
            <w:bookmarkEnd w:id="1"/>
            <w:r w:rsidRPr="00787390">
              <w:rPr>
                <w:rFonts w:eastAsia="SimHei" w:hint="eastAsia"/>
                <w:b/>
                <w:sz w:val="15"/>
                <w:szCs w:val="15"/>
                <w:lang w:val="pt-BR"/>
              </w:rPr>
              <w:t>英</w:t>
            </w:r>
            <w:r w:rsidRPr="00787390">
              <w:rPr>
                <w:rFonts w:eastAsia="SimHei" w:hint="eastAsia"/>
                <w:b/>
                <w:sz w:val="15"/>
                <w:szCs w:val="15"/>
              </w:rPr>
              <w:t>文</w:t>
            </w:r>
          </w:p>
        </w:tc>
      </w:tr>
      <w:tr w:rsidR="00F01E30" w:rsidRPr="00787390" w:rsidTr="00882770">
        <w:trPr>
          <w:trHeight w:hRule="exact" w:val="198"/>
        </w:trPr>
        <w:tc>
          <w:tcPr>
            <w:tcW w:w="9356" w:type="dxa"/>
            <w:gridSpan w:val="3"/>
            <w:tcMar>
              <w:left w:w="0" w:type="dxa"/>
              <w:right w:w="0" w:type="dxa"/>
            </w:tcMar>
            <w:vAlign w:val="bottom"/>
          </w:tcPr>
          <w:p w:rsidR="00F01E30" w:rsidRPr="00787390" w:rsidRDefault="00F01E30" w:rsidP="00F01E30">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2" w:name="Date"/>
            <w:bookmarkEnd w:id="2"/>
            <w:r w:rsidRPr="00787390">
              <w:rPr>
                <w:rFonts w:ascii="Arial Black" w:eastAsia="SimHei" w:hAnsi="Arial Black"/>
                <w:b/>
                <w:sz w:val="15"/>
                <w:szCs w:val="15"/>
                <w:lang w:val="pt-BR"/>
              </w:rPr>
              <w:t>201</w:t>
            </w:r>
            <w:r>
              <w:rPr>
                <w:rFonts w:ascii="Arial Black" w:eastAsia="SimHei" w:hAnsi="Arial Black" w:hint="eastAsia"/>
                <w:b/>
                <w:sz w:val="15"/>
                <w:szCs w:val="15"/>
                <w:lang w:val="pt-BR"/>
              </w:rPr>
              <w:t>7</w:t>
            </w:r>
            <w:r w:rsidRPr="00787390">
              <w:rPr>
                <w:rFonts w:ascii="SimHei" w:eastAsia="SimHei" w:hAnsi="Times New Roman" w:hint="eastAsia"/>
                <w:b/>
                <w:sz w:val="15"/>
                <w:szCs w:val="15"/>
              </w:rPr>
              <w:t>年</w:t>
            </w:r>
            <w:r>
              <w:rPr>
                <w:rFonts w:ascii="Arial Black" w:eastAsia="SimHei" w:hAnsi="Arial Black" w:hint="eastAsia"/>
                <w:b/>
                <w:sz w:val="15"/>
                <w:szCs w:val="15"/>
                <w:lang w:val="pt-BR"/>
              </w:rPr>
              <w:t>3</w:t>
            </w:r>
            <w:r w:rsidRPr="00787390">
              <w:rPr>
                <w:rFonts w:ascii="SimHei" w:eastAsia="SimHei" w:hAnsi="Times New Roman" w:hint="eastAsia"/>
                <w:b/>
                <w:sz w:val="15"/>
                <w:szCs w:val="15"/>
              </w:rPr>
              <w:t>月</w:t>
            </w:r>
            <w:r w:rsidR="00D179C0">
              <w:rPr>
                <w:rFonts w:ascii="Arial Black" w:eastAsia="SimHei" w:hAnsi="Arial Black" w:hint="eastAsia"/>
                <w:b/>
                <w:sz w:val="15"/>
                <w:szCs w:val="15"/>
              </w:rPr>
              <w:t>24</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F01E30" w:rsidRPr="00787390" w:rsidRDefault="00F01E30" w:rsidP="00F01E30"/>
    <w:p w:rsidR="00F01E30" w:rsidRPr="00787390" w:rsidRDefault="00F01E30" w:rsidP="00F01E30"/>
    <w:p w:rsidR="00F01E30" w:rsidRPr="00787390" w:rsidRDefault="00F01E30" w:rsidP="00F01E30"/>
    <w:p w:rsidR="00F01E30" w:rsidRPr="00787390" w:rsidRDefault="00F01E30" w:rsidP="00F01E30"/>
    <w:p w:rsidR="00F01E30" w:rsidRPr="00787390" w:rsidRDefault="00F01E30" w:rsidP="00F01E30"/>
    <w:p w:rsidR="00F01E30" w:rsidRDefault="00F01E30" w:rsidP="00F01E30">
      <w:pPr>
        <w:spacing w:line="360" w:lineRule="atLeast"/>
        <w:rPr>
          <w:rFonts w:ascii="SimHei" w:eastAsia="SimHei"/>
          <w:sz w:val="28"/>
          <w:szCs w:val="28"/>
        </w:rPr>
      </w:pPr>
      <w:r w:rsidRPr="00787390">
        <w:rPr>
          <w:rFonts w:ascii="SimHei" w:eastAsia="SimHei" w:hint="eastAsia"/>
          <w:sz w:val="28"/>
          <w:szCs w:val="28"/>
        </w:rPr>
        <w:t>国际专利分类专门联盟</w:t>
      </w:r>
      <w:r>
        <w:rPr>
          <w:rFonts w:ascii="SimHei" w:eastAsia="SimHei" w:hint="eastAsia"/>
          <w:sz w:val="28"/>
          <w:szCs w:val="28"/>
        </w:rPr>
        <w:t>（</w:t>
      </w:r>
      <w:r w:rsidRPr="00787390">
        <w:rPr>
          <w:rFonts w:ascii="SimHei" w:eastAsia="SimHei" w:hint="eastAsia"/>
          <w:sz w:val="28"/>
          <w:szCs w:val="28"/>
        </w:rPr>
        <w:t>IPC联盟</w:t>
      </w:r>
      <w:r>
        <w:rPr>
          <w:rFonts w:ascii="SimHei" w:eastAsia="SimHei" w:hint="eastAsia"/>
          <w:sz w:val="28"/>
          <w:szCs w:val="28"/>
        </w:rPr>
        <w:t>）</w:t>
      </w:r>
    </w:p>
    <w:p w:rsidR="00F01E30" w:rsidRPr="00787390" w:rsidRDefault="00F01E30" w:rsidP="00F01E30">
      <w:pPr>
        <w:spacing w:line="360" w:lineRule="atLeast"/>
        <w:rPr>
          <w:rFonts w:ascii="SimHei" w:eastAsia="SimHei"/>
          <w:sz w:val="28"/>
          <w:szCs w:val="28"/>
        </w:rPr>
      </w:pPr>
      <w:r>
        <w:rPr>
          <w:rFonts w:ascii="SimHei" w:eastAsia="SimHei" w:hint="eastAsia"/>
          <w:sz w:val="28"/>
          <w:szCs w:val="28"/>
        </w:rPr>
        <w:t>专家委员会</w:t>
      </w:r>
    </w:p>
    <w:p w:rsidR="00F01E30" w:rsidRPr="00787390" w:rsidRDefault="00F01E30" w:rsidP="00F01E30">
      <w:pPr>
        <w:rPr>
          <w:szCs w:val="22"/>
        </w:rPr>
      </w:pPr>
    </w:p>
    <w:p w:rsidR="00F01E30" w:rsidRPr="00787390" w:rsidRDefault="00F01E30" w:rsidP="00F01E30">
      <w:pPr>
        <w:rPr>
          <w:szCs w:val="24"/>
        </w:rPr>
      </w:pPr>
      <w:bookmarkStart w:id="3" w:name="_GoBack"/>
      <w:bookmarkEnd w:id="3"/>
    </w:p>
    <w:p w:rsidR="00F01E30" w:rsidRPr="00787390" w:rsidRDefault="00F01E30" w:rsidP="00F01E30">
      <w:pPr>
        <w:textAlignment w:val="bottom"/>
        <w:rPr>
          <w:rFonts w:ascii="KaiTi" w:eastAsia="KaiTi"/>
          <w:b/>
          <w:sz w:val="24"/>
          <w:szCs w:val="24"/>
        </w:rPr>
      </w:pPr>
      <w:r w:rsidRPr="00787390">
        <w:rPr>
          <w:rFonts w:ascii="KaiTi" w:eastAsia="KaiTi" w:hint="eastAsia"/>
          <w:b/>
          <w:sz w:val="24"/>
          <w:szCs w:val="24"/>
        </w:rPr>
        <w:t>第</w:t>
      </w:r>
      <w:r>
        <w:rPr>
          <w:rFonts w:ascii="KaiTi" w:eastAsia="KaiTi" w:hint="eastAsia"/>
          <w:b/>
          <w:sz w:val="24"/>
          <w:szCs w:val="24"/>
        </w:rPr>
        <w:t>四十九</w:t>
      </w:r>
      <w:r w:rsidRPr="00787390">
        <w:rPr>
          <w:rFonts w:ascii="KaiTi" w:eastAsia="KaiTi" w:hint="eastAsia"/>
          <w:b/>
          <w:sz w:val="24"/>
          <w:szCs w:val="24"/>
        </w:rPr>
        <w:t>届会议</w:t>
      </w:r>
    </w:p>
    <w:p w:rsidR="00F01E30" w:rsidRPr="00787390" w:rsidRDefault="00F01E30" w:rsidP="00F01E30">
      <w:pPr>
        <w:textAlignment w:val="bottom"/>
        <w:rPr>
          <w:rFonts w:ascii="KaiTi" w:eastAsia="KaiTi" w:hAnsi="KaiTi"/>
          <w:b/>
          <w:sz w:val="24"/>
          <w:szCs w:val="24"/>
        </w:rPr>
      </w:pPr>
      <w:r w:rsidRPr="00787390">
        <w:rPr>
          <w:rFonts w:ascii="KaiTi" w:eastAsia="KaiTi" w:hAnsi="KaiTi" w:hint="eastAsia"/>
          <w:sz w:val="24"/>
          <w:szCs w:val="24"/>
        </w:rPr>
        <w:t>201</w:t>
      </w:r>
      <w:r>
        <w:rPr>
          <w:rFonts w:ascii="KaiTi" w:eastAsia="KaiTi" w:hAnsi="KaiTi" w:hint="eastAsia"/>
          <w:sz w:val="24"/>
          <w:szCs w:val="24"/>
        </w:rPr>
        <w:t>7</w:t>
      </w:r>
      <w:r w:rsidRPr="00787390">
        <w:rPr>
          <w:rFonts w:ascii="KaiTi" w:eastAsia="KaiTi" w:hAnsi="KaiTi" w:hint="eastAsia"/>
          <w:b/>
          <w:sz w:val="24"/>
          <w:szCs w:val="24"/>
        </w:rPr>
        <w:t>年</w:t>
      </w:r>
      <w:r>
        <w:rPr>
          <w:rFonts w:ascii="KaiTi" w:eastAsia="KaiTi" w:hAnsi="KaiTi" w:hint="eastAsia"/>
          <w:sz w:val="24"/>
          <w:szCs w:val="24"/>
        </w:rPr>
        <w:t>2</w:t>
      </w:r>
      <w:r w:rsidRPr="00787390">
        <w:rPr>
          <w:rFonts w:ascii="KaiTi" w:eastAsia="KaiTi" w:hAnsi="KaiTi" w:hint="eastAsia"/>
          <w:b/>
          <w:sz w:val="24"/>
          <w:szCs w:val="24"/>
        </w:rPr>
        <w:t>月</w:t>
      </w:r>
      <w:r>
        <w:rPr>
          <w:rFonts w:ascii="KaiTi" w:eastAsia="KaiTi" w:hAnsi="KaiTi" w:hint="eastAsia"/>
          <w:sz w:val="24"/>
          <w:szCs w:val="24"/>
        </w:rPr>
        <w:t>22</w:t>
      </w:r>
      <w:r w:rsidRPr="00787390">
        <w:rPr>
          <w:rFonts w:ascii="KaiTi" w:eastAsia="KaiTi" w:hAnsi="KaiTi" w:hint="eastAsia"/>
          <w:b/>
          <w:sz w:val="24"/>
          <w:szCs w:val="24"/>
        </w:rPr>
        <w:t>日</w:t>
      </w:r>
      <w:r>
        <w:rPr>
          <w:rFonts w:ascii="KaiTi" w:eastAsia="KaiTi" w:hAnsi="KaiTi" w:hint="eastAsia"/>
          <w:b/>
          <w:sz w:val="24"/>
          <w:szCs w:val="24"/>
        </w:rPr>
        <w:t>和</w:t>
      </w:r>
      <w:r>
        <w:rPr>
          <w:rFonts w:ascii="KaiTi" w:eastAsia="KaiTi" w:hAnsi="KaiTi" w:hint="eastAsia"/>
          <w:sz w:val="24"/>
          <w:szCs w:val="24"/>
        </w:rPr>
        <w:t>23</w:t>
      </w:r>
      <w:r w:rsidRPr="00787390">
        <w:rPr>
          <w:rFonts w:ascii="KaiTi" w:eastAsia="KaiTi" w:hAnsi="KaiTi" w:hint="eastAsia"/>
          <w:b/>
          <w:sz w:val="24"/>
          <w:szCs w:val="24"/>
        </w:rPr>
        <w:t>日，日内瓦</w:t>
      </w:r>
    </w:p>
    <w:p w:rsidR="00F01E30" w:rsidRPr="00787390" w:rsidRDefault="00F01E30" w:rsidP="00F01E30"/>
    <w:p w:rsidR="00F01E30" w:rsidRPr="00787390" w:rsidRDefault="00F01E30" w:rsidP="00F01E30"/>
    <w:p w:rsidR="00F01E30" w:rsidRPr="00787390" w:rsidRDefault="00F01E30" w:rsidP="00F01E30"/>
    <w:p w:rsidR="00F01E30" w:rsidRPr="00787390" w:rsidRDefault="00F01E30" w:rsidP="00F01E30">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报</w:t>
      </w:r>
      <w:r w:rsidR="00D179C0">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F01E30" w:rsidRPr="001202FA" w:rsidRDefault="00F01E30" w:rsidP="00F01E30">
      <w:pPr>
        <w:rPr>
          <w:szCs w:val="22"/>
        </w:rPr>
      </w:pPr>
    </w:p>
    <w:p w:rsidR="00F01E30" w:rsidRPr="00C55498" w:rsidRDefault="00D179C0" w:rsidP="00F01E30">
      <w:pPr>
        <w:rPr>
          <w:rFonts w:ascii="KaiTi" w:eastAsia="KaiTi" w:hAnsi="KaiTi" w:cs="Times New Roman"/>
          <w:kern w:val="2"/>
          <w:sz w:val="21"/>
          <w:szCs w:val="24"/>
        </w:rPr>
      </w:pPr>
      <w:bookmarkStart w:id="5" w:name="Prepared"/>
      <w:bookmarkEnd w:id="5"/>
      <w:r>
        <w:rPr>
          <w:rFonts w:ascii="KaiTi" w:eastAsia="KaiTi" w:hAnsi="KaiTi" w:cs="Times New Roman" w:hint="eastAsia"/>
          <w:kern w:val="2"/>
          <w:sz w:val="21"/>
          <w:szCs w:val="24"/>
        </w:rPr>
        <w:t>经专家委员会通过</w:t>
      </w:r>
    </w:p>
    <w:p w:rsidR="00F01E30" w:rsidRPr="00787390" w:rsidRDefault="00F01E30" w:rsidP="00F01E30">
      <w:pPr>
        <w:rPr>
          <w:szCs w:val="22"/>
        </w:rPr>
      </w:pPr>
    </w:p>
    <w:p w:rsidR="00F01E30" w:rsidRPr="00787390" w:rsidRDefault="00F01E30" w:rsidP="00F01E30">
      <w:pPr>
        <w:rPr>
          <w:szCs w:val="22"/>
        </w:rPr>
      </w:pPr>
    </w:p>
    <w:p w:rsidR="00F01E30" w:rsidRPr="00787390" w:rsidRDefault="00F01E30" w:rsidP="00F01E30">
      <w:pPr>
        <w:rPr>
          <w:szCs w:val="22"/>
        </w:rPr>
      </w:pPr>
    </w:p>
    <w:p w:rsidR="00F01E30" w:rsidRPr="00787390" w:rsidRDefault="00F01E30" w:rsidP="00F01E30">
      <w:pPr>
        <w:rPr>
          <w:szCs w:val="22"/>
        </w:rPr>
      </w:pPr>
    </w:p>
    <w:p w:rsidR="00F50D17" w:rsidRPr="00F01E30" w:rsidRDefault="00F50D17"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导　言</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IPC联盟专家委员会</w:t>
      </w:r>
      <w:r w:rsidR="008C3EEF" w:rsidRPr="00F01E30">
        <w:rPr>
          <w:rFonts w:ascii="SimSun" w:hAnsi="SimSun"/>
          <w:sz w:val="21"/>
        </w:rPr>
        <w:t>（</w:t>
      </w:r>
      <w:r w:rsidRPr="00F01E30">
        <w:rPr>
          <w:rFonts w:ascii="SimSun" w:hAnsi="SimSun"/>
          <w:sz w:val="21"/>
        </w:rPr>
        <w:t>下称</w:t>
      </w:r>
      <w:r w:rsidR="00B05932" w:rsidRPr="00F01E30">
        <w:rPr>
          <w:rFonts w:ascii="SimSun" w:hAnsi="SimSun" w:hint="eastAsia"/>
          <w:sz w:val="21"/>
        </w:rPr>
        <w:t>“</w:t>
      </w:r>
      <w:r w:rsidRPr="00F01E30">
        <w:rPr>
          <w:rFonts w:ascii="SimSun" w:hAnsi="SimSun"/>
          <w:sz w:val="21"/>
        </w:rPr>
        <w:t>委员会</w:t>
      </w:r>
      <w:r w:rsidR="00B05932" w:rsidRPr="00F01E30">
        <w:rPr>
          <w:rFonts w:ascii="SimSun" w:hAnsi="SimSun" w:hint="eastAsia"/>
          <w:sz w:val="21"/>
        </w:rPr>
        <w:t>”</w:t>
      </w:r>
      <w:r w:rsidR="008C3EEF" w:rsidRPr="00F01E30">
        <w:rPr>
          <w:rFonts w:ascii="SimSun" w:hAnsi="SimSun"/>
          <w:sz w:val="21"/>
        </w:rPr>
        <w:t>）</w:t>
      </w:r>
      <w:r w:rsidRPr="00F01E30">
        <w:rPr>
          <w:rFonts w:ascii="SimSun" w:hAnsi="SimSun"/>
          <w:sz w:val="21"/>
        </w:rPr>
        <w:t>于2017年2月22日和23日在日内瓦举行了第四十九届会议。以下委员会成员参加了本届会议：爱尔兰、爱沙尼亚、澳大利亚、奥地利、巴西、大韩民国、丹麦、德国、俄罗斯联邦、法国、芬兰、荷兰、加拿大、捷克共和国、联合王国、罗马尼亚、美利坚合众国、墨西哥、挪威、葡萄牙、日本、瑞典、瑞士、土耳其、乌克兰、西班牙、希腊和中国</w:t>
      </w:r>
      <w:r w:rsidR="008C3EEF" w:rsidRPr="00F01E30">
        <w:rPr>
          <w:rFonts w:ascii="SimSun" w:hAnsi="SimSun"/>
          <w:sz w:val="21"/>
        </w:rPr>
        <w:t>（</w:t>
      </w:r>
      <w:r w:rsidRPr="00F01E30">
        <w:rPr>
          <w:rFonts w:ascii="SimSun" w:hAnsi="SimSun"/>
          <w:sz w:val="21"/>
        </w:rPr>
        <w:t>28个</w:t>
      </w:r>
      <w:r w:rsidR="008C3EEF" w:rsidRPr="00F01E30">
        <w:rPr>
          <w:rFonts w:ascii="SimSun" w:hAnsi="SimSun"/>
          <w:sz w:val="21"/>
        </w:rPr>
        <w:t>）</w:t>
      </w:r>
      <w:r w:rsidRPr="00F01E30">
        <w:rPr>
          <w:rFonts w:ascii="SimSun" w:hAnsi="SimSun"/>
          <w:sz w:val="21"/>
        </w:rPr>
        <w:t>。非洲</w:t>
      </w:r>
      <w:r w:rsidR="00B05932" w:rsidRPr="00F01E30">
        <w:rPr>
          <w:rFonts w:ascii="SimSun" w:hAnsi="SimSun" w:hint="eastAsia"/>
          <w:sz w:val="21"/>
        </w:rPr>
        <w:t>地区</w:t>
      </w:r>
      <w:r w:rsidRPr="00F01E30">
        <w:rPr>
          <w:rFonts w:ascii="SimSun" w:hAnsi="SimSun"/>
          <w:sz w:val="21"/>
        </w:rPr>
        <w:t>知识产权组织</w:t>
      </w:r>
      <w:r w:rsidR="008C3EEF" w:rsidRPr="00F01E30">
        <w:rPr>
          <w:rFonts w:ascii="SimSun" w:hAnsi="SimSun"/>
          <w:sz w:val="21"/>
        </w:rPr>
        <w:t>（</w:t>
      </w:r>
      <w:r w:rsidRPr="00F01E30">
        <w:rPr>
          <w:rFonts w:ascii="SimSun" w:hAnsi="SimSun"/>
          <w:sz w:val="21"/>
        </w:rPr>
        <w:t>A</w:t>
      </w:r>
      <w:r w:rsidR="00B05932" w:rsidRPr="00F01E30">
        <w:rPr>
          <w:rFonts w:ascii="SimSun" w:hAnsi="SimSun" w:hint="eastAsia"/>
          <w:sz w:val="21"/>
        </w:rPr>
        <w:t>RIPO</w:t>
      </w:r>
      <w:r w:rsidR="008C3EEF" w:rsidRPr="00F01E30">
        <w:rPr>
          <w:rFonts w:ascii="SimSun" w:hAnsi="SimSun"/>
          <w:sz w:val="21"/>
        </w:rPr>
        <w:t>）</w:t>
      </w:r>
      <w:r w:rsidRPr="00F01E30">
        <w:rPr>
          <w:rFonts w:ascii="SimSun" w:hAnsi="SimSun"/>
          <w:sz w:val="21"/>
        </w:rPr>
        <w:t>和欧洲专利局</w:t>
      </w:r>
      <w:r w:rsidR="008C3EEF" w:rsidRPr="00F01E30">
        <w:rPr>
          <w:rFonts w:ascii="SimSun" w:hAnsi="SimSun"/>
          <w:sz w:val="21"/>
        </w:rPr>
        <w:t>（</w:t>
      </w:r>
      <w:r w:rsidRPr="00F01E30">
        <w:rPr>
          <w:rFonts w:ascii="SimSun" w:hAnsi="SimSun"/>
          <w:sz w:val="21"/>
        </w:rPr>
        <w:t>EPO</w:t>
      </w:r>
      <w:r w:rsidR="008C3EEF" w:rsidRPr="00F01E30">
        <w:rPr>
          <w:rFonts w:ascii="SimSun" w:hAnsi="SimSun"/>
          <w:sz w:val="21"/>
        </w:rPr>
        <w:t>）</w:t>
      </w:r>
      <w:r w:rsidRPr="00F01E30">
        <w:rPr>
          <w:rFonts w:ascii="SimSun" w:hAnsi="SimSun"/>
          <w:sz w:val="21"/>
        </w:rPr>
        <w:t>也出席了会议。与会人员名单见本报告附件一。</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助理总干事高木先生宣布会议开幕，并向与会者表示欢迎。高木先生强调了IPC作为一种不依赖于语言并在全球范围内用作专利信息检索工具的重要性，尤其是在专利申请量将迅速增加的未来时代。他进一步强调了委员会在IPC修订路线图的框架下开展的IPC修订工作，并指出开发IPC相关信息技术系统的重要性。</w:t>
      </w:r>
    </w:p>
    <w:p w:rsidR="00F50D17" w:rsidRPr="00F01E30" w:rsidRDefault="00F50D17"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主席团成员</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委员会一致选举</w:t>
      </w:r>
      <w:r w:rsidR="00202E76" w:rsidRPr="00F01E30">
        <w:rPr>
          <w:rFonts w:ascii="SimSun" w:hAnsi="SimSun" w:hint="eastAsia"/>
          <w:sz w:val="21"/>
        </w:rPr>
        <w:t>安德斯·布鲁恩</w:t>
      </w:r>
      <w:r w:rsidRPr="00F01E30">
        <w:rPr>
          <w:rFonts w:ascii="SimSun" w:hAnsi="SimSun"/>
          <w:sz w:val="21"/>
        </w:rPr>
        <w:t>先生（瑞典）担任主席，选举</w:t>
      </w:r>
      <w:r w:rsidR="00202E76" w:rsidRPr="00F01E30">
        <w:rPr>
          <w:rFonts w:ascii="SimSun" w:hAnsi="SimSun" w:hint="eastAsia"/>
          <w:sz w:val="21"/>
        </w:rPr>
        <w:t>娜塔丽·施拉夫</w:t>
      </w:r>
      <w:r w:rsidRPr="00F01E30">
        <w:rPr>
          <w:rFonts w:ascii="SimSun" w:hAnsi="SimSun"/>
          <w:sz w:val="21"/>
        </w:rPr>
        <w:t>女士（挪威）和</w:t>
      </w:r>
      <w:r w:rsidR="00F60F31" w:rsidRPr="00F01E30">
        <w:rPr>
          <w:rFonts w:ascii="SimSun" w:hAnsi="SimSun" w:hint="eastAsia"/>
          <w:sz w:val="21"/>
        </w:rPr>
        <w:t>巴勃罗·</w:t>
      </w:r>
      <w:r w:rsidR="00D47F1C" w:rsidRPr="00F01E30">
        <w:rPr>
          <w:rFonts w:ascii="SimSun" w:hAnsi="SimSun" w:hint="eastAsia"/>
          <w:sz w:val="21"/>
        </w:rPr>
        <w:t>森特诺</w:t>
      </w:r>
      <w:r w:rsidR="00F60F31" w:rsidRPr="00F01E30">
        <w:rPr>
          <w:rFonts w:ascii="SimSun" w:hAnsi="SimSun" w:hint="eastAsia"/>
          <w:sz w:val="21"/>
        </w:rPr>
        <w:t>·马尔克斯</w:t>
      </w:r>
      <w:r w:rsidRPr="00F01E30">
        <w:rPr>
          <w:rFonts w:ascii="SimSun" w:hAnsi="SimSun"/>
          <w:sz w:val="21"/>
        </w:rPr>
        <w:t>先生（墨西哥）担任副主席。</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徐宁女士（WIPO）担任本届会议秘书。</w:t>
      </w:r>
    </w:p>
    <w:p w:rsidR="00F50D17" w:rsidRPr="00F01E30" w:rsidRDefault="00F50D17"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lastRenderedPageBreak/>
        <w:t>通过议程</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委员会一致通过载于本报告附件二的议程。</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根据WIPO管理机构于1979年9月24日至10月2日召开的第十届会议的决定</w:t>
      </w:r>
      <w:r w:rsidR="008C3EEF" w:rsidRPr="00F01E30">
        <w:rPr>
          <w:rFonts w:ascii="SimSun" w:hAnsi="SimSun"/>
          <w:sz w:val="21"/>
        </w:rPr>
        <w:t>（</w:t>
      </w:r>
      <w:r w:rsidRPr="00F01E30">
        <w:rPr>
          <w:rFonts w:ascii="SimSun" w:hAnsi="SimSun"/>
          <w:sz w:val="21"/>
        </w:rPr>
        <w:t>见文件AB/X/32第51和52段</w:t>
      </w:r>
      <w:r w:rsidR="008C3EEF" w:rsidRPr="00F01E30">
        <w:rPr>
          <w:rFonts w:ascii="SimSun" w:hAnsi="SimSun"/>
          <w:sz w:val="21"/>
        </w:rPr>
        <w:t>）</w:t>
      </w:r>
      <w:r w:rsidRPr="00F01E30">
        <w:rPr>
          <w:rFonts w:ascii="SimSun" w:hAnsi="SimSun"/>
          <w:sz w:val="21"/>
        </w:rPr>
        <w:t>，本届会议报告仅反映委员会的结论</w:t>
      </w:r>
      <w:r w:rsidR="008C3EEF" w:rsidRPr="00F01E30">
        <w:rPr>
          <w:rFonts w:ascii="SimSun" w:hAnsi="SimSun"/>
          <w:sz w:val="21"/>
        </w:rPr>
        <w:t>（</w:t>
      </w:r>
      <w:r w:rsidRPr="00F01E30">
        <w:rPr>
          <w:rFonts w:ascii="SimSun" w:hAnsi="SimSun"/>
          <w:sz w:val="21"/>
        </w:rPr>
        <w:t>决定、建议、方案等</w:t>
      </w:r>
      <w:r w:rsidR="008C3EEF" w:rsidRPr="00F01E30">
        <w:rPr>
          <w:rFonts w:ascii="SimSun" w:hAnsi="SimSun"/>
          <w:sz w:val="21"/>
        </w:rPr>
        <w:t>）</w:t>
      </w:r>
      <w:r w:rsidRPr="00F01E30">
        <w:rPr>
          <w:rFonts w:ascii="SimSun" w:hAnsi="SimSun"/>
          <w:sz w:val="21"/>
        </w:rPr>
        <w:t>，并不反映特别是任何参会人员的发言，除非是在得出委员会的结论后，对具体结论表示或重申保留意见。</w:t>
      </w:r>
    </w:p>
    <w:p w:rsidR="006A298C" w:rsidRPr="00F01E30" w:rsidRDefault="006A298C"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IPC修订计划进展报告</w:t>
      </w:r>
    </w:p>
    <w:p w:rsidR="006A298C" w:rsidRPr="00F01E30" w:rsidRDefault="006A298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讨论依据项目文件</w:t>
      </w:r>
      <w:r w:rsidR="00126F8F">
        <w:fldChar w:fldCharType="begin"/>
      </w:r>
      <w:r w:rsidR="00126F8F">
        <w:instrText xml:space="preserve"> HYPERLINK "http://web2.wipo.int/ipc-ief/en/project/1606/CE462" </w:instrText>
      </w:r>
      <w:r w:rsidR="00126F8F">
        <w:fldChar w:fldCharType="separate"/>
      </w:r>
      <w:r w:rsidRPr="00F01E30">
        <w:rPr>
          <w:rStyle w:val="Hyperlink"/>
          <w:rFonts w:ascii="SimSun" w:hAnsi="SimSun"/>
          <w:sz w:val="21"/>
        </w:rPr>
        <w:t>CE 462</w:t>
      </w:r>
      <w:r w:rsidR="00126F8F">
        <w:rPr>
          <w:rStyle w:val="Hyperlink"/>
          <w:rFonts w:ascii="SimSun" w:hAnsi="SimSun"/>
          <w:sz w:val="21"/>
        </w:rPr>
        <w:fldChar w:fldCharType="end"/>
      </w:r>
      <w:r w:rsidRPr="00F01E30">
        <w:rPr>
          <w:rFonts w:ascii="SimSun" w:hAnsi="SimSun"/>
          <w:sz w:val="21"/>
        </w:rPr>
        <w:t>的附件8进行，</w:t>
      </w:r>
      <w:r w:rsidR="009A343B" w:rsidRPr="00F01E30">
        <w:rPr>
          <w:rFonts w:ascii="SimSun" w:hAnsi="SimSun" w:hint="eastAsia"/>
          <w:sz w:val="21"/>
        </w:rPr>
        <w:t>该附件</w:t>
      </w:r>
      <w:r w:rsidRPr="00F01E30">
        <w:rPr>
          <w:rFonts w:ascii="SimSun" w:hAnsi="SimSun"/>
          <w:sz w:val="21"/>
        </w:rPr>
        <w:t>由国际局编拟，其中载有一份IPC修订工作组</w:t>
      </w:r>
      <w:r w:rsidR="008C3EEF" w:rsidRPr="00F01E30">
        <w:rPr>
          <w:rFonts w:ascii="SimSun" w:hAnsi="SimSun"/>
          <w:sz w:val="21"/>
        </w:rPr>
        <w:t>（</w:t>
      </w:r>
      <w:r w:rsidRPr="00F01E30">
        <w:rPr>
          <w:rFonts w:ascii="SimSun" w:hAnsi="SimSun"/>
          <w:sz w:val="21"/>
        </w:rPr>
        <w:t>下称</w:t>
      </w:r>
      <w:r w:rsidR="009A343B" w:rsidRPr="00F01E30">
        <w:rPr>
          <w:rFonts w:ascii="SimSun" w:hAnsi="SimSun" w:hint="eastAsia"/>
          <w:sz w:val="21"/>
        </w:rPr>
        <w:t>“</w:t>
      </w:r>
      <w:r w:rsidRPr="00F01E30">
        <w:rPr>
          <w:rFonts w:ascii="SimSun" w:hAnsi="SimSun"/>
          <w:sz w:val="21"/>
        </w:rPr>
        <w:t>工作组</w:t>
      </w:r>
      <w:r w:rsidR="009A343B" w:rsidRPr="00F01E30">
        <w:rPr>
          <w:rFonts w:ascii="SimSun" w:hAnsi="SimSun" w:hint="eastAsia"/>
          <w:sz w:val="21"/>
        </w:rPr>
        <w:t>”</w:t>
      </w:r>
      <w:r w:rsidR="008C3EEF" w:rsidRPr="00F01E30">
        <w:rPr>
          <w:rFonts w:ascii="SimSun" w:hAnsi="SimSun"/>
          <w:sz w:val="21"/>
        </w:rPr>
        <w:t>）</w:t>
      </w:r>
      <w:r w:rsidRPr="00F01E30">
        <w:rPr>
          <w:rFonts w:ascii="SimSun" w:hAnsi="SimSun"/>
          <w:sz w:val="21"/>
        </w:rPr>
        <w:t>尤其</w:t>
      </w:r>
      <w:r w:rsidR="009A343B" w:rsidRPr="00F01E30">
        <w:rPr>
          <w:rFonts w:ascii="SimSun" w:hAnsi="SimSun" w:hint="eastAsia"/>
          <w:sz w:val="21"/>
        </w:rPr>
        <w:t>在</w:t>
      </w:r>
      <w:r w:rsidRPr="00F01E30">
        <w:rPr>
          <w:rFonts w:ascii="SimSun" w:hAnsi="SimSun"/>
          <w:sz w:val="21"/>
        </w:rPr>
        <w:t>IPC修订计划</w:t>
      </w:r>
      <w:r w:rsidR="009A343B" w:rsidRPr="00F01E30">
        <w:rPr>
          <w:rFonts w:ascii="SimSun" w:hAnsi="SimSun" w:hint="eastAsia"/>
          <w:sz w:val="21"/>
        </w:rPr>
        <w:t>方面</w:t>
      </w:r>
      <w:r w:rsidRPr="00F01E30">
        <w:rPr>
          <w:rFonts w:ascii="SimSun" w:hAnsi="SimSun"/>
          <w:sz w:val="21"/>
        </w:rPr>
        <w:t>的活动</w:t>
      </w:r>
      <w:r w:rsidR="009A343B" w:rsidRPr="00F01E30">
        <w:rPr>
          <w:rFonts w:ascii="SimSun" w:hAnsi="SimSun" w:hint="eastAsia"/>
          <w:sz w:val="21"/>
        </w:rPr>
        <w:t>的</w:t>
      </w:r>
      <w:r w:rsidRPr="00F01E30">
        <w:rPr>
          <w:rFonts w:ascii="SimSun" w:hAnsi="SimSun"/>
          <w:sz w:val="21"/>
        </w:rPr>
        <w:t>状态报告。</w:t>
      </w:r>
    </w:p>
    <w:p w:rsidR="006A298C" w:rsidRPr="00F01E30" w:rsidRDefault="006A298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委员会注意到IPC–2016.01版和2017.01版中化学领域的修订项目数量增多。修订项目总数自IPC-2016.01版以来有所减少，特别是在电学领域。</w:t>
      </w:r>
    </w:p>
    <w:p w:rsidR="006A298C" w:rsidRPr="00F01E30" w:rsidRDefault="006A298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还注意到自IPC-2016.01版以来，C项目的数量增加，而F项目的数量则减少了；不过，预计今后将有大量新的F项目。IPC-2017.01版中生效的新条目低于IPC-2016.01版，但高于IPC-2013.01版和IPC-2015.01版。委员会还注意到自IPC-2016.01版以来，IPC-阶段的期限有所缩短。</w:t>
      </w:r>
    </w:p>
    <w:p w:rsidR="006A298C" w:rsidRPr="00F01E30" w:rsidRDefault="006A298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委员会要求国际局在向委员会下届会议提交的现状报告中，编拟一份更加详细的关于维护项目的概览，对临时维护项目和系统性维护项目作出区分。</w:t>
      </w:r>
    </w:p>
    <w:p w:rsidR="006A298C" w:rsidRPr="00F01E30" w:rsidRDefault="006A298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委员会对工作组已完成的工作表示满意，并希望工作组再接再厉，继续开展工作。委员会还同意有必要针对增加的项目，审议工作组未来的工作形式（见本报告附件三）。</w:t>
      </w:r>
    </w:p>
    <w:p w:rsidR="006A298C" w:rsidRPr="00F01E30" w:rsidRDefault="006A298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委员会还鼓励所有各局积极参与制定IPC修订计划，尤其是以提交修订请求的方式，这种修订请求应在委员会已通过的经更新的IPC修订路线图的框架下提交（见下文第16段和第17段）。</w:t>
      </w:r>
    </w:p>
    <w:p w:rsidR="00F50D17" w:rsidRPr="00F01E30" w:rsidRDefault="00F50D17"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CPC和FI修订计划进展报告</w:t>
      </w:r>
    </w:p>
    <w:p w:rsidR="00F50D17" w:rsidRPr="00F01E30" w:rsidRDefault="00E72800"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美利坚合众国和EPO就CPC的新近发展情况联合进行了口头报告。日本就FI/F-Term的进展简要作了口头报告。</w:t>
      </w:r>
    </w:p>
    <w:p w:rsidR="005F321B" w:rsidRPr="00F01E30" w:rsidRDefault="005F321B"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委员会获悉，CPC的发布频率是每年四至五次，2017年将进行四次发布</w:t>
      </w:r>
      <w:r w:rsidR="00113C8F">
        <w:rPr>
          <w:rFonts w:ascii="SimSun" w:hAnsi="SimSun" w:hint="eastAsia"/>
          <w:sz w:val="21"/>
        </w:rPr>
        <w:t>，分别在</w:t>
      </w:r>
      <w:r w:rsidR="00FB5ADF">
        <w:rPr>
          <w:rFonts w:ascii="SimSun" w:hAnsi="SimSun" w:hint="eastAsia"/>
          <w:sz w:val="21"/>
        </w:rPr>
        <w:t>2017年</w:t>
      </w:r>
      <w:r w:rsidR="00113C8F">
        <w:rPr>
          <w:rFonts w:ascii="SimSun" w:hAnsi="SimSun" w:hint="eastAsia"/>
          <w:sz w:val="21"/>
        </w:rPr>
        <w:t>1月、2月、5月和8月</w:t>
      </w:r>
      <w:r w:rsidRPr="00F01E30">
        <w:rPr>
          <w:rFonts w:ascii="SimSun" w:hAnsi="SimSun"/>
          <w:sz w:val="21"/>
        </w:rPr>
        <w:t>。委员会还注意到2018年底的</w:t>
      </w:r>
      <w:r w:rsidR="00E30417" w:rsidRPr="00F01E30">
        <w:rPr>
          <w:rFonts w:ascii="SimSun" w:hAnsi="SimSun" w:hint="eastAsia"/>
          <w:sz w:val="21"/>
        </w:rPr>
        <w:t>设想</w:t>
      </w:r>
      <w:r w:rsidRPr="00F01E30">
        <w:rPr>
          <w:rFonts w:ascii="SimSun" w:hAnsi="SimSun"/>
          <w:sz w:val="21"/>
        </w:rPr>
        <w:t>是，CPC国家局用户提供的CPC号将维持在同族层面，而不是像现在的做法那样，维持在文件层面。</w:t>
      </w:r>
    </w:p>
    <w:p w:rsidR="00E72800" w:rsidRPr="00F01E30" w:rsidRDefault="00D3381B"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委员会获悉，JPO关于分类的网站以英文提供信息，特别是</w:t>
      </w:r>
      <w:r w:rsidR="00A245C8" w:rsidRPr="00F01E30">
        <w:rPr>
          <w:rFonts w:ascii="SimSun" w:hAnsi="SimSun" w:hint="eastAsia"/>
          <w:sz w:val="21"/>
        </w:rPr>
        <w:t>“</w:t>
      </w:r>
      <w:r w:rsidRPr="00F01E30">
        <w:rPr>
          <w:rFonts w:ascii="SimSun" w:hAnsi="SimSun"/>
          <w:sz w:val="21"/>
        </w:rPr>
        <w:t>专利地图导航</w:t>
      </w:r>
      <w:r w:rsidR="00A245C8" w:rsidRPr="00F01E30">
        <w:rPr>
          <w:rFonts w:ascii="SimSun" w:hAnsi="SimSun" w:hint="eastAsia"/>
          <w:sz w:val="21"/>
        </w:rPr>
        <w:t>”</w:t>
      </w:r>
      <w:r w:rsidRPr="00F01E30">
        <w:rPr>
          <w:rFonts w:ascii="SimSun" w:hAnsi="SimSun"/>
          <w:sz w:val="21"/>
        </w:rPr>
        <w:t>、IPC-FI-CPC分类表平行浏览器和FI/F-Term修订信息。</w:t>
      </w:r>
      <w:r w:rsidR="005F321B" w:rsidRPr="00F01E30">
        <w:rPr>
          <w:rFonts w:ascii="SimSun" w:hAnsi="SimSun"/>
          <w:sz w:val="21"/>
        </w:rPr>
        <w:t>委员会还获悉，FI与IPC最新版本的对应程度在2016年11月已经达到98.5%，预计将在2018年达到完全对应。</w:t>
      </w:r>
    </w:p>
    <w:p w:rsidR="00F50D17" w:rsidRPr="00F01E30" w:rsidRDefault="00F50D17"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审查和更新IPC修订路线图</w:t>
      </w:r>
    </w:p>
    <w:p w:rsidR="00F50D17" w:rsidRPr="00F01E30" w:rsidRDefault="00F50D17"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讨论依据项目文件</w:t>
      </w:r>
      <w:r w:rsidR="00126F8F">
        <w:fldChar w:fldCharType="begin"/>
      </w:r>
      <w:r w:rsidR="00126F8F">
        <w:instrText xml:space="preserve"> HYPERLINK "https://www3.wipo.int/ipc-ief/public/ipc/en/project/6913/CE493" </w:instrText>
      </w:r>
      <w:r w:rsidR="00126F8F">
        <w:fldChar w:fldCharType="separate"/>
      </w:r>
      <w:r w:rsidR="009B3972" w:rsidRPr="00F01E30">
        <w:rPr>
          <w:rStyle w:val="Hyperlink"/>
          <w:rFonts w:ascii="SimSun" w:hAnsi="SimSun"/>
          <w:sz w:val="21"/>
        </w:rPr>
        <w:t>CE 493</w:t>
      </w:r>
      <w:r w:rsidR="00126F8F">
        <w:rPr>
          <w:rStyle w:val="Hyperlink"/>
          <w:rFonts w:ascii="SimSun" w:hAnsi="SimSun"/>
          <w:sz w:val="21"/>
        </w:rPr>
        <w:fldChar w:fldCharType="end"/>
      </w:r>
      <w:r w:rsidR="009B3972" w:rsidRPr="00F01E30">
        <w:rPr>
          <w:rFonts w:ascii="SimSun" w:hAnsi="SimSun"/>
          <w:sz w:val="21"/>
        </w:rPr>
        <w:t>进行，特别是该项目文件的附件1，</w:t>
      </w:r>
      <w:r w:rsidR="008C5199" w:rsidRPr="00F01E30">
        <w:rPr>
          <w:rFonts w:ascii="SimSun" w:hAnsi="SimSun" w:hint="eastAsia"/>
          <w:sz w:val="21"/>
        </w:rPr>
        <w:t>由</w:t>
      </w:r>
      <w:r w:rsidR="009B3972" w:rsidRPr="00F01E30">
        <w:rPr>
          <w:rFonts w:ascii="SimSun" w:hAnsi="SimSun"/>
          <w:sz w:val="21"/>
        </w:rPr>
        <w:t>国际局编拟</w:t>
      </w:r>
      <w:r w:rsidR="008C5199" w:rsidRPr="00F01E30">
        <w:rPr>
          <w:rFonts w:ascii="SimSun" w:hAnsi="SimSun" w:hint="eastAsia"/>
          <w:sz w:val="21"/>
        </w:rPr>
        <w:t>，</w:t>
      </w:r>
      <w:r w:rsidR="008C5199" w:rsidRPr="00F01E30">
        <w:rPr>
          <w:rFonts w:ascii="SimSun" w:hAnsi="SimSun"/>
          <w:sz w:val="21"/>
        </w:rPr>
        <w:t>其中载有</w:t>
      </w:r>
      <w:r w:rsidR="009B3972" w:rsidRPr="00F01E30">
        <w:rPr>
          <w:rFonts w:ascii="SimSun" w:hAnsi="SimSun"/>
          <w:sz w:val="21"/>
        </w:rPr>
        <w:t>关于更新IPC修订路线图的提案。</w:t>
      </w:r>
    </w:p>
    <w:p w:rsidR="009B3972" w:rsidRPr="00F01E30" w:rsidRDefault="009B3972"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委员会通过了更新后的IPC修订路线图，商定继续适用包括本报告附件三第1段至第7段所载更新</w:t>
      </w:r>
      <w:r w:rsidR="008C5199" w:rsidRPr="00F01E30">
        <w:rPr>
          <w:rFonts w:ascii="SimSun" w:hAnsi="SimSun" w:hint="eastAsia"/>
          <w:sz w:val="21"/>
        </w:rPr>
        <w:t>内容</w:t>
      </w:r>
      <w:r w:rsidRPr="00F01E30">
        <w:rPr>
          <w:rFonts w:ascii="SimSun" w:hAnsi="SimSun"/>
          <w:sz w:val="21"/>
        </w:rPr>
        <w:t>的IPC修订路线图，并商定这份更新后的IPC修订路线图将保持效力，除非委员会另有决</w:t>
      </w:r>
      <w:r w:rsidR="00F01E30">
        <w:rPr>
          <w:rFonts w:ascii="SimSun" w:hAnsi="SimSun"/>
          <w:sz w:val="21"/>
        </w:rPr>
        <w:t>‍</w:t>
      </w:r>
      <w:r w:rsidRPr="00F01E30">
        <w:rPr>
          <w:rFonts w:ascii="SimSun" w:hAnsi="SimSun"/>
          <w:sz w:val="21"/>
        </w:rPr>
        <w:t>定。</w:t>
      </w:r>
    </w:p>
    <w:p w:rsidR="00756E75" w:rsidRPr="00F01E30" w:rsidRDefault="00756E75"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lastRenderedPageBreak/>
        <w:t>关于工作组未来的工作形式（见上文第11段），委员会在更新后的IPC修订路线图中，授权工作组考虑成立工作队/专家组，例如针对复杂的修订项目。</w:t>
      </w:r>
    </w:p>
    <w:p w:rsidR="00F50D17" w:rsidRPr="00F01E30" w:rsidRDefault="00F50D17"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《IPC指南》和其他IPC基本文件的修正</w:t>
      </w:r>
    </w:p>
    <w:p w:rsidR="00346DB9" w:rsidRPr="00F01E30" w:rsidRDefault="00346DB9"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讨论依据项目文件</w:t>
      </w:r>
      <w:r w:rsidR="00126F8F">
        <w:fldChar w:fldCharType="begin"/>
      </w:r>
      <w:r w:rsidR="00126F8F">
        <w:instrText xml:space="preserve"> HYPERLINK "http://web2.wipo.int/ipc-ief/en/project/1587/CE454" </w:instrText>
      </w:r>
      <w:r w:rsidR="00126F8F">
        <w:fldChar w:fldCharType="separate"/>
      </w:r>
      <w:r w:rsidRPr="00F01E30">
        <w:rPr>
          <w:rStyle w:val="Hyperlink"/>
          <w:rFonts w:ascii="SimSun" w:hAnsi="SimSun"/>
          <w:sz w:val="21"/>
        </w:rPr>
        <w:t>CE 454</w:t>
      </w:r>
      <w:r w:rsidR="00126F8F">
        <w:rPr>
          <w:rStyle w:val="Hyperlink"/>
          <w:rFonts w:ascii="SimSun" w:hAnsi="SimSun"/>
          <w:sz w:val="21"/>
        </w:rPr>
        <w:fldChar w:fldCharType="end"/>
      </w:r>
      <w:r w:rsidRPr="00F01E30">
        <w:rPr>
          <w:rFonts w:ascii="SimSun" w:hAnsi="SimSun"/>
          <w:sz w:val="21"/>
        </w:rPr>
        <w:t>进行，特别是该项目文件的附件29，由国际局编拟，其中载有关于对《IPC指南》（指南）的修正。</w:t>
      </w:r>
    </w:p>
    <w:p w:rsidR="00346DB9" w:rsidRPr="00F01E30" w:rsidRDefault="00346DB9"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委员会经过若干改动，通过了该项目文件附件</w:t>
      </w:r>
      <w:r w:rsidR="00EE351D">
        <w:rPr>
          <w:rFonts w:ascii="SimSun" w:hAnsi="SimSun"/>
          <w:sz w:val="21"/>
        </w:rPr>
        <w:t>3</w:t>
      </w:r>
      <w:r w:rsidR="00EE351D">
        <w:rPr>
          <w:rFonts w:ascii="SimSun" w:hAnsi="SimSun" w:hint="eastAsia"/>
          <w:sz w:val="21"/>
        </w:rPr>
        <w:t>2</w:t>
      </w:r>
      <w:r w:rsidR="008C5199" w:rsidRPr="00F01E30">
        <w:rPr>
          <w:rFonts w:ascii="SimSun" w:hAnsi="SimSun" w:hint="eastAsia"/>
          <w:sz w:val="21"/>
        </w:rPr>
        <w:t>中</w:t>
      </w:r>
      <w:r w:rsidRPr="00F01E30">
        <w:rPr>
          <w:rFonts w:ascii="SimSun" w:hAnsi="SimSun"/>
          <w:sz w:val="21"/>
        </w:rPr>
        <w:t>所载的对第15、39、47和95段的拟议修正。这些修正将写入2017年版的指南。</w:t>
      </w:r>
    </w:p>
    <w:p w:rsidR="00346DB9" w:rsidRPr="00F01E30" w:rsidRDefault="00346DB9"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讨论还依据项目文件</w:t>
      </w:r>
      <w:r w:rsidR="00126F8F">
        <w:fldChar w:fldCharType="begin"/>
      </w:r>
      <w:r w:rsidR="00126F8F">
        <w:instrText xml:space="preserve"> HYPERLINK "http://web2.wipo.int/ipc-ief/en/project/1588/CE455" </w:instrText>
      </w:r>
      <w:r w:rsidR="00126F8F">
        <w:fldChar w:fldCharType="separate"/>
      </w:r>
      <w:r w:rsidRPr="00F01E30">
        <w:rPr>
          <w:rStyle w:val="Hyperlink"/>
          <w:rFonts w:ascii="SimSun" w:hAnsi="SimSun"/>
          <w:sz w:val="21"/>
        </w:rPr>
        <w:t>CE</w:t>
      </w:r>
      <w:r w:rsidR="008C5199" w:rsidRPr="00F01E30">
        <w:rPr>
          <w:rStyle w:val="Hyperlink"/>
          <w:rFonts w:ascii="SimSun" w:hAnsi="SimSun" w:hint="eastAsia"/>
          <w:sz w:val="21"/>
        </w:rPr>
        <w:t xml:space="preserve"> </w:t>
      </w:r>
      <w:r w:rsidRPr="00F01E30">
        <w:rPr>
          <w:rStyle w:val="Hyperlink"/>
          <w:rFonts w:ascii="SimSun" w:hAnsi="SimSun"/>
          <w:sz w:val="21"/>
        </w:rPr>
        <w:t>455</w:t>
      </w:r>
      <w:r w:rsidR="00126F8F">
        <w:rPr>
          <w:rStyle w:val="Hyperlink"/>
          <w:rFonts w:ascii="SimSun" w:hAnsi="SimSun"/>
          <w:sz w:val="21"/>
        </w:rPr>
        <w:fldChar w:fldCharType="end"/>
      </w:r>
      <w:r w:rsidRPr="00F01E30">
        <w:rPr>
          <w:rFonts w:ascii="SimSun" w:hAnsi="SimSun"/>
          <w:sz w:val="21"/>
        </w:rPr>
        <w:t>进行，特别是该项目文件的附件</w:t>
      </w:r>
      <w:r w:rsidR="008C5199" w:rsidRPr="00F01E30">
        <w:rPr>
          <w:rFonts w:ascii="SimSun" w:hAnsi="SimSun" w:hint="eastAsia"/>
          <w:sz w:val="21"/>
        </w:rPr>
        <w:t>45</w:t>
      </w:r>
      <w:r w:rsidRPr="00F01E30">
        <w:rPr>
          <w:rFonts w:ascii="SimSun" w:hAnsi="SimSun"/>
          <w:sz w:val="21"/>
        </w:rPr>
        <w:t>，由国际局编拟，其中汇总了对《IPC</w:t>
      </w:r>
      <w:r w:rsidR="008C5199" w:rsidRPr="00F01E30">
        <w:rPr>
          <w:rFonts w:ascii="SimSun" w:hAnsi="SimSun"/>
          <w:sz w:val="21"/>
        </w:rPr>
        <w:t>修订</w:t>
      </w:r>
      <w:r w:rsidR="008C5199" w:rsidRPr="00F01E30">
        <w:rPr>
          <w:rFonts w:ascii="SimSun" w:hAnsi="SimSun" w:hint="eastAsia"/>
          <w:sz w:val="21"/>
        </w:rPr>
        <w:t>指导</w:t>
      </w:r>
      <w:r w:rsidRPr="00F01E30">
        <w:rPr>
          <w:rFonts w:ascii="SimSun" w:hAnsi="SimSun"/>
          <w:sz w:val="21"/>
        </w:rPr>
        <w:t>》所进行的修正，包括各局的提案和评论意见。</w:t>
      </w:r>
    </w:p>
    <w:p w:rsidR="00346DB9" w:rsidRPr="00F01E30" w:rsidRDefault="00346DB9"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委员会经过若干改动，通过了该项目文件附件49</w:t>
      </w:r>
      <w:r w:rsidR="006C3124" w:rsidRPr="00F01E30">
        <w:rPr>
          <w:rFonts w:ascii="SimSun" w:hAnsi="SimSun" w:hint="eastAsia"/>
          <w:sz w:val="21"/>
        </w:rPr>
        <w:t>中</w:t>
      </w:r>
      <w:r w:rsidRPr="00F01E30">
        <w:rPr>
          <w:rFonts w:ascii="SimSun" w:hAnsi="SimSun"/>
          <w:sz w:val="21"/>
        </w:rPr>
        <w:t>所载的对</w:t>
      </w:r>
      <w:r w:rsidR="006C3124" w:rsidRPr="00F01E30">
        <w:rPr>
          <w:rFonts w:ascii="SimSun" w:hAnsi="SimSun"/>
          <w:sz w:val="21"/>
        </w:rPr>
        <w:t>《IPC修订</w:t>
      </w:r>
      <w:r w:rsidR="006C3124" w:rsidRPr="00F01E30">
        <w:rPr>
          <w:rFonts w:ascii="SimSun" w:hAnsi="SimSun" w:hint="eastAsia"/>
          <w:sz w:val="21"/>
        </w:rPr>
        <w:t>指导</w:t>
      </w:r>
      <w:r w:rsidR="006C3124" w:rsidRPr="00F01E30">
        <w:rPr>
          <w:rFonts w:ascii="SimSun" w:hAnsi="SimSun"/>
          <w:sz w:val="21"/>
        </w:rPr>
        <w:t>》</w:t>
      </w:r>
      <w:r w:rsidRPr="00F01E30">
        <w:rPr>
          <w:rFonts w:ascii="SimSun" w:hAnsi="SimSun"/>
          <w:sz w:val="21"/>
        </w:rPr>
        <w:t>第17、37至39、41和122段的修正。</w:t>
      </w:r>
    </w:p>
    <w:p w:rsidR="00921756" w:rsidRPr="00F01E30" w:rsidRDefault="00921756"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委员会要求国际局，在IPCRMS</w:t>
      </w:r>
      <w:r w:rsidR="00D4279A" w:rsidRPr="00F01E30">
        <w:rPr>
          <w:rFonts w:ascii="SimSun" w:hAnsi="SimSun"/>
          <w:sz w:val="21"/>
        </w:rPr>
        <w:t>已准备好</w:t>
      </w:r>
      <w:r w:rsidRPr="00F01E30">
        <w:rPr>
          <w:rFonts w:ascii="SimSun" w:hAnsi="SimSun"/>
          <w:sz w:val="21"/>
        </w:rPr>
        <w:t>使用</w:t>
      </w:r>
      <w:r w:rsidR="00A17A9A" w:rsidRPr="00F01E30">
        <w:rPr>
          <w:rFonts w:ascii="SimSun" w:hAnsi="SimSun" w:hint="eastAsia"/>
          <w:sz w:val="21"/>
        </w:rPr>
        <w:t>上述</w:t>
      </w:r>
      <w:r w:rsidRPr="00F01E30">
        <w:rPr>
          <w:rFonts w:ascii="SimSun" w:hAnsi="SimSun"/>
          <w:sz w:val="21"/>
        </w:rPr>
        <w:t>指导第122段所通过的新指标（</w:t>
      </w:r>
      <w:r w:rsidR="00D4279A" w:rsidRPr="00F01E30">
        <w:rPr>
          <w:rFonts w:ascii="SimSun" w:hAnsi="SimSun" w:hint="eastAsia"/>
          <w:sz w:val="21"/>
        </w:rPr>
        <w:t>“</w:t>
      </w:r>
      <w:r w:rsidR="00EE351D">
        <w:rPr>
          <w:rFonts w:ascii="SimSun" w:hAnsi="SimSun" w:hint="eastAsia"/>
          <w:sz w:val="21"/>
        </w:rPr>
        <w:t>T</w:t>
      </w:r>
      <w:r w:rsidR="00D4279A" w:rsidRPr="00F01E30">
        <w:rPr>
          <w:rFonts w:ascii="SimSun" w:hAnsi="SimSun" w:hint="eastAsia"/>
          <w:sz w:val="21"/>
        </w:rPr>
        <w:t>”</w:t>
      </w:r>
      <w:r w:rsidRPr="00F01E30">
        <w:rPr>
          <w:rFonts w:ascii="SimSun" w:hAnsi="SimSun"/>
          <w:sz w:val="21"/>
        </w:rPr>
        <w:t>和</w:t>
      </w:r>
      <w:r w:rsidR="00D4279A" w:rsidRPr="00F01E30">
        <w:rPr>
          <w:rFonts w:ascii="SimSun" w:hAnsi="SimSun" w:hint="eastAsia"/>
          <w:sz w:val="21"/>
        </w:rPr>
        <w:t>“</w:t>
      </w:r>
      <w:r w:rsidRPr="00F01E30">
        <w:rPr>
          <w:rFonts w:ascii="SimSun" w:hAnsi="SimSun"/>
          <w:sz w:val="21"/>
        </w:rPr>
        <w:t>L</w:t>
      </w:r>
      <w:r w:rsidR="00D4279A" w:rsidRPr="00F01E30">
        <w:rPr>
          <w:rFonts w:ascii="SimSun" w:hAnsi="SimSun" w:hint="eastAsia"/>
          <w:sz w:val="21"/>
        </w:rPr>
        <w:t>”</w:t>
      </w:r>
      <w:r w:rsidRPr="00F01E30">
        <w:rPr>
          <w:rFonts w:ascii="SimSun" w:hAnsi="SimSun"/>
          <w:sz w:val="21"/>
        </w:rPr>
        <w:t>）时，通知各局。</w:t>
      </w:r>
    </w:p>
    <w:p w:rsidR="00E669E9" w:rsidRPr="00F01E30" w:rsidRDefault="00E669E9"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日本在附件44中提交的对第122段的拟议修正</w:t>
      </w:r>
      <w:r w:rsidR="00D4279A" w:rsidRPr="00F01E30">
        <w:rPr>
          <w:rFonts w:ascii="SimSun" w:hAnsi="SimSun" w:hint="eastAsia"/>
          <w:sz w:val="21"/>
        </w:rPr>
        <w:t>，</w:t>
      </w:r>
      <w:r w:rsidRPr="00F01E30">
        <w:rPr>
          <w:rFonts w:ascii="SimSun" w:hAnsi="SimSun"/>
          <w:sz w:val="21"/>
        </w:rPr>
        <w:t>涉及增加一个新的指标</w:t>
      </w:r>
      <w:r w:rsidR="00D4279A" w:rsidRPr="00F01E30">
        <w:rPr>
          <w:rFonts w:ascii="SimSun" w:hAnsi="SimSun" w:hint="eastAsia"/>
          <w:sz w:val="21"/>
        </w:rPr>
        <w:t>“</w:t>
      </w:r>
      <w:r w:rsidRPr="00F01E30">
        <w:rPr>
          <w:rFonts w:ascii="SimSun" w:hAnsi="SimSun"/>
          <w:sz w:val="21"/>
        </w:rPr>
        <w:t>S</w:t>
      </w:r>
      <w:r w:rsidR="00D4279A" w:rsidRPr="00F01E30">
        <w:rPr>
          <w:rFonts w:ascii="SimSun" w:hAnsi="SimSun" w:hint="eastAsia"/>
          <w:sz w:val="21"/>
        </w:rPr>
        <w:t>”</w:t>
      </w:r>
      <w:r w:rsidRPr="00F01E30">
        <w:rPr>
          <w:rFonts w:ascii="SimSun" w:hAnsi="SimSun"/>
          <w:sz w:val="21"/>
        </w:rPr>
        <w:t>，以包括EPO在附件30中所述的假设情况，关于这一拟议修正，委员会商定，在考虑所有业务情况后应设立一个新指标。</w:t>
      </w:r>
      <w:r w:rsidR="00D4279A" w:rsidRPr="00F01E30">
        <w:rPr>
          <w:rFonts w:ascii="SimSun" w:hAnsi="SimSun"/>
          <w:sz w:val="21"/>
        </w:rPr>
        <w:t>就此而言，委员会决定</w:t>
      </w:r>
      <w:r w:rsidR="00D4279A" w:rsidRPr="00F01E30">
        <w:rPr>
          <w:rFonts w:ascii="SimSun" w:hAnsi="SimSun" w:hint="eastAsia"/>
          <w:sz w:val="21"/>
        </w:rPr>
        <w:t>成</w:t>
      </w:r>
      <w:r w:rsidRPr="00F01E30">
        <w:rPr>
          <w:rFonts w:ascii="SimSun" w:hAnsi="SimSun"/>
          <w:sz w:val="21"/>
        </w:rPr>
        <w:t>立一支工作队来审查IPC修订程序当前和今后的做法，并确定各种业务情况，以下各局自愿加入工作队：巴西、瑞典、联合王国、美利坚合众国和EPO。委员会同意其他成员在今后的任何阶段加入工作队。</w:t>
      </w:r>
      <w:r w:rsidR="00AC49AB" w:rsidRPr="00F01E30">
        <w:rPr>
          <w:rFonts w:ascii="SimSun" w:hAnsi="SimSun"/>
          <w:sz w:val="21"/>
        </w:rPr>
        <w:t>为便于讨论，新设了项目CE</w:t>
      </w:r>
      <w:r w:rsidR="00D4279A" w:rsidRPr="00F01E30">
        <w:rPr>
          <w:rFonts w:ascii="SimSun" w:hAnsi="SimSun" w:hint="eastAsia"/>
          <w:sz w:val="21"/>
        </w:rPr>
        <w:t xml:space="preserve"> </w:t>
      </w:r>
      <w:r w:rsidR="00AC49AB" w:rsidRPr="00F01E30">
        <w:rPr>
          <w:rFonts w:ascii="SimSun" w:hAnsi="SimSun"/>
          <w:sz w:val="21"/>
        </w:rPr>
        <w:t>492，由国际局担任报告员。</w:t>
      </w:r>
    </w:p>
    <w:p w:rsidR="00F50D17" w:rsidRPr="00F01E30" w:rsidRDefault="00B851FD"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委员会注意到EPO在项目文件</w:t>
      </w:r>
      <w:r w:rsidR="00126F8F">
        <w:fldChar w:fldCharType="begin"/>
      </w:r>
      <w:r w:rsidR="00126F8F">
        <w:instrText xml:space="preserve"> HYPERLINK "http://web2.wipo.int/ipc-ief/en/project/1588/CE455" </w:instrText>
      </w:r>
      <w:r w:rsidR="00126F8F">
        <w:fldChar w:fldCharType="separate"/>
      </w:r>
      <w:r w:rsidRPr="00F01E30">
        <w:rPr>
          <w:rStyle w:val="Hyperlink"/>
          <w:rFonts w:ascii="SimSun" w:hAnsi="SimSun"/>
          <w:sz w:val="21"/>
        </w:rPr>
        <w:t>CE</w:t>
      </w:r>
      <w:r w:rsidR="00CF7784" w:rsidRPr="00F01E30">
        <w:rPr>
          <w:rStyle w:val="Hyperlink"/>
          <w:rFonts w:ascii="SimSun" w:hAnsi="SimSun" w:hint="eastAsia"/>
          <w:sz w:val="21"/>
        </w:rPr>
        <w:t xml:space="preserve"> </w:t>
      </w:r>
      <w:r w:rsidRPr="00F01E30">
        <w:rPr>
          <w:rStyle w:val="Hyperlink"/>
          <w:rFonts w:ascii="SimSun" w:hAnsi="SimSun"/>
          <w:sz w:val="21"/>
        </w:rPr>
        <w:t>455</w:t>
      </w:r>
      <w:r w:rsidR="00126F8F">
        <w:rPr>
          <w:rStyle w:val="Hyperlink"/>
          <w:rFonts w:ascii="SimSun" w:hAnsi="SimSun"/>
          <w:sz w:val="21"/>
        </w:rPr>
        <w:fldChar w:fldCharType="end"/>
      </w:r>
      <w:r w:rsidRPr="00F01E30">
        <w:rPr>
          <w:rFonts w:ascii="SimSun" w:hAnsi="SimSun"/>
          <w:sz w:val="21"/>
        </w:rPr>
        <w:t>的附件42中提交了一份提案，建议修改定义模板中的</w:t>
      </w:r>
      <w:r w:rsidR="00CF7784" w:rsidRPr="00F01E30">
        <w:rPr>
          <w:rFonts w:ascii="SimSun" w:hAnsi="SimSun" w:hint="eastAsia"/>
          <w:sz w:val="21"/>
        </w:rPr>
        <w:t>“</w:t>
      </w:r>
      <w:r w:rsidRPr="00F01E30">
        <w:rPr>
          <w:rFonts w:ascii="SimSun" w:hAnsi="SimSun"/>
          <w:sz w:val="21"/>
        </w:rPr>
        <w:t>同义词和关键词</w:t>
      </w:r>
      <w:r w:rsidR="00CF7784" w:rsidRPr="00F01E30">
        <w:rPr>
          <w:rFonts w:ascii="SimSun" w:hAnsi="SimSun" w:hint="eastAsia"/>
          <w:sz w:val="21"/>
        </w:rPr>
        <w:t>”</w:t>
      </w:r>
      <w:r w:rsidRPr="00F01E30">
        <w:rPr>
          <w:rFonts w:ascii="SimSun" w:hAnsi="SimSun"/>
          <w:sz w:val="21"/>
        </w:rPr>
        <w:t>一栏的</w:t>
      </w:r>
      <w:r w:rsidR="00CF7784" w:rsidRPr="00F01E30">
        <w:rPr>
          <w:rFonts w:ascii="SimSun" w:hAnsi="SimSun" w:hint="eastAsia"/>
          <w:sz w:val="21"/>
        </w:rPr>
        <w:t>显示</w:t>
      </w:r>
      <w:r w:rsidRPr="00F01E30">
        <w:rPr>
          <w:rFonts w:ascii="SimSun" w:hAnsi="SimSun"/>
          <w:sz w:val="21"/>
        </w:rPr>
        <w:t>方式，</w:t>
      </w:r>
      <w:r w:rsidR="00CF7784" w:rsidRPr="00F01E30">
        <w:rPr>
          <w:rFonts w:ascii="SimSun" w:hAnsi="SimSun" w:hint="eastAsia"/>
          <w:sz w:val="21"/>
        </w:rPr>
        <w:t>即</w:t>
      </w:r>
      <w:r w:rsidRPr="00F01E30">
        <w:rPr>
          <w:rFonts w:ascii="SimSun" w:hAnsi="SimSun"/>
          <w:sz w:val="21"/>
        </w:rPr>
        <w:t>采用管状格式。</w:t>
      </w:r>
      <w:r w:rsidR="00E669E9" w:rsidRPr="00F01E30">
        <w:rPr>
          <w:rFonts w:ascii="SimSun" w:hAnsi="SimSun"/>
          <w:sz w:val="21"/>
        </w:rPr>
        <w:t>委员会通过了对定义模板的拟议修改，并请国际局进一步研究在IPCRMS中落实修改后模板的可行性、该模板与IPC定义主文件的兼容性及其对IPCPUB的影响，并酌情将通过的模板</w:t>
      </w:r>
      <w:r w:rsidR="00CF7784" w:rsidRPr="00F01E30">
        <w:rPr>
          <w:rFonts w:ascii="SimSun" w:hAnsi="SimSun" w:hint="eastAsia"/>
          <w:sz w:val="21"/>
        </w:rPr>
        <w:t>整合到</w:t>
      </w:r>
      <w:r w:rsidR="00E669E9" w:rsidRPr="00F01E30">
        <w:rPr>
          <w:rFonts w:ascii="SimSun" w:hAnsi="SimSun"/>
          <w:sz w:val="21"/>
        </w:rPr>
        <w:t>《IPC修订指导》的附录VI中。</w:t>
      </w:r>
    </w:p>
    <w:p w:rsidR="00F50D17" w:rsidRPr="00F01E30" w:rsidRDefault="007E257D"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再分类状态报告和对于在MCD及IPCRECLASS中尚未再分类的专利文献的处理</w:t>
      </w:r>
    </w:p>
    <w:p w:rsidR="00CC3F7E" w:rsidRPr="00F01E30" w:rsidRDefault="00CC3F7E"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讨论依据项目文件</w:t>
      </w:r>
      <w:r w:rsidR="00126F8F">
        <w:fldChar w:fldCharType="begin"/>
      </w:r>
      <w:r w:rsidR="00126F8F">
        <w:instrText xml:space="preserve"> HYPERLINK "http://web2.wipo.int/ipc-ief/en/project/1097/CE381" </w:instrText>
      </w:r>
      <w:r w:rsidR="00126F8F">
        <w:fldChar w:fldCharType="separate"/>
      </w:r>
      <w:r w:rsidRPr="00F01E30">
        <w:rPr>
          <w:rStyle w:val="Hyperlink"/>
          <w:rFonts w:ascii="SimSun" w:hAnsi="SimSun"/>
          <w:sz w:val="21"/>
        </w:rPr>
        <w:t>CE</w:t>
      </w:r>
      <w:r w:rsidR="00CF7784" w:rsidRPr="00F01E30">
        <w:rPr>
          <w:rStyle w:val="Hyperlink"/>
          <w:rFonts w:ascii="SimSun" w:hAnsi="SimSun" w:hint="eastAsia"/>
          <w:sz w:val="21"/>
        </w:rPr>
        <w:t xml:space="preserve"> </w:t>
      </w:r>
      <w:r w:rsidRPr="00F01E30">
        <w:rPr>
          <w:rStyle w:val="Hyperlink"/>
          <w:rFonts w:ascii="SimSun" w:hAnsi="SimSun"/>
          <w:sz w:val="21"/>
        </w:rPr>
        <w:t>381</w:t>
      </w:r>
      <w:r w:rsidR="00126F8F">
        <w:rPr>
          <w:rStyle w:val="Hyperlink"/>
          <w:rFonts w:ascii="SimSun" w:hAnsi="SimSun"/>
          <w:sz w:val="21"/>
        </w:rPr>
        <w:fldChar w:fldCharType="end"/>
      </w:r>
      <w:r w:rsidRPr="00F01E30">
        <w:rPr>
          <w:rFonts w:ascii="SimSun" w:hAnsi="SimSun"/>
          <w:sz w:val="21"/>
        </w:rPr>
        <w:t>的附件26进行，</w:t>
      </w:r>
      <w:r w:rsidR="00CF7784" w:rsidRPr="00F01E30">
        <w:rPr>
          <w:rFonts w:ascii="SimSun" w:hAnsi="SimSun" w:hint="eastAsia"/>
          <w:sz w:val="21"/>
        </w:rPr>
        <w:t>该附件由国际局编拟，</w:t>
      </w:r>
      <w:r w:rsidRPr="00F01E30">
        <w:rPr>
          <w:rFonts w:ascii="SimSun" w:hAnsi="SimSun"/>
          <w:sz w:val="21"/>
        </w:rPr>
        <w:t>其中载有一份提案，内容</w:t>
      </w:r>
      <w:r w:rsidR="0011719C" w:rsidRPr="00F01E30">
        <w:rPr>
          <w:rFonts w:ascii="SimSun" w:hAnsi="SimSun" w:hint="eastAsia"/>
          <w:sz w:val="21"/>
        </w:rPr>
        <w:t>涉及</w:t>
      </w:r>
      <w:r w:rsidR="00CF7784" w:rsidRPr="00F01E30">
        <w:rPr>
          <w:rFonts w:ascii="SimSun" w:hAnsi="SimSun" w:hint="eastAsia"/>
          <w:sz w:val="21"/>
        </w:rPr>
        <w:t>“</w:t>
      </w:r>
      <w:r w:rsidRPr="00F01E30">
        <w:rPr>
          <w:rFonts w:ascii="SimSun" w:hAnsi="SimSun"/>
          <w:sz w:val="21"/>
        </w:rPr>
        <w:t>对于在MCD及IPCRECLASS中尚未再分类的专利文献的处理</w:t>
      </w:r>
      <w:r w:rsidR="00CF7784" w:rsidRPr="00F01E30">
        <w:rPr>
          <w:rFonts w:ascii="SimSun" w:hAnsi="SimSun" w:hint="eastAsia"/>
          <w:sz w:val="21"/>
        </w:rPr>
        <w:t>”</w:t>
      </w:r>
      <w:r w:rsidR="00CF7784" w:rsidRPr="00F01E30">
        <w:rPr>
          <w:rFonts w:ascii="SimSun" w:hAnsi="SimSun"/>
          <w:sz w:val="21"/>
        </w:rPr>
        <w:t>，</w:t>
      </w:r>
      <w:r w:rsidR="00CF7784" w:rsidRPr="00F01E30">
        <w:rPr>
          <w:rFonts w:ascii="SimSun" w:hAnsi="SimSun" w:hint="eastAsia"/>
          <w:sz w:val="21"/>
        </w:rPr>
        <w:t>和一份来自</w:t>
      </w:r>
      <w:r w:rsidRPr="00F01E30">
        <w:rPr>
          <w:rFonts w:ascii="SimSun" w:hAnsi="SimSun"/>
          <w:sz w:val="21"/>
        </w:rPr>
        <w:t>IPCRECLASS的统计报</w:t>
      </w:r>
      <w:r w:rsidR="00F01E30">
        <w:rPr>
          <w:rFonts w:ascii="SimSun" w:hAnsi="SimSun"/>
          <w:sz w:val="21"/>
        </w:rPr>
        <w:t>‍</w:t>
      </w:r>
      <w:r w:rsidRPr="00F01E30">
        <w:rPr>
          <w:rFonts w:ascii="SimSun" w:hAnsi="SimSun"/>
          <w:sz w:val="21"/>
        </w:rPr>
        <w:t>告。</w:t>
      </w:r>
    </w:p>
    <w:p w:rsidR="00CC3F7E" w:rsidRPr="00F01E30" w:rsidRDefault="00CC3F7E"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委员会注意到，由于MCD和IPCRECLASS之间的同步仍在进行，因此IPC</w:t>
      </w:r>
      <w:r w:rsidR="008C3EEF" w:rsidRPr="00F01E30">
        <w:rPr>
          <w:rFonts w:ascii="SimSun" w:hAnsi="SimSun" w:hint="eastAsia"/>
          <w:sz w:val="21"/>
        </w:rPr>
        <w:t xml:space="preserve"> </w:t>
      </w:r>
      <w:r w:rsidRPr="00F01E30">
        <w:rPr>
          <w:rFonts w:ascii="SimSun" w:hAnsi="SimSun"/>
          <w:sz w:val="21"/>
        </w:rPr>
        <w:t>2009.01版、2010.01版和2011.01版的再分类状态自上届会议以来基本没有变化。委员会再次邀请国际局在同步一旦可以视为完成时，编拟一份更新的再分类状态报告，委员会将据此以电子方式决定，能否在其下届会议前就实施2009.01版、2010.01版和2011.01版的默认传送。</w:t>
      </w:r>
    </w:p>
    <w:p w:rsidR="007E257D" w:rsidRPr="00F01E30" w:rsidRDefault="007E257D"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EPO向WIPO移交工作任务单的管理</w:t>
      </w:r>
    </w:p>
    <w:p w:rsidR="00C11295" w:rsidRPr="00F01E30" w:rsidRDefault="00C11295"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秘书处与EPO一道介绍了有关最新情况，包括EPO向WIPO移交工作任务单的管理，和相关的IPC工作任务单管理（IPCWLM）项目，尤其介绍了EPO和WIPO就再分类积压问题开展的联合研究的结果，还介绍了WIPO预计在2018年首次为IPC-2019.01版制作IPC再分类工作任务单的计划。</w:t>
      </w:r>
    </w:p>
    <w:p w:rsidR="00C11295" w:rsidRPr="00F01E30" w:rsidRDefault="009B3972" w:rsidP="00F01E30">
      <w:pPr>
        <w:pStyle w:val="ONUME"/>
        <w:tabs>
          <w:tab w:val="clear" w:pos="567"/>
        </w:tabs>
        <w:overflowPunct w:val="0"/>
        <w:spacing w:afterLines="50" w:after="120" w:line="340" w:lineRule="atLeast"/>
        <w:jc w:val="both"/>
        <w:rPr>
          <w:rStyle w:val="Hyperlink"/>
          <w:rFonts w:ascii="SimSun" w:hAnsi="SimSun"/>
          <w:color w:val="auto"/>
          <w:sz w:val="21"/>
          <w:u w:val="none"/>
        </w:rPr>
      </w:pPr>
      <w:r w:rsidRPr="00F01E30">
        <w:rPr>
          <w:rStyle w:val="Hyperlink"/>
          <w:rFonts w:ascii="SimSun" w:hAnsi="SimSun"/>
          <w:color w:val="auto"/>
          <w:sz w:val="21"/>
          <w:u w:val="none"/>
        </w:rPr>
        <w:lastRenderedPageBreak/>
        <w:t>委员会决定，在相应的同步被</w:t>
      </w:r>
      <w:r w:rsidRPr="00F01E30">
        <w:rPr>
          <w:sz w:val="21"/>
        </w:rPr>
        <w:t>视为</w:t>
      </w:r>
      <w:r w:rsidRPr="00F01E30">
        <w:rPr>
          <w:rStyle w:val="Hyperlink"/>
          <w:rFonts w:ascii="SimSun" w:hAnsi="SimSun"/>
          <w:color w:val="auto"/>
          <w:sz w:val="21"/>
          <w:u w:val="none"/>
        </w:rPr>
        <w:t>正确之前（见上文第26段），不再考虑对基于IPCRECLASS中的IPC再分类统计数据进行默认传送。</w:t>
      </w:r>
    </w:p>
    <w:p w:rsidR="009B3972" w:rsidRPr="00F01E30" w:rsidRDefault="009B3972" w:rsidP="00F01E30">
      <w:pPr>
        <w:pStyle w:val="ONUME"/>
        <w:tabs>
          <w:tab w:val="clear" w:pos="567"/>
        </w:tabs>
        <w:overflowPunct w:val="0"/>
        <w:spacing w:afterLines="50" w:after="120" w:line="340" w:lineRule="atLeast"/>
        <w:jc w:val="both"/>
        <w:rPr>
          <w:rStyle w:val="Hyperlink"/>
          <w:rFonts w:ascii="SimSun" w:hAnsi="SimSun"/>
          <w:color w:val="auto"/>
          <w:sz w:val="21"/>
          <w:u w:val="none"/>
        </w:rPr>
      </w:pPr>
      <w:r w:rsidRPr="00F01E30">
        <w:rPr>
          <w:rStyle w:val="Hyperlink"/>
          <w:rFonts w:ascii="SimSun" w:hAnsi="SimSun"/>
          <w:color w:val="auto"/>
          <w:sz w:val="21"/>
          <w:u w:val="none"/>
        </w:rPr>
        <w:t>委员会还决定成立一个工作队，专门负责IPCWLMS相关业务需求的具体方面。必要时，工作队将编拟一份提案，提交委员会以电子方式</w:t>
      </w:r>
      <w:r w:rsidRPr="00F01E30">
        <w:rPr>
          <w:sz w:val="21"/>
        </w:rPr>
        <w:t>批准</w:t>
      </w:r>
      <w:r w:rsidRPr="00F01E30">
        <w:rPr>
          <w:rStyle w:val="Hyperlink"/>
          <w:rFonts w:ascii="SimSun" w:hAnsi="SimSun"/>
          <w:color w:val="auto"/>
          <w:sz w:val="21"/>
          <w:u w:val="none"/>
        </w:rPr>
        <w:t>。委员会还决定把上文第23段中所述的工作队与该工作队合并。</w:t>
      </w:r>
    </w:p>
    <w:p w:rsidR="007E257D" w:rsidRPr="00F01E30" w:rsidRDefault="007E257D"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关于IPC相关信息技术系统的报告</w:t>
      </w:r>
    </w:p>
    <w:p w:rsidR="007E257D" w:rsidRPr="00F01E30" w:rsidRDefault="007E257D"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委员会注意到秘书处就支持IPC的相关信息技术的进展情况所作的报告，尤其是(1)完成了向新验证法和已完成的WIPO身份管理系统（</w:t>
      </w:r>
      <w:proofErr w:type="spellStart"/>
      <w:r w:rsidRPr="00F01E30">
        <w:rPr>
          <w:rFonts w:ascii="SimSun" w:hAnsi="SimSun"/>
          <w:sz w:val="21"/>
        </w:rPr>
        <w:t>WIM</w:t>
      </w:r>
      <w:proofErr w:type="spellEnd"/>
      <w:r w:rsidR="0011719C" w:rsidRPr="00F01E30">
        <w:rPr>
          <w:rFonts w:ascii="SimSun" w:hAnsi="SimSun"/>
          <w:sz w:val="21"/>
        </w:rPr>
        <w:t>）的迁移；</w:t>
      </w:r>
      <w:r w:rsidR="0011719C" w:rsidRPr="00F01E30">
        <w:rPr>
          <w:rFonts w:ascii="SimSun" w:hAnsi="SimSun" w:hint="eastAsia"/>
          <w:sz w:val="21"/>
        </w:rPr>
        <w:t>(2)</w:t>
      </w:r>
      <w:r w:rsidRPr="00F01E30">
        <w:rPr>
          <w:rFonts w:ascii="SimSun" w:hAnsi="SimSun"/>
          <w:sz w:val="21"/>
        </w:rPr>
        <w:t>为重新启动IPC</w:t>
      </w:r>
      <w:r w:rsidR="0011719C" w:rsidRPr="00F01E30">
        <w:rPr>
          <w:rFonts w:ascii="SimSun" w:hAnsi="SimSun"/>
          <w:sz w:val="21"/>
        </w:rPr>
        <w:t>自动文本分类领域及其潜在应用的研究所</w:t>
      </w:r>
      <w:r w:rsidR="0011719C" w:rsidRPr="00F01E30">
        <w:rPr>
          <w:rFonts w:ascii="SimSun" w:hAnsi="SimSun" w:hint="eastAsia"/>
          <w:sz w:val="21"/>
        </w:rPr>
        <w:t>做</w:t>
      </w:r>
      <w:r w:rsidRPr="00F01E30">
        <w:rPr>
          <w:rFonts w:ascii="SimSun" w:hAnsi="SimSun"/>
          <w:sz w:val="21"/>
        </w:rPr>
        <w:t>的筹备工作取得初步成果；</w:t>
      </w:r>
      <w:r w:rsidR="0011719C" w:rsidRPr="00F01E30">
        <w:rPr>
          <w:rFonts w:ascii="SimSun" w:hAnsi="SimSun" w:hint="eastAsia"/>
          <w:sz w:val="21"/>
        </w:rPr>
        <w:t>(3)</w:t>
      </w:r>
      <w:r w:rsidRPr="00F01E30">
        <w:rPr>
          <w:rFonts w:ascii="SimSun" w:hAnsi="SimSun"/>
          <w:sz w:val="21"/>
        </w:rPr>
        <w:t>关于</w:t>
      </w:r>
      <w:proofErr w:type="spellStart"/>
      <w:r w:rsidRPr="00F01E30">
        <w:rPr>
          <w:rFonts w:ascii="SimSun" w:hAnsi="SimSun"/>
          <w:sz w:val="21"/>
        </w:rPr>
        <w:t>IPCPUB</w:t>
      </w:r>
      <w:proofErr w:type="spellEnd"/>
      <w:r w:rsidRPr="00F01E30">
        <w:rPr>
          <w:rFonts w:ascii="SimSun" w:hAnsi="SimSun"/>
          <w:sz w:val="21"/>
        </w:rPr>
        <w:t xml:space="preserve"> 7平台最新进展的状态，包括存档模式；</w:t>
      </w:r>
      <w:r w:rsidR="0011719C" w:rsidRPr="00F01E30">
        <w:rPr>
          <w:rFonts w:ascii="SimSun" w:hAnsi="SimSun" w:hint="eastAsia"/>
          <w:sz w:val="21"/>
        </w:rPr>
        <w:t>(4)</w:t>
      </w:r>
      <w:r w:rsidRPr="00F01E30">
        <w:rPr>
          <w:rFonts w:ascii="SimSun" w:hAnsi="SimSun"/>
          <w:sz w:val="21"/>
        </w:rPr>
        <w:t>各局所提改进建议的清单（见项目文件</w:t>
      </w:r>
      <w:hyperlink r:id="rId9" w:history="1">
        <w:r w:rsidRPr="00F01E30">
          <w:rPr>
            <w:rStyle w:val="Hyperlink"/>
            <w:rFonts w:ascii="SimSun" w:hAnsi="SimSun"/>
            <w:sz w:val="21"/>
          </w:rPr>
          <w:t>CE 447</w:t>
        </w:r>
      </w:hyperlink>
      <w:r w:rsidRPr="00F01E30">
        <w:rPr>
          <w:rFonts w:ascii="SimSun" w:hAnsi="SimSun"/>
          <w:sz w:val="21"/>
        </w:rPr>
        <w:t>的附件21）；以及</w:t>
      </w:r>
      <w:r w:rsidR="0011719C" w:rsidRPr="00F01E30">
        <w:rPr>
          <w:rFonts w:ascii="SimSun" w:hAnsi="SimSun" w:hint="eastAsia"/>
          <w:sz w:val="21"/>
        </w:rPr>
        <w:t>(5)</w:t>
      </w:r>
      <w:r w:rsidRPr="00F01E30">
        <w:rPr>
          <w:rFonts w:ascii="SimSun" w:hAnsi="SimSun"/>
          <w:sz w:val="21"/>
        </w:rPr>
        <w:t>预计在2016年第二季度推出相应的</w:t>
      </w:r>
      <w:r w:rsidR="00E25BFE" w:rsidRPr="00F01E30">
        <w:rPr>
          <w:rFonts w:ascii="SimSun" w:hAnsi="SimSun"/>
          <w:sz w:val="21"/>
        </w:rPr>
        <w:t>IPCPUB软件包</w:t>
      </w:r>
      <w:r w:rsidR="00E25BFE" w:rsidRPr="00F01E30">
        <w:rPr>
          <w:rFonts w:ascii="SimSun" w:hAnsi="SimSun" w:hint="eastAsia"/>
          <w:sz w:val="21"/>
        </w:rPr>
        <w:t>，用于公布各国</w:t>
      </w:r>
      <w:r w:rsidRPr="00F01E30">
        <w:rPr>
          <w:rFonts w:ascii="SimSun" w:hAnsi="SimSun"/>
          <w:sz w:val="21"/>
        </w:rPr>
        <w:t>翻译</w:t>
      </w:r>
      <w:r w:rsidR="00E25BFE" w:rsidRPr="00F01E30">
        <w:rPr>
          <w:rFonts w:ascii="SimSun" w:hAnsi="SimSun" w:hint="eastAsia"/>
          <w:sz w:val="21"/>
        </w:rPr>
        <w:t>的IPC</w:t>
      </w:r>
      <w:r w:rsidRPr="00F01E30">
        <w:rPr>
          <w:rFonts w:ascii="SimSun" w:hAnsi="SimSun"/>
          <w:sz w:val="21"/>
        </w:rPr>
        <w:t>。</w:t>
      </w:r>
    </w:p>
    <w:p w:rsidR="009B3972" w:rsidRPr="00F01E30" w:rsidRDefault="009B3972"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委员会注意到该报告，并请国际局将IPC警示的实质范围扩大到非限制性参见，</w:t>
      </w:r>
      <w:r w:rsidR="0011719C" w:rsidRPr="00F01E30">
        <w:rPr>
          <w:rFonts w:ascii="SimSun" w:hAnsi="SimSun" w:hint="eastAsia"/>
          <w:sz w:val="21"/>
        </w:rPr>
        <w:t>并</w:t>
      </w:r>
      <w:r w:rsidRPr="00F01E30">
        <w:rPr>
          <w:rFonts w:ascii="SimSun" w:hAnsi="SimSun"/>
          <w:sz w:val="21"/>
        </w:rPr>
        <w:t>研究使用信息技术自动化帮助其制作和出版的可能性。</w:t>
      </w:r>
    </w:p>
    <w:p w:rsidR="007E257D" w:rsidRPr="00F01E30" w:rsidRDefault="007E257D"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IPC修订管理（IPCRM）项目</w:t>
      </w:r>
    </w:p>
    <w:p w:rsidR="00A368D5" w:rsidRPr="00F01E30" w:rsidRDefault="00A368D5"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秘书处介绍了IPC修订管理解决方案（IPCRMS）的最新改进，尤其</w:t>
      </w:r>
      <w:r w:rsidR="0011719C" w:rsidRPr="00F01E30">
        <w:rPr>
          <w:rFonts w:ascii="SimSun" w:hAnsi="SimSun" w:hint="eastAsia"/>
          <w:sz w:val="21"/>
        </w:rPr>
        <w:t>指出</w:t>
      </w:r>
      <w:r w:rsidRPr="00F01E30">
        <w:rPr>
          <w:rFonts w:ascii="SimSun" w:hAnsi="SimSun"/>
          <w:sz w:val="21"/>
        </w:rPr>
        <w:t>在修订项目的报告员和翻译在生成和翻译新的IPC条目时，技术方面的灵活性得到了改善。</w:t>
      </w:r>
    </w:p>
    <w:p w:rsidR="005F321B" w:rsidRPr="00F01E30" w:rsidRDefault="0011719C"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国际局通</w:t>
      </w:r>
      <w:r w:rsidRPr="00F01E30">
        <w:rPr>
          <w:rFonts w:ascii="SimSun" w:hAnsi="SimSun" w:hint="eastAsia"/>
          <w:sz w:val="21"/>
        </w:rPr>
        <w:t>报</w:t>
      </w:r>
      <w:r w:rsidR="005F321B" w:rsidRPr="00F01E30">
        <w:rPr>
          <w:rFonts w:ascii="SimSun" w:hAnsi="SimSun"/>
          <w:sz w:val="21"/>
        </w:rPr>
        <w:t>说，关于IPCRMS的使用，可以按需提供量身定制的培训。</w:t>
      </w:r>
    </w:p>
    <w:p w:rsidR="00A368D5" w:rsidRPr="00F01E30" w:rsidRDefault="00A368D5"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关于由IPCRMS生成的有效性文档，国际局确认，按委员会在第四十八届会议上所商定的，继续以目前的格式生成有效性文档</w:t>
      </w:r>
      <w:r w:rsidR="00F77ACA">
        <w:rPr>
          <w:rFonts w:ascii="SimSun" w:hAnsi="SimSun" w:hint="eastAsia"/>
          <w:sz w:val="21"/>
        </w:rPr>
        <w:t>（见文件IPC/CE/48/2第49段）</w:t>
      </w:r>
      <w:r w:rsidRPr="00F01E30">
        <w:rPr>
          <w:rFonts w:ascii="SimSun" w:hAnsi="SimSun"/>
          <w:sz w:val="21"/>
        </w:rPr>
        <w:t>。</w:t>
      </w:r>
    </w:p>
    <w:p w:rsidR="00B61631" w:rsidRPr="00F01E30" w:rsidRDefault="00A368D5"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再次邀请使用有效性文档的各局对其在信息技术系统中的使用状态进行调查，并在委员会下届会议上对此进行报告。考虑到各局需要时间来对它们的信息技术系统进行调整，因此在生成有效性文档的过程中将不必改正可能在历史部分找到的错误。</w:t>
      </w:r>
    </w:p>
    <w:p w:rsidR="007E257D" w:rsidRPr="00F01E30" w:rsidRDefault="007E257D" w:rsidP="00F01E30">
      <w:pPr>
        <w:pStyle w:val="Heading1"/>
        <w:spacing w:beforeLines="100" w:afterLines="50" w:after="120" w:line="340" w:lineRule="atLeast"/>
        <w:rPr>
          <w:rFonts w:ascii="SimHei" w:eastAsia="SimHei" w:hAnsi="SimHei"/>
          <w:b w:val="0"/>
          <w:sz w:val="21"/>
        </w:rPr>
      </w:pPr>
      <w:r w:rsidRPr="00F01E30">
        <w:rPr>
          <w:rFonts w:ascii="SimHei" w:eastAsia="SimHei" w:hAnsi="SimHei"/>
          <w:b w:val="0"/>
          <w:sz w:val="21"/>
        </w:rPr>
        <w:t>PCT工作组正在进行的关于在国际申请中使用国家分类信息的讨论简报</w:t>
      </w:r>
    </w:p>
    <w:p w:rsidR="008A092F" w:rsidRPr="00F01E30" w:rsidRDefault="008A092F"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国际局依据文件PCT/MIA/24/12和PCT/MIA/24/15，口头介绍了正在讨论的在国际申请中使用国家分类号的当前情况，并提及以下国家分类的重要方面，例如：(1)与IPC的一致性</w:t>
      </w:r>
      <w:r w:rsidR="00B46543" w:rsidRPr="00F01E30">
        <w:rPr>
          <w:rFonts w:ascii="SimSun" w:hAnsi="SimSun" w:hint="eastAsia"/>
          <w:sz w:val="21"/>
        </w:rPr>
        <w:t>；(2)</w:t>
      </w:r>
      <w:r w:rsidRPr="00F01E30">
        <w:rPr>
          <w:rFonts w:ascii="SimSun" w:hAnsi="SimSun"/>
          <w:sz w:val="21"/>
        </w:rPr>
        <w:t>使用的广泛性</w:t>
      </w:r>
      <w:r w:rsidR="00B46543" w:rsidRPr="00F01E30">
        <w:rPr>
          <w:rFonts w:ascii="SimSun" w:hAnsi="SimSun" w:hint="eastAsia"/>
          <w:sz w:val="21"/>
        </w:rPr>
        <w:t>；</w:t>
      </w:r>
      <w:r w:rsidRPr="00F01E30">
        <w:rPr>
          <w:rFonts w:ascii="SimSun" w:hAnsi="SimSun"/>
          <w:sz w:val="21"/>
        </w:rPr>
        <w:t>和(3)管理的透明度。</w:t>
      </w:r>
    </w:p>
    <w:p w:rsidR="00F62E68" w:rsidRPr="00F01E30" w:rsidRDefault="00F62E68" w:rsidP="00F01E30">
      <w:pPr>
        <w:pStyle w:val="ONUME"/>
        <w:tabs>
          <w:tab w:val="clear" w:pos="567"/>
        </w:tabs>
        <w:overflowPunct w:val="0"/>
        <w:spacing w:afterLines="50" w:after="120" w:line="340" w:lineRule="atLeast"/>
        <w:jc w:val="both"/>
        <w:rPr>
          <w:rFonts w:ascii="SimSun" w:hAnsi="SimSun"/>
          <w:sz w:val="21"/>
        </w:rPr>
      </w:pPr>
      <w:r w:rsidRPr="00F01E30">
        <w:rPr>
          <w:rFonts w:ascii="SimSun" w:hAnsi="SimSun"/>
          <w:sz w:val="21"/>
        </w:rPr>
        <w:t>委员会注意到这一问题，并要求获悉今后进展。</w:t>
      </w:r>
    </w:p>
    <w:p w:rsidR="00F01E30" w:rsidRDefault="00F77ACA" w:rsidP="00F01E30">
      <w:pPr>
        <w:pStyle w:val="Endofdocument"/>
        <w:spacing w:afterLines="50" w:after="120" w:line="340" w:lineRule="atLeast"/>
        <w:rPr>
          <w:rFonts w:ascii="KaiTi" w:eastAsia="KaiTi" w:hAnsi="KaiTi"/>
          <w:sz w:val="21"/>
        </w:rPr>
      </w:pPr>
      <w:r>
        <w:rPr>
          <w:rFonts w:ascii="KaiTi" w:eastAsia="KaiTi" w:hAnsi="KaiTi" w:hint="eastAsia"/>
          <w:sz w:val="21"/>
        </w:rPr>
        <w:t>39.</w:t>
      </w:r>
      <w:r>
        <w:rPr>
          <w:rFonts w:ascii="KaiTi" w:eastAsia="KaiTi" w:hAnsi="KaiTi" w:hint="eastAsia"/>
          <w:sz w:val="21"/>
        </w:rPr>
        <w:tab/>
      </w:r>
      <w:r w:rsidRPr="00F77ACA">
        <w:rPr>
          <w:rFonts w:ascii="KaiTi" w:eastAsia="KaiTi" w:hAnsi="KaiTi" w:hint="eastAsia"/>
          <w:sz w:val="21"/>
        </w:rPr>
        <w:t>专家委员会于</w:t>
      </w:r>
      <w:r>
        <w:rPr>
          <w:rFonts w:ascii="KaiTi" w:eastAsia="KaiTi" w:hAnsi="KaiTi" w:hint="eastAsia"/>
          <w:sz w:val="21"/>
        </w:rPr>
        <w:t>2017</w:t>
      </w:r>
      <w:r w:rsidRPr="00F77ACA">
        <w:rPr>
          <w:rFonts w:ascii="KaiTi" w:eastAsia="KaiTi" w:hAnsi="KaiTi" w:hint="eastAsia"/>
          <w:sz w:val="21"/>
        </w:rPr>
        <w:t>年3月</w:t>
      </w:r>
      <w:r>
        <w:rPr>
          <w:rFonts w:ascii="KaiTi" w:eastAsia="KaiTi" w:hAnsi="KaiTi" w:hint="eastAsia"/>
          <w:sz w:val="21"/>
        </w:rPr>
        <w:t>24</w:t>
      </w:r>
      <w:r w:rsidRPr="00F77ACA">
        <w:rPr>
          <w:rFonts w:ascii="KaiTi" w:eastAsia="KaiTi" w:hAnsi="KaiTi" w:hint="eastAsia"/>
          <w:sz w:val="21"/>
        </w:rPr>
        <w:t>日以电子形式一致通过了本报告。</w:t>
      </w:r>
    </w:p>
    <w:p w:rsidR="00F77ACA" w:rsidRPr="00F77ACA" w:rsidRDefault="00F77ACA" w:rsidP="00F01E30">
      <w:pPr>
        <w:pStyle w:val="Endofdocument"/>
        <w:spacing w:afterLines="50" w:after="120" w:line="340" w:lineRule="atLeast"/>
        <w:rPr>
          <w:rFonts w:ascii="KaiTi" w:eastAsia="KaiTi" w:hAnsi="KaiTi"/>
          <w:sz w:val="21"/>
        </w:rPr>
      </w:pPr>
    </w:p>
    <w:p w:rsidR="00C56A9B" w:rsidRPr="00F01E30" w:rsidRDefault="00C56A9B" w:rsidP="00F01E30">
      <w:pPr>
        <w:pStyle w:val="Endofdocument"/>
        <w:spacing w:afterLines="50" w:after="120" w:line="340" w:lineRule="atLeast"/>
        <w:rPr>
          <w:rFonts w:ascii="KaiTi" w:eastAsia="KaiTi" w:hAnsi="KaiTi"/>
          <w:sz w:val="21"/>
        </w:rPr>
      </w:pPr>
      <w:r w:rsidRPr="00F01E30">
        <w:rPr>
          <w:rFonts w:ascii="KaiTi" w:eastAsia="KaiTi" w:hAnsi="KaiTi"/>
          <w:sz w:val="21"/>
        </w:rPr>
        <w:t>[后接附件]</w:t>
      </w:r>
    </w:p>
    <w:sectPr w:rsidR="00C56A9B" w:rsidRPr="00F01E30" w:rsidSect="00F01E3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8C" w:rsidRDefault="0003148C">
      <w:r>
        <w:separator/>
      </w:r>
    </w:p>
  </w:endnote>
  <w:endnote w:type="continuationSeparator" w:id="0">
    <w:p w:rsidR="0003148C" w:rsidRDefault="0003148C" w:rsidP="003B38C1">
      <w:r>
        <w:separator/>
      </w:r>
    </w:p>
    <w:p w:rsidR="0003148C" w:rsidRPr="003B38C1" w:rsidRDefault="0003148C" w:rsidP="003B38C1">
      <w:pPr>
        <w:spacing w:after="60"/>
        <w:rPr>
          <w:sz w:val="17"/>
        </w:rPr>
      </w:pPr>
      <w:r>
        <w:rPr>
          <w:sz w:val="17"/>
        </w:rPr>
        <w:t>[Endnote continued from previous page]</w:t>
      </w:r>
    </w:p>
  </w:endnote>
  <w:endnote w:type="continuationNotice" w:id="1">
    <w:p w:rsidR="0003148C" w:rsidRPr="003B38C1" w:rsidRDefault="000314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8C" w:rsidRDefault="0003148C">
      <w:r>
        <w:separator/>
      </w:r>
    </w:p>
  </w:footnote>
  <w:footnote w:type="continuationSeparator" w:id="0">
    <w:p w:rsidR="0003148C" w:rsidRDefault="0003148C" w:rsidP="008B60B2">
      <w:r>
        <w:separator/>
      </w:r>
    </w:p>
    <w:p w:rsidR="0003148C" w:rsidRPr="00ED77FB" w:rsidRDefault="0003148C" w:rsidP="008B60B2">
      <w:pPr>
        <w:spacing w:after="60"/>
        <w:rPr>
          <w:sz w:val="17"/>
          <w:szCs w:val="17"/>
        </w:rPr>
      </w:pPr>
      <w:r w:rsidRPr="00ED77FB">
        <w:rPr>
          <w:sz w:val="17"/>
          <w:szCs w:val="17"/>
        </w:rPr>
        <w:t>[</w:t>
      </w:r>
      <w:r w:rsidRPr="00ED77FB">
        <w:rPr>
          <w:sz w:val="17"/>
          <w:szCs w:val="17"/>
        </w:rPr>
        <w:t>附件和文件完</w:t>
      </w:r>
      <w:r w:rsidRPr="00ED77FB">
        <w:rPr>
          <w:sz w:val="17"/>
          <w:szCs w:val="17"/>
        </w:rPr>
        <w:t>]</w:t>
      </w:r>
    </w:p>
  </w:footnote>
  <w:footnote w:type="continuationNotice" w:id="1">
    <w:p w:rsidR="0003148C" w:rsidRPr="00ED77FB" w:rsidRDefault="000314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01E30" w:rsidRDefault="00F50D17" w:rsidP="00477D6B">
    <w:pPr>
      <w:jc w:val="right"/>
      <w:rPr>
        <w:rFonts w:ascii="SimSun" w:hAnsi="SimSun"/>
        <w:sz w:val="21"/>
      </w:rPr>
    </w:pPr>
    <w:bookmarkStart w:id="6" w:name="Code2"/>
    <w:bookmarkEnd w:id="6"/>
    <w:r w:rsidRPr="00F01E30">
      <w:rPr>
        <w:rFonts w:ascii="SimSun" w:hAnsi="SimSun"/>
        <w:sz w:val="21"/>
      </w:rPr>
      <w:t>IPC/CE/49/2</w:t>
    </w:r>
  </w:p>
  <w:p w:rsidR="00EC4E49" w:rsidRPr="00F01E30" w:rsidRDefault="00B05932" w:rsidP="00477D6B">
    <w:pPr>
      <w:jc w:val="right"/>
      <w:rPr>
        <w:rFonts w:ascii="SimSun" w:hAnsi="SimSun"/>
        <w:sz w:val="21"/>
      </w:rPr>
    </w:pPr>
    <w:r w:rsidRPr="00F01E30">
      <w:rPr>
        <w:rFonts w:ascii="SimSun" w:hAnsi="SimSun" w:hint="eastAsia"/>
        <w:sz w:val="21"/>
      </w:rPr>
      <w:t>第</w:t>
    </w:r>
    <w:r w:rsidR="00EC4E49" w:rsidRPr="00F01E30">
      <w:rPr>
        <w:rFonts w:ascii="SimSun" w:hAnsi="SimSun"/>
        <w:sz w:val="21"/>
      </w:rPr>
      <w:fldChar w:fldCharType="begin"/>
    </w:r>
    <w:r w:rsidR="00EC4E49" w:rsidRPr="00F01E30">
      <w:rPr>
        <w:rFonts w:ascii="SimSun" w:hAnsi="SimSun"/>
        <w:sz w:val="21"/>
      </w:rPr>
      <w:instrText xml:space="preserve"> PAGE  \* MERGEFORMAT </w:instrText>
    </w:r>
    <w:r w:rsidR="00EC4E49" w:rsidRPr="00F01E30">
      <w:rPr>
        <w:rFonts w:ascii="SimSun" w:hAnsi="SimSun"/>
        <w:sz w:val="21"/>
      </w:rPr>
      <w:fldChar w:fldCharType="separate"/>
    </w:r>
    <w:r w:rsidR="00126F8F">
      <w:rPr>
        <w:rFonts w:ascii="SimSun" w:hAnsi="SimSun"/>
        <w:noProof/>
        <w:sz w:val="21"/>
      </w:rPr>
      <w:t>4</w:t>
    </w:r>
    <w:r w:rsidR="00EC4E49" w:rsidRPr="00F01E30">
      <w:rPr>
        <w:rFonts w:ascii="SimSun" w:hAnsi="SimSun"/>
        <w:sz w:val="21"/>
      </w:rPr>
      <w:fldChar w:fldCharType="end"/>
    </w:r>
    <w:r w:rsidRPr="00F01E30">
      <w:rPr>
        <w:rFonts w:ascii="SimSun" w:hAnsi="SimSun" w:hint="eastAsia"/>
        <w:sz w:val="21"/>
      </w:rPr>
      <w:t>页</w:t>
    </w:r>
  </w:p>
  <w:p w:rsidR="009A343B" w:rsidRPr="00F01E30" w:rsidRDefault="009A343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7D68EA"/>
    <w:multiLevelType w:val="hybridMultilevel"/>
    <w:tmpl w:val="4A086F58"/>
    <w:lvl w:ilvl="0" w:tplc="04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862EDE"/>
    <w:multiLevelType w:val="multilevel"/>
    <w:tmpl w:val="DF5E97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2CF60EE4"/>
    <w:multiLevelType w:val="hybridMultilevel"/>
    <w:tmpl w:val="072A3A1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17"/>
    <w:rsid w:val="0003148C"/>
    <w:rsid w:val="00043CAA"/>
    <w:rsid w:val="00075432"/>
    <w:rsid w:val="00086F87"/>
    <w:rsid w:val="000968ED"/>
    <w:rsid w:val="000F5E56"/>
    <w:rsid w:val="00113C8F"/>
    <w:rsid w:val="0011719C"/>
    <w:rsid w:val="00126F8F"/>
    <w:rsid w:val="001362EE"/>
    <w:rsid w:val="001438CC"/>
    <w:rsid w:val="00154EFC"/>
    <w:rsid w:val="001832A6"/>
    <w:rsid w:val="001C264C"/>
    <w:rsid w:val="001C4437"/>
    <w:rsid w:val="001D59CF"/>
    <w:rsid w:val="00202E76"/>
    <w:rsid w:val="0021217E"/>
    <w:rsid w:val="0023456F"/>
    <w:rsid w:val="002634C4"/>
    <w:rsid w:val="002928D3"/>
    <w:rsid w:val="002D2D04"/>
    <w:rsid w:val="002F1FE6"/>
    <w:rsid w:val="002F4E68"/>
    <w:rsid w:val="00312F7F"/>
    <w:rsid w:val="00341461"/>
    <w:rsid w:val="00344C71"/>
    <w:rsid w:val="00346DB9"/>
    <w:rsid w:val="00361450"/>
    <w:rsid w:val="00364C98"/>
    <w:rsid w:val="003673CF"/>
    <w:rsid w:val="003845C1"/>
    <w:rsid w:val="003A6F89"/>
    <w:rsid w:val="003B38C1"/>
    <w:rsid w:val="003D449B"/>
    <w:rsid w:val="00423E3E"/>
    <w:rsid w:val="00427AF4"/>
    <w:rsid w:val="00436C09"/>
    <w:rsid w:val="004528F0"/>
    <w:rsid w:val="004647DA"/>
    <w:rsid w:val="00474062"/>
    <w:rsid w:val="00477D6B"/>
    <w:rsid w:val="004A0D78"/>
    <w:rsid w:val="004D4FB5"/>
    <w:rsid w:val="005019FF"/>
    <w:rsid w:val="00505957"/>
    <w:rsid w:val="0053057A"/>
    <w:rsid w:val="00560A29"/>
    <w:rsid w:val="005C6649"/>
    <w:rsid w:val="005F321B"/>
    <w:rsid w:val="00605827"/>
    <w:rsid w:val="00610D78"/>
    <w:rsid w:val="00646050"/>
    <w:rsid w:val="006713CA"/>
    <w:rsid w:val="00676C5C"/>
    <w:rsid w:val="006827A4"/>
    <w:rsid w:val="006A298C"/>
    <w:rsid w:val="006B5D7D"/>
    <w:rsid w:val="006C3124"/>
    <w:rsid w:val="006F7225"/>
    <w:rsid w:val="00746EE6"/>
    <w:rsid w:val="00756E75"/>
    <w:rsid w:val="007D1613"/>
    <w:rsid w:val="007E257D"/>
    <w:rsid w:val="007E4C0E"/>
    <w:rsid w:val="00816901"/>
    <w:rsid w:val="0086442F"/>
    <w:rsid w:val="008A092F"/>
    <w:rsid w:val="008A415C"/>
    <w:rsid w:val="008B2CC1"/>
    <w:rsid w:val="008B60B2"/>
    <w:rsid w:val="008C3EEF"/>
    <w:rsid w:val="008C5199"/>
    <w:rsid w:val="008E54CC"/>
    <w:rsid w:val="0090731E"/>
    <w:rsid w:val="00916EE2"/>
    <w:rsid w:val="00921756"/>
    <w:rsid w:val="0094374C"/>
    <w:rsid w:val="00966A22"/>
    <w:rsid w:val="0096722F"/>
    <w:rsid w:val="00980843"/>
    <w:rsid w:val="009A343B"/>
    <w:rsid w:val="009B1FBF"/>
    <w:rsid w:val="009B3972"/>
    <w:rsid w:val="009E2791"/>
    <w:rsid w:val="009E3F6F"/>
    <w:rsid w:val="009F499F"/>
    <w:rsid w:val="00A17A9A"/>
    <w:rsid w:val="00A2162F"/>
    <w:rsid w:val="00A245C8"/>
    <w:rsid w:val="00A368D5"/>
    <w:rsid w:val="00A42DAF"/>
    <w:rsid w:val="00A45BD8"/>
    <w:rsid w:val="00A461EF"/>
    <w:rsid w:val="00A464F5"/>
    <w:rsid w:val="00A869B7"/>
    <w:rsid w:val="00A92FC4"/>
    <w:rsid w:val="00AC205C"/>
    <w:rsid w:val="00AC49AB"/>
    <w:rsid w:val="00AF0A6B"/>
    <w:rsid w:val="00B05932"/>
    <w:rsid w:val="00B05A69"/>
    <w:rsid w:val="00B432DE"/>
    <w:rsid w:val="00B46543"/>
    <w:rsid w:val="00B61631"/>
    <w:rsid w:val="00B61F54"/>
    <w:rsid w:val="00B71E1E"/>
    <w:rsid w:val="00B851FD"/>
    <w:rsid w:val="00B9734B"/>
    <w:rsid w:val="00BA108A"/>
    <w:rsid w:val="00BA30E2"/>
    <w:rsid w:val="00BB766A"/>
    <w:rsid w:val="00BC5B6A"/>
    <w:rsid w:val="00BD1E51"/>
    <w:rsid w:val="00C022DE"/>
    <w:rsid w:val="00C05C0A"/>
    <w:rsid w:val="00C11295"/>
    <w:rsid w:val="00C11BFE"/>
    <w:rsid w:val="00C42736"/>
    <w:rsid w:val="00C5068F"/>
    <w:rsid w:val="00C56A9B"/>
    <w:rsid w:val="00C91429"/>
    <w:rsid w:val="00CC3F7E"/>
    <w:rsid w:val="00CD04F1"/>
    <w:rsid w:val="00CF7784"/>
    <w:rsid w:val="00D179C0"/>
    <w:rsid w:val="00D253D9"/>
    <w:rsid w:val="00D3381B"/>
    <w:rsid w:val="00D4279A"/>
    <w:rsid w:val="00D45252"/>
    <w:rsid w:val="00D47F1C"/>
    <w:rsid w:val="00D52354"/>
    <w:rsid w:val="00D71B4D"/>
    <w:rsid w:val="00D93D55"/>
    <w:rsid w:val="00DA4459"/>
    <w:rsid w:val="00E15015"/>
    <w:rsid w:val="00E21C04"/>
    <w:rsid w:val="00E21E59"/>
    <w:rsid w:val="00E25BFE"/>
    <w:rsid w:val="00E30190"/>
    <w:rsid w:val="00E30417"/>
    <w:rsid w:val="00E335FE"/>
    <w:rsid w:val="00E669E9"/>
    <w:rsid w:val="00E72800"/>
    <w:rsid w:val="00E92976"/>
    <w:rsid w:val="00E9769D"/>
    <w:rsid w:val="00EC4E49"/>
    <w:rsid w:val="00ED77FB"/>
    <w:rsid w:val="00EE334B"/>
    <w:rsid w:val="00EE351D"/>
    <w:rsid w:val="00EE45FA"/>
    <w:rsid w:val="00F01E30"/>
    <w:rsid w:val="00F5040E"/>
    <w:rsid w:val="00F50D17"/>
    <w:rsid w:val="00F601F0"/>
    <w:rsid w:val="00F60F31"/>
    <w:rsid w:val="00F62E68"/>
    <w:rsid w:val="00F66152"/>
    <w:rsid w:val="00F75BDC"/>
    <w:rsid w:val="00F77329"/>
    <w:rsid w:val="00F77ACA"/>
    <w:rsid w:val="00FB5ADF"/>
    <w:rsid w:val="00FC7264"/>
    <w:rsid w:val="00FD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 w:type="character" w:styleId="FollowedHyperlink">
    <w:name w:val="FollowedHyperlink"/>
    <w:basedOn w:val="DefaultParagraphFont"/>
    <w:rsid w:val="00A245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 w:type="character" w:styleId="FollowedHyperlink">
    <w:name w:val="FollowedHyperlink"/>
    <w:basedOn w:val="DefaultParagraphFont"/>
    <w:rsid w:val="00A245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65602">
      <w:bodyDiv w:val="1"/>
      <w:marLeft w:val="0"/>
      <w:marRight w:val="0"/>
      <w:marTop w:val="0"/>
      <w:marBottom w:val="0"/>
      <w:divBdr>
        <w:top w:val="none" w:sz="0" w:space="0" w:color="auto"/>
        <w:left w:val="none" w:sz="0" w:space="0" w:color="auto"/>
        <w:bottom w:val="none" w:sz="0" w:space="0" w:color="auto"/>
        <w:right w:val="none" w:sz="0" w:space="0" w:color="auto"/>
      </w:divBdr>
    </w:div>
    <w:div w:id="1317609590">
      <w:bodyDiv w:val="1"/>
      <w:marLeft w:val="0"/>
      <w:marRight w:val="0"/>
      <w:marTop w:val="0"/>
      <w:marBottom w:val="0"/>
      <w:divBdr>
        <w:top w:val="none" w:sz="0" w:space="0" w:color="auto"/>
        <w:left w:val="none" w:sz="0" w:space="0" w:color="auto"/>
        <w:bottom w:val="none" w:sz="0" w:space="0" w:color="auto"/>
        <w:right w:val="none" w:sz="0" w:space="0" w:color="auto"/>
      </w:divBdr>
    </w:div>
    <w:div w:id="1622686375">
      <w:bodyDiv w:val="1"/>
      <w:marLeft w:val="0"/>
      <w:marRight w:val="0"/>
      <w:marTop w:val="0"/>
      <w:marBottom w:val="0"/>
      <w:divBdr>
        <w:top w:val="none" w:sz="0" w:space="0" w:color="auto"/>
        <w:left w:val="none" w:sz="0" w:space="0" w:color="auto"/>
        <w:bottom w:val="none" w:sz="0" w:space="0" w:color="auto"/>
        <w:right w:val="none" w:sz="0" w:space="0" w:color="auto"/>
      </w:divBdr>
    </w:div>
    <w:div w:id="1729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ipc-ief/public/ipc/en/project/4489/CE4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49 (E)</Template>
  <TotalTime>0</TotalTime>
  <Pages>4</Pages>
  <Words>3426</Words>
  <Characters>1147</Characters>
  <Application>Microsoft Office Word</Application>
  <DocSecurity>0</DocSecurity>
  <Lines>9</Lines>
  <Paragraphs>9</Paragraphs>
  <ScaleCrop>false</ScaleCrop>
  <HeadingPairs>
    <vt:vector size="2" baseType="variant">
      <vt:variant>
        <vt:lpstr>Title</vt:lpstr>
      </vt:variant>
      <vt:variant>
        <vt:i4>1</vt:i4>
      </vt:variant>
    </vt:vector>
  </HeadingPairs>
  <TitlesOfParts>
    <vt:vector size="1" baseType="lpstr">
      <vt:lpstr>report, IPC/CE/49/2 Prov.</vt:lpstr>
    </vt:vector>
  </TitlesOfParts>
  <Company>WIPO</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IPC/CE/49/2 Prov.</dc:title>
  <dc:subject>49th Session, IPC Committee of Experts (IPC Union), February 22 and 23, 2017</dc:subject>
  <dc:creator>WIPO</dc:creator>
  <cp:keywords>IPC, Chinese version</cp:keywords>
  <cp:lastModifiedBy>SCHLESSINGER Caroline</cp:lastModifiedBy>
  <cp:revision>2</cp:revision>
  <cp:lastPrinted>2017-03-10T08:55:00Z</cp:lastPrinted>
  <dcterms:created xsi:type="dcterms:W3CDTF">2017-04-06T11:49:00Z</dcterms:created>
  <dcterms:modified xsi:type="dcterms:W3CDTF">2017-04-06T11:49:00Z</dcterms:modified>
</cp:coreProperties>
</file>