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E149E" w14:textId="5CAF929E" w:rsidR="001E695F" w:rsidRPr="006510F0" w:rsidRDefault="00F60E9A" w:rsidP="006510F0">
      <w:pPr>
        <w:pStyle w:val="Heading1"/>
        <w:spacing w:before="0" w:after="220"/>
      </w:pPr>
      <w:bookmarkStart w:id="0" w:name="_GoBack"/>
      <w:r w:rsidRPr="006510F0">
        <w:rPr>
          <w:caps w:val="0"/>
        </w:rPr>
        <w:t>40 RECOMMANDATIONS ET ACTIVITÉS DU CWS</w:t>
      </w:r>
    </w:p>
    <w:tbl>
      <w:tblPr>
        <w:tblStyle w:val="TableGrid"/>
        <w:tblW w:w="9900" w:type="dxa"/>
        <w:tblLook w:val="04A0" w:firstRow="1" w:lastRow="0" w:firstColumn="1" w:lastColumn="0" w:noHBand="0" w:noVBand="1"/>
      </w:tblPr>
      <w:tblGrid>
        <w:gridCol w:w="3969"/>
        <w:gridCol w:w="1139"/>
        <w:gridCol w:w="2128"/>
        <w:gridCol w:w="2664"/>
      </w:tblGrid>
      <w:tr w:rsidR="008977B8" w:rsidRPr="008977B8" w14:paraId="2A5D6235" w14:textId="77777777" w:rsidTr="00BE0D13">
        <w:trPr>
          <w:cantSplit/>
          <w:tblHeader/>
        </w:trPr>
        <w:tc>
          <w:tcPr>
            <w:tcW w:w="3969" w:type="dxa"/>
            <w:vAlign w:val="center"/>
          </w:tcPr>
          <w:bookmarkEnd w:id="0"/>
          <w:p w14:paraId="4360EC56" w14:textId="0BEA02EF" w:rsidR="00EB6772" w:rsidRPr="008977B8" w:rsidRDefault="00EB6772" w:rsidP="00233F5C">
            <w:pPr>
              <w:pStyle w:val="Endofdocument-Annex"/>
              <w:ind w:left="0"/>
              <w:jc w:val="center"/>
            </w:pPr>
            <w:r w:rsidRPr="008977B8">
              <w:rPr>
                <w:rFonts w:eastAsia="Times New Roman"/>
                <w:b/>
                <w:bCs/>
                <w:sz w:val="20"/>
                <w:lang w:eastAsia="en-US"/>
              </w:rPr>
              <w:t>Recommandations</w:t>
            </w:r>
          </w:p>
        </w:tc>
        <w:tc>
          <w:tcPr>
            <w:tcW w:w="1139" w:type="dxa"/>
            <w:vAlign w:val="center"/>
          </w:tcPr>
          <w:p w14:paraId="785767EB" w14:textId="2B7F49FE" w:rsidR="00EB6772" w:rsidRPr="008977B8" w:rsidRDefault="00EB6772" w:rsidP="00233F5C">
            <w:pPr>
              <w:pStyle w:val="Endofdocument-Annex"/>
              <w:ind w:left="0"/>
              <w:jc w:val="center"/>
            </w:pPr>
            <w:r w:rsidRPr="008977B8">
              <w:rPr>
                <w:rFonts w:eastAsia="Times New Roman"/>
                <w:b/>
                <w:bCs/>
                <w:sz w:val="20"/>
                <w:lang w:eastAsia="en-US"/>
              </w:rPr>
              <w:t>Catégorie</w:t>
            </w:r>
          </w:p>
        </w:tc>
        <w:tc>
          <w:tcPr>
            <w:tcW w:w="2128" w:type="dxa"/>
            <w:vAlign w:val="center"/>
          </w:tcPr>
          <w:p w14:paraId="4C3AA9EA" w14:textId="4D464D78" w:rsidR="00EB6772" w:rsidRPr="008977B8" w:rsidRDefault="00EB6772" w:rsidP="00233F5C">
            <w:pPr>
              <w:pStyle w:val="Endofdocument-Annex"/>
              <w:ind w:left="0"/>
              <w:jc w:val="center"/>
            </w:pPr>
            <w:r w:rsidRPr="008977B8">
              <w:rPr>
                <w:rFonts w:eastAsia="Times New Roman"/>
                <w:b/>
                <w:bCs/>
                <w:sz w:val="20"/>
                <w:lang w:eastAsia="en-US"/>
              </w:rPr>
              <w:t>Normes pertinentes de l’OMPI et tâches du CWS</w:t>
            </w:r>
          </w:p>
        </w:tc>
        <w:tc>
          <w:tcPr>
            <w:tcW w:w="2664" w:type="dxa"/>
            <w:vAlign w:val="center"/>
          </w:tcPr>
          <w:p w14:paraId="0195667B" w14:textId="1D16D747" w:rsidR="00EB6772" w:rsidRPr="008977B8" w:rsidRDefault="00EB6772" w:rsidP="00233F5C">
            <w:pPr>
              <w:pStyle w:val="Endofdocument-Annex"/>
              <w:ind w:left="0"/>
              <w:jc w:val="center"/>
            </w:pPr>
            <w:r w:rsidRPr="008977B8">
              <w:rPr>
                <w:rFonts w:eastAsia="Times New Roman"/>
                <w:b/>
                <w:bCs/>
                <w:sz w:val="20"/>
                <w:lang w:eastAsia="en-US"/>
              </w:rPr>
              <w:t>Observation</w:t>
            </w:r>
          </w:p>
        </w:tc>
      </w:tr>
      <w:tr w:rsidR="008977B8" w:rsidRPr="008977B8" w14:paraId="473F145E" w14:textId="77777777" w:rsidTr="00BE0D13">
        <w:trPr>
          <w:cantSplit/>
        </w:trPr>
        <w:tc>
          <w:tcPr>
            <w:tcW w:w="3969" w:type="dxa"/>
          </w:tcPr>
          <w:p w14:paraId="36FB5E3C" w14:textId="104D7ABD" w:rsidR="00EB6772" w:rsidRPr="008977B8" w:rsidRDefault="00EB6772" w:rsidP="00EB6772">
            <w:pPr>
              <w:pStyle w:val="Endofdocument-Annex"/>
              <w:ind w:left="0"/>
            </w:pPr>
            <w:r w:rsidRPr="008977B8">
              <w:rPr>
                <w:rFonts w:eastAsia="Times New Roman"/>
                <w:sz w:val="20"/>
                <w:lang w:eastAsia="en-US"/>
              </w:rPr>
              <w:t>R1.</w:t>
            </w:r>
            <w:r w:rsidRPr="008977B8">
              <w:rPr>
                <w:rFonts w:eastAsia="Times New Roman"/>
                <w:sz w:val="20"/>
                <w:lang w:eastAsia="en-US"/>
              </w:rPr>
              <w:tab/>
              <w:t>Élaborer un protocole d’échange de données en ligne couvrant les principaux transferts habituels pour générer des données de propriété intellectuelle de haute qualité dès la source, qui s’appuient directement sur les données de sortie des systèmes de gestion de la propriété intellectuelle, en vue de créer et d’échanger des données avec les offices et le Bureau international, conformément aux normes de l’OMPI.</w:t>
            </w:r>
            <w:r w:rsidRPr="008977B8">
              <w:rPr>
                <w:sz w:val="20"/>
              </w:rPr>
              <w:t xml:space="preserve">  </w:t>
            </w:r>
          </w:p>
        </w:tc>
        <w:tc>
          <w:tcPr>
            <w:tcW w:w="1139" w:type="dxa"/>
          </w:tcPr>
          <w:p w14:paraId="645AFB89" w14:textId="076A6421"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1170AB83" w14:textId="3DB2C1AE" w:rsidR="00EB6772" w:rsidRPr="008977B8" w:rsidRDefault="00EB6772" w:rsidP="009E6713">
            <w:pPr>
              <w:pStyle w:val="Endofdocument-Annex"/>
              <w:ind w:left="0"/>
            </w:pPr>
            <w:r w:rsidRPr="008977B8">
              <w:rPr>
                <w:rFonts w:eastAsia="Times New Roman"/>
                <w:sz w:val="20"/>
                <w:lang w:eastAsia="en-US"/>
              </w:rPr>
              <w:t>Tâche n° 41 – ST.96, Tâche n° 56 – Norme</w:t>
            </w:r>
            <w:r w:rsidR="009E6713">
              <w:rPr>
                <w:rFonts w:eastAsia="Times New Roman"/>
                <w:sz w:val="20"/>
                <w:lang w:eastAsia="en-US"/>
              </w:rPr>
              <w:t> </w:t>
            </w:r>
            <w:r w:rsidRPr="008977B8">
              <w:rPr>
                <w:rFonts w:eastAsia="Times New Roman"/>
                <w:sz w:val="20"/>
                <w:lang w:eastAsia="en-US"/>
              </w:rPr>
              <w:t>API</w:t>
            </w:r>
          </w:p>
        </w:tc>
        <w:tc>
          <w:tcPr>
            <w:tcW w:w="2664" w:type="dxa"/>
          </w:tcPr>
          <w:p w14:paraId="2A7073EB" w14:textId="0884C5DD"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484D126B" w14:textId="77777777" w:rsidTr="00BE0D13">
        <w:trPr>
          <w:cantSplit/>
        </w:trPr>
        <w:tc>
          <w:tcPr>
            <w:tcW w:w="3969" w:type="dxa"/>
          </w:tcPr>
          <w:p w14:paraId="3EF26771" w14:textId="68A76CB9" w:rsidR="00EB6772" w:rsidRPr="008977B8" w:rsidRDefault="00EB6772" w:rsidP="00EB6772">
            <w:pPr>
              <w:pStyle w:val="Endofdocument-Annex"/>
              <w:ind w:left="0"/>
            </w:pPr>
            <w:r w:rsidRPr="008977B8">
              <w:rPr>
                <w:rFonts w:eastAsia="Times New Roman"/>
                <w:sz w:val="20"/>
                <w:lang w:eastAsia="en-US"/>
              </w:rPr>
              <w:t>R2.</w:t>
            </w:r>
            <w:r w:rsidRPr="008977B8">
              <w:rPr>
                <w:rFonts w:eastAsia="Times New Roman"/>
                <w:sz w:val="20"/>
                <w:lang w:eastAsia="en-US"/>
              </w:rPr>
              <w:tab/>
              <w:t>En introduisant un protocole d’échange de données en ligne, mettre en œuvre des politiques appropriées et considérer les systèmes informatiques utilisés par les déposants et les agents de propriété intellectuelle pour faciliter leur utilisation du protocole, afin de présenter des données de propriété intellectuelle de haute qualité.</w:t>
            </w:r>
          </w:p>
        </w:tc>
        <w:tc>
          <w:tcPr>
            <w:tcW w:w="1139" w:type="dxa"/>
          </w:tcPr>
          <w:p w14:paraId="74772786" w14:textId="7A02F34F"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1A3438D7" w14:textId="7E98E4F0" w:rsidR="00EB6772" w:rsidRPr="008977B8" w:rsidRDefault="00EB6772" w:rsidP="00EB6772">
            <w:pPr>
              <w:pStyle w:val="Endofdocument-Annex"/>
              <w:ind w:left="0"/>
            </w:pPr>
            <w:r w:rsidRPr="008977B8">
              <w:rPr>
                <w:rFonts w:eastAsia="Times New Roman"/>
                <w:sz w:val="20"/>
                <w:lang w:eastAsia="en-US"/>
              </w:rPr>
              <w:t>Tâche n° 56 – Norme</w:t>
            </w:r>
            <w:r w:rsidR="009E6713">
              <w:rPr>
                <w:rFonts w:eastAsia="Times New Roman"/>
                <w:sz w:val="20"/>
                <w:lang w:eastAsia="en-US"/>
              </w:rPr>
              <w:t> </w:t>
            </w:r>
            <w:r w:rsidRPr="008977B8">
              <w:rPr>
                <w:rFonts w:eastAsia="Times New Roman"/>
                <w:sz w:val="20"/>
                <w:lang w:eastAsia="en-US"/>
              </w:rPr>
              <w:t>API</w:t>
            </w:r>
          </w:p>
        </w:tc>
        <w:tc>
          <w:tcPr>
            <w:tcW w:w="2664" w:type="dxa"/>
          </w:tcPr>
          <w:p w14:paraId="60755F01" w14:textId="67F92C60"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0494DF5A" w14:textId="77777777" w:rsidTr="00BE0D13">
        <w:trPr>
          <w:cantSplit/>
        </w:trPr>
        <w:tc>
          <w:tcPr>
            <w:tcW w:w="3969" w:type="dxa"/>
          </w:tcPr>
          <w:p w14:paraId="22A201D9" w14:textId="5D2848F9" w:rsidR="00EB6772" w:rsidRPr="008977B8" w:rsidRDefault="00EB6772" w:rsidP="00EB6772">
            <w:pPr>
              <w:pStyle w:val="Endofdocument-Annex"/>
              <w:ind w:left="0"/>
            </w:pPr>
            <w:r w:rsidRPr="008977B8">
              <w:rPr>
                <w:rFonts w:eastAsia="Times New Roman"/>
                <w:sz w:val="20"/>
                <w:lang w:eastAsia="en-US"/>
              </w:rPr>
              <w:t>R3.</w:t>
            </w:r>
            <w:r w:rsidRPr="008977B8">
              <w:rPr>
                <w:rFonts w:eastAsia="Times New Roman"/>
                <w:sz w:val="20"/>
                <w:lang w:eastAsia="en-US"/>
              </w:rPr>
              <w:tab/>
              <w:t>La collecte des fichiers rétrospectifs de données de propriété intellectuelle par la conversion ROC des données d’image doit se faire correctement, conformément au contrôle de bonne qualité et aux normes correspondantes de l’OMPI.</w:t>
            </w:r>
          </w:p>
        </w:tc>
        <w:tc>
          <w:tcPr>
            <w:tcW w:w="1139" w:type="dxa"/>
          </w:tcPr>
          <w:p w14:paraId="3C2D9FB9" w14:textId="6D845A16" w:rsidR="00EB6772" w:rsidRPr="008977B8" w:rsidRDefault="00EB6772" w:rsidP="00EB6772">
            <w:pPr>
              <w:pStyle w:val="Endofdocument-Annex"/>
              <w:ind w:left="0"/>
            </w:pPr>
            <w:r w:rsidRPr="008977B8">
              <w:rPr>
                <w:rFonts w:eastAsia="Times New Roman"/>
                <w:sz w:val="20"/>
                <w:lang w:eastAsia="en-US"/>
              </w:rPr>
              <w:t>Groupe 3</w:t>
            </w:r>
          </w:p>
        </w:tc>
        <w:tc>
          <w:tcPr>
            <w:tcW w:w="2128" w:type="dxa"/>
          </w:tcPr>
          <w:p w14:paraId="3D555765" w14:textId="0980F1D6" w:rsidR="00EB6772" w:rsidRPr="008977B8" w:rsidRDefault="00EB6772" w:rsidP="00EB6772">
            <w:pPr>
              <w:pStyle w:val="Endofdocument-Annex"/>
              <w:ind w:left="0"/>
            </w:pPr>
            <w:r w:rsidRPr="008977B8">
              <w:rPr>
                <w:rFonts w:eastAsia="Times New Roman"/>
                <w:sz w:val="20"/>
                <w:lang w:eastAsia="en-US"/>
              </w:rPr>
              <w:t>OMPI ST.22</w:t>
            </w:r>
          </w:p>
        </w:tc>
        <w:tc>
          <w:tcPr>
            <w:tcW w:w="2664" w:type="dxa"/>
          </w:tcPr>
          <w:p w14:paraId="0E0699B5" w14:textId="32CA4B2D"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242C2AD7" w14:textId="77777777" w:rsidTr="00BE0D13">
        <w:trPr>
          <w:cantSplit/>
        </w:trPr>
        <w:tc>
          <w:tcPr>
            <w:tcW w:w="3969" w:type="dxa"/>
          </w:tcPr>
          <w:p w14:paraId="6B52ED7B" w14:textId="15B2CC2D" w:rsidR="00EB6772" w:rsidRPr="008977B8" w:rsidRDefault="00EB6772" w:rsidP="00EB6772">
            <w:pPr>
              <w:pStyle w:val="Endofdocument-Annex"/>
              <w:ind w:left="0"/>
            </w:pPr>
            <w:r w:rsidRPr="008977B8">
              <w:rPr>
                <w:rFonts w:eastAsia="Times New Roman"/>
                <w:sz w:val="20"/>
                <w:lang w:eastAsia="en-US"/>
              </w:rPr>
              <w:t>R4.</w:t>
            </w:r>
            <w:r w:rsidRPr="008977B8">
              <w:rPr>
                <w:rFonts w:eastAsia="Times New Roman"/>
                <w:sz w:val="20"/>
                <w:lang w:eastAsia="en-US"/>
              </w:rPr>
              <w:tab/>
              <w:t>En plus des données bibliographiques, comme le nom des déposants, le texte intégral de la description d’un brevet doit être converti, ou généré à la source, afin que les demandes de brevet soient consultables.  Considérer les outils communs, ou du moins les normes proches de l’OMPI, pour la préparation de formats XML depuis des logiciels de traitement de texte afin de garantir une uniformité.</w:t>
            </w:r>
          </w:p>
        </w:tc>
        <w:tc>
          <w:tcPr>
            <w:tcW w:w="1139" w:type="dxa"/>
          </w:tcPr>
          <w:p w14:paraId="676D8722" w14:textId="074F9120"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6FE62281" w14:textId="127F23A3" w:rsidR="00EB6772" w:rsidRPr="008977B8" w:rsidRDefault="00EB6772" w:rsidP="00EB6772">
            <w:pPr>
              <w:pStyle w:val="Endofdocument-Annex"/>
              <w:ind w:left="0"/>
            </w:pPr>
            <w:r w:rsidRPr="008977B8">
              <w:rPr>
                <w:rFonts w:eastAsia="Times New Roman"/>
                <w:sz w:val="20"/>
                <w:lang w:eastAsia="en-US"/>
              </w:rPr>
              <w:t xml:space="preserve">Tâche n° 44-ST.26, Tâche n° 38-ST.36, Tâche n° 39-ST.66, Tâche n° 42-ST.86, Tâche n° 41-ST.96, </w:t>
            </w:r>
          </w:p>
        </w:tc>
        <w:tc>
          <w:tcPr>
            <w:tcW w:w="2664" w:type="dxa"/>
          </w:tcPr>
          <w:p w14:paraId="6AC69211" w14:textId="3286E1BB"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212A31CB" w14:textId="77777777" w:rsidTr="00BE0D13">
        <w:trPr>
          <w:cantSplit/>
        </w:trPr>
        <w:tc>
          <w:tcPr>
            <w:tcW w:w="3969" w:type="dxa"/>
          </w:tcPr>
          <w:p w14:paraId="19507A9D" w14:textId="7B8EA1A4" w:rsidR="00EB6772" w:rsidRPr="008977B8" w:rsidRDefault="00EB6772" w:rsidP="00EB6772">
            <w:pPr>
              <w:pStyle w:val="Endofdocument-Annex"/>
              <w:ind w:left="0"/>
            </w:pPr>
            <w:r w:rsidRPr="008977B8">
              <w:rPr>
                <w:rFonts w:eastAsia="Times New Roman"/>
                <w:sz w:val="20"/>
                <w:lang w:eastAsia="en-US"/>
              </w:rPr>
              <w:t>R5.</w:t>
            </w:r>
            <w:r w:rsidRPr="008977B8">
              <w:rPr>
                <w:rFonts w:eastAsia="Times New Roman"/>
                <w:sz w:val="20"/>
                <w:lang w:eastAsia="en-US"/>
              </w:rPr>
              <w:tab/>
              <w:t>Les données d’image et les éléments complexes, comme les images de la marque d’un appareil, les dessins ou modèles industriels et les graphiques contenus dans les demandes de propriété intellectuelle, devraient être générés en tant que données consultables par la machine, selon les normes correspondantes de l’OMPI (notamment la norme ST.96 de l’OMPI).</w:t>
            </w:r>
          </w:p>
        </w:tc>
        <w:tc>
          <w:tcPr>
            <w:tcW w:w="1139" w:type="dxa"/>
          </w:tcPr>
          <w:p w14:paraId="3F7C9055" w14:textId="29DC0132"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28B9E8AB" w14:textId="5E44EE67" w:rsidR="00EB6772" w:rsidRPr="008977B8" w:rsidRDefault="00EB6772" w:rsidP="00EB6772">
            <w:pPr>
              <w:pStyle w:val="Endofdocument-Annex"/>
              <w:ind w:left="0"/>
            </w:pPr>
            <w:r w:rsidRPr="008977B8">
              <w:rPr>
                <w:rFonts w:eastAsia="Times New Roman"/>
                <w:sz w:val="20"/>
                <w:lang w:eastAsia="en-US"/>
              </w:rPr>
              <w:t>Tâche n° 41 – ST.96, Tâche n° 57 – représentation graphique du dessin et modèle, Proposition d’une nouvelle tâche (voir</w:t>
            </w:r>
            <w:r w:rsidR="009E6713">
              <w:rPr>
                <w:rFonts w:eastAsia="Times New Roman"/>
                <w:sz w:val="20"/>
                <w:lang w:eastAsia="en-US"/>
              </w:rPr>
              <w:t> </w:t>
            </w:r>
            <w:r w:rsidRPr="008977B8">
              <w:rPr>
                <w:rFonts w:eastAsia="Times New Roman"/>
                <w:sz w:val="20"/>
                <w:lang w:eastAsia="en-US"/>
              </w:rPr>
              <w:t>le document CWS/6/22)</w:t>
            </w:r>
          </w:p>
        </w:tc>
        <w:tc>
          <w:tcPr>
            <w:tcW w:w="2664" w:type="dxa"/>
          </w:tcPr>
          <w:p w14:paraId="7F1FAF26" w14:textId="77777777" w:rsidR="00EB6772" w:rsidRPr="008977B8" w:rsidRDefault="00EB6772" w:rsidP="00EB6772">
            <w:pPr>
              <w:pStyle w:val="Endofdocument-Annex"/>
              <w:ind w:left="0"/>
            </w:pPr>
          </w:p>
        </w:tc>
      </w:tr>
      <w:tr w:rsidR="008977B8" w:rsidRPr="008977B8" w14:paraId="39D559FD" w14:textId="77777777" w:rsidTr="00BE0D13">
        <w:trPr>
          <w:cantSplit/>
        </w:trPr>
        <w:tc>
          <w:tcPr>
            <w:tcW w:w="3969" w:type="dxa"/>
          </w:tcPr>
          <w:p w14:paraId="7D76A28A" w14:textId="00063886" w:rsidR="00EB6772" w:rsidRPr="008977B8" w:rsidRDefault="00EB6772" w:rsidP="00EB6772">
            <w:pPr>
              <w:pStyle w:val="Endofdocument-Annex"/>
              <w:ind w:left="0"/>
            </w:pPr>
            <w:r w:rsidRPr="008977B8">
              <w:rPr>
                <w:rFonts w:eastAsia="Times New Roman"/>
                <w:sz w:val="20"/>
                <w:lang w:eastAsia="en-US"/>
              </w:rPr>
              <w:lastRenderedPageBreak/>
              <w:t>R6.</w:t>
            </w:r>
            <w:r w:rsidRPr="008977B8">
              <w:rPr>
                <w:rFonts w:eastAsia="Times New Roman"/>
                <w:sz w:val="20"/>
                <w:lang w:eastAsia="en-US"/>
              </w:rPr>
              <w:tab/>
              <w:t>Reconcevoir et transformer les modèles opérationnels et les processus de flux actuels, qui s’appuient sur des transmissions au format papier, en des modèles opérationnels modernes et optimisés, ainsi qu’en des processus de flux fondés sur des transmissions de données de propriété intellectuelle numériques, avec la collaboration d’administrateurs, d’informaticiens et de représentants juridiques au cours de toutes les étapes.</w:t>
            </w:r>
          </w:p>
        </w:tc>
        <w:tc>
          <w:tcPr>
            <w:tcW w:w="1139" w:type="dxa"/>
          </w:tcPr>
          <w:p w14:paraId="4B467275" w14:textId="09B30F3A"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68A1C2C0" w14:textId="3BC287BC" w:rsidR="00EB6772" w:rsidRPr="008977B8" w:rsidRDefault="00EB6772" w:rsidP="00EB6772">
            <w:pPr>
              <w:pStyle w:val="Endofdocument-Annex"/>
              <w:ind w:left="0"/>
            </w:pPr>
            <w:r w:rsidRPr="008977B8">
              <w:rPr>
                <w:rFonts w:eastAsia="Times New Roman"/>
                <w:sz w:val="20"/>
                <w:lang w:eastAsia="en-US"/>
              </w:rPr>
              <w:t>Proposition d’une nouvelle tâche (voir</w:t>
            </w:r>
            <w:r w:rsidR="009E6713">
              <w:rPr>
                <w:rFonts w:eastAsia="Times New Roman"/>
                <w:sz w:val="20"/>
                <w:lang w:eastAsia="en-US"/>
              </w:rPr>
              <w:t> </w:t>
            </w:r>
            <w:r w:rsidRPr="008977B8">
              <w:rPr>
                <w:rFonts w:eastAsia="Times New Roman"/>
                <w:sz w:val="20"/>
                <w:lang w:eastAsia="en-US"/>
              </w:rPr>
              <w:t>le document</w:t>
            </w:r>
            <w:r w:rsidRPr="008977B8">
              <w:rPr>
                <w:rFonts w:eastAsia="Times New Roman"/>
                <w:sz w:val="20"/>
                <w:lang w:eastAsia="en-US"/>
              </w:rPr>
              <w:br/>
              <w:t> CWS/6/23)</w:t>
            </w:r>
          </w:p>
        </w:tc>
        <w:tc>
          <w:tcPr>
            <w:tcW w:w="2664" w:type="dxa"/>
          </w:tcPr>
          <w:p w14:paraId="20B92E32" w14:textId="77777777" w:rsidR="00EB6772" w:rsidRPr="008977B8" w:rsidRDefault="00EB6772" w:rsidP="00EB6772">
            <w:pPr>
              <w:pStyle w:val="Endofdocument-Annex"/>
              <w:ind w:left="0"/>
            </w:pPr>
          </w:p>
        </w:tc>
      </w:tr>
      <w:tr w:rsidR="008977B8" w:rsidRPr="008977B8" w14:paraId="53D4A1CF" w14:textId="77777777" w:rsidTr="00BE0D13">
        <w:trPr>
          <w:cantSplit/>
        </w:trPr>
        <w:tc>
          <w:tcPr>
            <w:tcW w:w="3969" w:type="dxa"/>
          </w:tcPr>
          <w:p w14:paraId="2F5ADF5E" w14:textId="1DE4E6A6" w:rsidR="00EB6772" w:rsidRPr="008977B8" w:rsidRDefault="00EB6772" w:rsidP="00EB6772">
            <w:pPr>
              <w:pStyle w:val="Endofdocument-Annex"/>
              <w:ind w:left="0"/>
            </w:pPr>
            <w:r w:rsidRPr="008977B8">
              <w:rPr>
                <w:rFonts w:eastAsia="Times New Roman"/>
                <w:sz w:val="20"/>
                <w:lang w:eastAsia="en-US"/>
              </w:rPr>
              <w:t>R7.</w:t>
            </w:r>
            <w:r w:rsidRPr="008977B8">
              <w:rPr>
                <w:rFonts w:eastAsia="Times New Roman"/>
                <w:sz w:val="20"/>
                <w:lang w:eastAsia="en-US"/>
              </w:rPr>
              <w:tab/>
              <w:t>Explorer la possibilité d’outils de classement automatique fondés sur l’intelligence artificielle, afin d’encourager l’utilisation et le contrôle de qualité des symboles de classement attribués aux demandes de propriété intellectuelle.</w:t>
            </w:r>
          </w:p>
        </w:tc>
        <w:tc>
          <w:tcPr>
            <w:tcW w:w="1139" w:type="dxa"/>
          </w:tcPr>
          <w:p w14:paraId="4C37DB4F" w14:textId="71712F01" w:rsidR="00EB6772" w:rsidRPr="008977B8" w:rsidRDefault="00EB6772" w:rsidP="00EB6772">
            <w:pPr>
              <w:pStyle w:val="Endofdocument-Annex"/>
              <w:ind w:left="0"/>
            </w:pPr>
            <w:r w:rsidRPr="008977B8">
              <w:rPr>
                <w:rFonts w:eastAsia="Times New Roman"/>
                <w:sz w:val="20"/>
                <w:lang w:eastAsia="en-US"/>
              </w:rPr>
              <w:t>Groupe 3</w:t>
            </w:r>
          </w:p>
        </w:tc>
        <w:tc>
          <w:tcPr>
            <w:tcW w:w="2128" w:type="dxa"/>
          </w:tcPr>
          <w:p w14:paraId="15E54E74" w14:textId="1E252081" w:rsidR="00EB6772" w:rsidRPr="008977B8" w:rsidRDefault="00EB6772" w:rsidP="00EB6772">
            <w:pPr>
              <w:pStyle w:val="Endofdocument-Annex"/>
              <w:ind w:left="0"/>
            </w:pPr>
            <w:r w:rsidRPr="008977B8">
              <w:rPr>
                <w:rFonts w:eastAsia="Times New Roman"/>
                <w:sz w:val="20"/>
                <w:lang w:eastAsia="en-US"/>
              </w:rPr>
              <w:t>ST.8</w:t>
            </w:r>
          </w:p>
        </w:tc>
        <w:tc>
          <w:tcPr>
            <w:tcW w:w="2664" w:type="dxa"/>
          </w:tcPr>
          <w:p w14:paraId="18FF6912" w14:textId="115CBC93"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2C3C9509" w14:textId="77777777" w:rsidTr="00BE0D13">
        <w:trPr>
          <w:cantSplit/>
        </w:trPr>
        <w:tc>
          <w:tcPr>
            <w:tcW w:w="3969" w:type="dxa"/>
          </w:tcPr>
          <w:p w14:paraId="445BA1A5" w14:textId="2DBB005C" w:rsidR="00EB6772" w:rsidRPr="008977B8" w:rsidRDefault="00EB6772" w:rsidP="00EB6772">
            <w:pPr>
              <w:pStyle w:val="Endofdocument-Annex"/>
              <w:ind w:left="0"/>
            </w:pPr>
            <w:r w:rsidRPr="008977B8">
              <w:rPr>
                <w:rFonts w:eastAsia="Times New Roman"/>
                <w:sz w:val="20"/>
                <w:lang w:eastAsia="en-US"/>
              </w:rPr>
              <w:t>R8.</w:t>
            </w:r>
            <w:r w:rsidRPr="008977B8">
              <w:rPr>
                <w:rFonts w:eastAsia="Times New Roman"/>
                <w:sz w:val="20"/>
                <w:lang w:eastAsia="en-US"/>
              </w:rPr>
              <w:tab/>
              <w:t>Renforcer la coopération internationale pour diffuser des pratiques cohérentes d’utilisation des classifications internationales, ainsi que pour fournir une assistance technique afin de rendre disponibles des versions des classifications internationales en langues locales.</w:t>
            </w:r>
          </w:p>
        </w:tc>
        <w:tc>
          <w:tcPr>
            <w:tcW w:w="1139" w:type="dxa"/>
          </w:tcPr>
          <w:p w14:paraId="0A551ECC" w14:textId="7A09A2A9" w:rsidR="00EB6772" w:rsidRPr="008977B8" w:rsidRDefault="00EB6772" w:rsidP="00EB6772">
            <w:pPr>
              <w:pStyle w:val="Endofdocument-Annex"/>
              <w:ind w:left="0"/>
            </w:pPr>
            <w:r w:rsidRPr="008977B8">
              <w:rPr>
                <w:rFonts w:eastAsia="Times New Roman"/>
                <w:sz w:val="20"/>
                <w:lang w:eastAsia="en-US"/>
              </w:rPr>
              <w:t>Groupe 3</w:t>
            </w:r>
          </w:p>
        </w:tc>
        <w:tc>
          <w:tcPr>
            <w:tcW w:w="2128" w:type="dxa"/>
          </w:tcPr>
          <w:p w14:paraId="7E8B2224" w14:textId="5EB2140B" w:rsidR="00EB6772" w:rsidRPr="008977B8" w:rsidRDefault="00EB6772" w:rsidP="00EB6772">
            <w:pPr>
              <w:pStyle w:val="Endofdocument-Annex"/>
              <w:ind w:left="0"/>
            </w:pPr>
            <w:r w:rsidRPr="008977B8">
              <w:rPr>
                <w:rFonts w:eastAsia="Times New Roman"/>
                <w:sz w:val="20"/>
                <w:lang w:eastAsia="en-US"/>
              </w:rPr>
              <w:t>ST.8</w:t>
            </w:r>
          </w:p>
        </w:tc>
        <w:tc>
          <w:tcPr>
            <w:tcW w:w="2664" w:type="dxa"/>
          </w:tcPr>
          <w:p w14:paraId="3AA9BB76" w14:textId="77777777" w:rsidR="00EB6772" w:rsidRPr="008977B8" w:rsidRDefault="00EB6772" w:rsidP="00EB6772">
            <w:pPr>
              <w:pStyle w:val="Endofdocument-Annex"/>
              <w:ind w:left="0"/>
            </w:pPr>
          </w:p>
        </w:tc>
      </w:tr>
      <w:tr w:rsidR="008977B8" w:rsidRPr="008977B8" w14:paraId="16D54C48" w14:textId="77777777" w:rsidTr="00BE0D13">
        <w:trPr>
          <w:cantSplit/>
        </w:trPr>
        <w:tc>
          <w:tcPr>
            <w:tcW w:w="3969" w:type="dxa"/>
          </w:tcPr>
          <w:p w14:paraId="5E04CBFB" w14:textId="70B7E45A" w:rsidR="00EB6772" w:rsidRPr="008977B8" w:rsidRDefault="00EB6772" w:rsidP="00EB6772">
            <w:pPr>
              <w:pStyle w:val="Endofdocument-Annex"/>
              <w:ind w:left="0"/>
            </w:pPr>
            <w:r w:rsidRPr="008977B8">
              <w:rPr>
                <w:rFonts w:eastAsia="Times New Roman"/>
                <w:sz w:val="20"/>
                <w:lang w:eastAsia="en-US"/>
              </w:rPr>
              <w:t>R9.</w:t>
            </w:r>
            <w:r w:rsidRPr="008977B8">
              <w:rPr>
                <w:rFonts w:eastAsia="Times New Roman"/>
                <w:sz w:val="20"/>
                <w:lang w:eastAsia="en-US"/>
              </w:rPr>
              <w:tab/>
              <w:t>Partager des informations sur les technologies de recherche émergentes, en particulier la recherche d’image, les outils de classement et les outils linguistiques, et considérer la manière dont la technologie peut être partagée et rendue disponible aux plus petits offices afin d’améliorer la qualité et l’efficacité des recherches d’information de propriété intellectuelle.</w:t>
            </w:r>
          </w:p>
        </w:tc>
        <w:tc>
          <w:tcPr>
            <w:tcW w:w="1139" w:type="dxa"/>
          </w:tcPr>
          <w:p w14:paraId="79123DAA" w14:textId="59C04249"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4BD488A9" w14:textId="3FBBD272" w:rsidR="00EB6772" w:rsidRPr="008977B8" w:rsidRDefault="00EB6772" w:rsidP="00EB6772">
            <w:pPr>
              <w:pStyle w:val="Endofdocument-Annex"/>
              <w:ind w:left="0"/>
            </w:pPr>
            <w:r w:rsidRPr="008977B8">
              <w:rPr>
                <w:rFonts w:eastAsia="Times New Roman"/>
                <w:sz w:val="20"/>
                <w:lang w:eastAsia="en-US"/>
              </w:rPr>
              <w:t>Tâche n° 57 – Représentation graphique du dessin et modèle sous forme électronique</w:t>
            </w:r>
          </w:p>
        </w:tc>
        <w:tc>
          <w:tcPr>
            <w:tcW w:w="2664" w:type="dxa"/>
          </w:tcPr>
          <w:p w14:paraId="338B966F" w14:textId="238536C8"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6F2CB876" w14:textId="77777777" w:rsidTr="00BE0D13">
        <w:trPr>
          <w:cantSplit/>
        </w:trPr>
        <w:tc>
          <w:tcPr>
            <w:tcW w:w="3969" w:type="dxa"/>
          </w:tcPr>
          <w:p w14:paraId="43C4A33C" w14:textId="4893688D" w:rsidR="00EB6772" w:rsidRPr="008977B8" w:rsidRDefault="00EB6772" w:rsidP="00EB6772">
            <w:pPr>
              <w:pStyle w:val="Endofdocument-Annex"/>
              <w:ind w:left="0"/>
            </w:pPr>
            <w:r w:rsidRPr="008977B8">
              <w:rPr>
                <w:rFonts w:eastAsia="Times New Roman"/>
                <w:sz w:val="20"/>
                <w:lang w:eastAsia="en-US"/>
              </w:rPr>
              <w:t xml:space="preserve">R10. </w:t>
            </w:r>
            <w:r w:rsidRPr="008977B8">
              <w:rPr>
                <w:rFonts w:eastAsia="Times New Roman"/>
                <w:sz w:val="20"/>
                <w:lang w:eastAsia="en-US"/>
              </w:rPr>
              <w:tab/>
              <w:t>Développer une plateforme de référence pour la publication et la recherche en ligne, tout en contribuant à la coopération internationale au titre du Comité des normes de l’OMPI concernant les systèmes, afin de fournir un accès aux informations publiques relatives aux brevets des offices participant à la tâche n° 52 du comité.  La plateforme doit être connectée aux bases de données internationales ou régionales pour automatiser la diffusion des informations.</w:t>
            </w:r>
          </w:p>
        </w:tc>
        <w:tc>
          <w:tcPr>
            <w:tcW w:w="1139" w:type="dxa"/>
          </w:tcPr>
          <w:p w14:paraId="69B70904" w14:textId="5A1ED784"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2DE1BE96" w14:textId="6C3ECB2D" w:rsidR="00EB6772" w:rsidRPr="008977B8" w:rsidRDefault="00EB6772" w:rsidP="00EB6772">
            <w:pPr>
              <w:pStyle w:val="Endofdocument-Annex"/>
              <w:ind w:left="0"/>
            </w:pPr>
            <w:r w:rsidRPr="008977B8">
              <w:rPr>
                <w:rFonts w:eastAsia="Times New Roman"/>
                <w:sz w:val="20"/>
                <w:lang w:eastAsia="en-US"/>
              </w:rPr>
              <w:t>Tâche n° 52 – Accès public à l’information en matière de brevets</w:t>
            </w:r>
          </w:p>
        </w:tc>
        <w:tc>
          <w:tcPr>
            <w:tcW w:w="2664" w:type="dxa"/>
          </w:tcPr>
          <w:p w14:paraId="48595C0E" w14:textId="40057096" w:rsidR="00EB6772" w:rsidRPr="008977B8" w:rsidRDefault="00EB6772" w:rsidP="00EB6772">
            <w:pPr>
              <w:pStyle w:val="Endofdocument-Annex"/>
              <w:ind w:left="0"/>
            </w:pPr>
            <w:r w:rsidRPr="008977B8">
              <w:rPr>
                <w:rFonts w:eastAsia="Times New Roman"/>
                <w:sz w:val="20"/>
                <w:lang w:eastAsia="en-US"/>
              </w:rPr>
              <w:t>La réunion des offices de propriété intellectuelle sur les stratégies informatiques et l’intelligence artificielle aux fins de l’administration de la propriété intellectuelle a noté que le CWS devait examiner la question de la normalisation des formats pour la publication en ligne.</w:t>
            </w:r>
          </w:p>
        </w:tc>
      </w:tr>
      <w:tr w:rsidR="008977B8" w:rsidRPr="008977B8" w14:paraId="0252369E" w14:textId="77777777" w:rsidTr="00BE0D13">
        <w:trPr>
          <w:cantSplit/>
        </w:trPr>
        <w:tc>
          <w:tcPr>
            <w:tcW w:w="3969" w:type="dxa"/>
          </w:tcPr>
          <w:p w14:paraId="126BBE1A" w14:textId="2BBD1245" w:rsidR="00EB6772" w:rsidRPr="008977B8" w:rsidRDefault="00EB6772" w:rsidP="00EB6772">
            <w:pPr>
              <w:pStyle w:val="Endofdocument-Annex"/>
              <w:ind w:left="0"/>
            </w:pPr>
            <w:r w:rsidRPr="008977B8">
              <w:rPr>
                <w:rFonts w:eastAsia="Times New Roman"/>
                <w:sz w:val="20"/>
                <w:lang w:eastAsia="en-US"/>
              </w:rPr>
              <w:t xml:space="preserve">R11. </w:t>
            </w:r>
            <w:r w:rsidRPr="008977B8">
              <w:rPr>
                <w:rFonts w:eastAsia="Times New Roman"/>
                <w:sz w:val="20"/>
                <w:lang w:eastAsia="en-US"/>
              </w:rPr>
              <w:tab/>
              <w:t>Les offices devraient partager les informations relatives à des solutions informatiques pour la gestion des dossiers, notamment en ce qui concerne l’utilisation appropriée des progiciels normalisés, ainsi qu’à des solutions pour garantir l’authenticité des dossiers et des signatures numériques, entre autres.</w:t>
            </w:r>
          </w:p>
        </w:tc>
        <w:tc>
          <w:tcPr>
            <w:tcW w:w="1139" w:type="dxa"/>
          </w:tcPr>
          <w:p w14:paraId="4A689BEC" w14:textId="0F72AA80"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2A329A95" w14:textId="2FDBF08F" w:rsidR="00EB6772" w:rsidRPr="008977B8" w:rsidRDefault="00EB6772" w:rsidP="00EB6772">
            <w:pPr>
              <w:pStyle w:val="Endofdocument-Annex"/>
              <w:ind w:left="0"/>
            </w:pPr>
            <w:r w:rsidRPr="008977B8">
              <w:rPr>
                <w:rFonts w:eastAsia="Times New Roman"/>
                <w:sz w:val="20"/>
                <w:lang w:eastAsia="en-US"/>
              </w:rPr>
              <w:t>Tâche n° 24 Rapports techniques annuels, Tâche n° 56 – Norme</w:t>
            </w:r>
            <w:r w:rsidR="009E6713">
              <w:rPr>
                <w:rFonts w:eastAsia="Times New Roman"/>
                <w:sz w:val="20"/>
                <w:lang w:eastAsia="en-US"/>
              </w:rPr>
              <w:t> </w:t>
            </w:r>
            <w:r w:rsidRPr="008977B8">
              <w:rPr>
                <w:rFonts w:eastAsia="Times New Roman"/>
                <w:sz w:val="20"/>
                <w:lang w:eastAsia="en-US"/>
              </w:rPr>
              <w:t>API</w:t>
            </w:r>
          </w:p>
        </w:tc>
        <w:tc>
          <w:tcPr>
            <w:tcW w:w="2664" w:type="dxa"/>
          </w:tcPr>
          <w:p w14:paraId="7261048B" w14:textId="4FC1FEF9" w:rsidR="00EB6772" w:rsidRPr="008977B8" w:rsidRDefault="00EB6772" w:rsidP="00EB6772">
            <w:pPr>
              <w:pStyle w:val="Endofdocument-Annex"/>
              <w:ind w:left="0"/>
            </w:pPr>
            <w:r w:rsidRPr="008977B8">
              <w:rPr>
                <w:rFonts w:eastAsia="Times New Roman"/>
                <w:sz w:val="20"/>
                <w:lang w:eastAsia="en-US"/>
              </w:rPr>
              <w:t>Chaîne de blocs – document CWS/6/4</w:t>
            </w:r>
          </w:p>
        </w:tc>
      </w:tr>
      <w:tr w:rsidR="008977B8" w:rsidRPr="008977B8" w14:paraId="211D32FB" w14:textId="77777777" w:rsidTr="00BE0D13">
        <w:trPr>
          <w:cantSplit/>
        </w:trPr>
        <w:tc>
          <w:tcPr>
            <w:tcW w:w="3969" w:type="dxa"/>
          </w:tcPr>
          <w:p w14:paraId="620D5A9C" w14:textId="605F85B9" w:rsidR="00EB6772" w:rsidRPr="008977B8" w:rsidRDefault="00EB6772" w:rsidP="00EB6772">
            <w:pPr>
              <w:pStyle w:val="Endofdocument-Annex"/>
              <w:ind w:left="0"/>
            </w:pPr>
            <w:r w:rsidRPr="008977B8">
              <w:rPr>
                <w:rFonts w:eastAsia="Times New Roman"/>
                <w:sz w:val="20"/>
                <w:lang w:eastAsia="en-US"/>
              </w:rPr>
              <w:lastRenderedPageBreak/>
              <w:t xml:space="preserve">R12. </w:t>
            </w:r>
            <w:r w:rsidRPr="008977B8">
              <w:rPr>
                <w:rFonts w:eastAsia="Times New Roman"/>
                <w:sz w:val="20"/>
                <w:lang w:eastAsia="en-US"/>
              </w:rPr>
              <w:tab/>
              <w:t>En collaboration avec les États membres intéressés, le Bureau international doit élaborer un prototype de distribution du registre de propriété intellectuelle.  Le prototype pourrait être utilisé pour les demandes de propriété intellectuelle afin de créer un véritable registre des numéros de demandes, qui serait par exemple utilisé pour valider les revendications de priorité.  Étudier la possibilité d’utiliser un registre distribué de propriété intellectuelle connecté à WIPO CASE (l’accès centralisé aux résultats de la recherche et de l’examen) ou au registre international.  Le potentiel des technologies de chaîne de blocs pour connecter de tels registres distribués doit aussi être exploré.</w:t>
            </w:r>
          </w:p>
        </w:tc>
        <w:tc>
          <w:tcPr>
            <w:tcW w:w="1139" w:type="dxa"/>
          </w:tcPr>
          <w:p w14:paraId="3559F13B" w14:textId="4B9A004B"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5688471D" w14:textId="769C34F9" w:rsidR="00EB6772" w:rsidRPr="008977B8" w:rsidRDefault="00EB6772" w:rsidP="00EB6772">
            <w:pPr>
              <w:pStyle w:val="Endofdocument-Annex"/>
              <w:ind w:left="0"/>
            </w:pPr>
            <w:r w:rsidRPr="008977B8">
              <w:rPr>
                <w:rFonts w:eastAsia="Times New Roman"/>
                <w:sz w:val="20"/>
                <w:lang w:eastAsia="en-US"/>
              </w:rPr>
              <w:t>Proposition d’une nouvelle tâche (voir</w:t>
            </w:r>
            <w:r w:rsidR="009E6713">
              <w:rPr>
                <w:rFonts w:eastAsia="Times New Roman"/>
                <w:sz w:val="20"/>
                <w:lang w:eastAsia="en-US"/>
              </w:rPr>
              <w:t> </w:t>
            </w:r>
            <w:r w:rsidRPr="008977B8">
              <w:rPr>
                <w:rFonts w:eastAsia="Times New Roman"/>
                <w:sz w:val="20"/>
                <w:lang w:eastAsia="en-US"/>
              </w:rPr>
              <w:t>le document CWS/6/4)</w:t>
            </w:r>
          </w:p>
        </w:tc>
        <w:tc>
          <w:tcPr>
            <w:tcW w:w="2664" w:type="dxa"/>
          </w:tcPr>
          <w:p w14:paraId="451D05D7" w14:textId="15AB6714" w:rsidR="00EB6772" w:rsidRPr="008977B8" w:rsidRDefault="00EB6772" w:rsidP="00EB6772">
            <w:pPr>
              <w:pStyle w:val="Endofdocument-Annex"/>
              <w:ind w:left="0"/>
            </w:pPr>
            <w:r w:rsidRPr="008977B8">
              <w:rPr>
                <w:rFonts w:eastAsia="Times New Roman"/>
                <w:sz w:val="20"/>
                <w:lang w:eastAsia="en-US"/>
              </w:rPr>
              <w:t>La réunion a noté qu’une proposition pourrait être présentée au CWS tendant à créer une équipe d’experts chargée d’étudier l’utilisation des technologies de chaîne de blocs.  L’équipe d’experts tiendrait compte des observations formulées par certaines délégations, selon lesquelles un modèle fédéré de registre et la création de liens profonds pour ces registres, à des fins de recherche et de récupération, pourraient offrir une solution plus intéressante à court terme.</w:t>
            </w:r>
          </w:p>
        </w:tc>
      </w:tr>
      <w:tr w:rsidR="008977B8" w:rsidRPr="008977B8" w14:paraId="3C4BE550" w14:textId="77777777" w:rsidTr="00BE0D13">
        <w:trPr>
          <w:cantSplit/>
        </w:trPr>
        <w:tc>
          <w:tcPr>
            <w:tcW w:w="3969" w:type="dxa"/>
          </w:tcPr>
          <w:p w14:paraId="185C1AE6" w14:textId="6B9E2C46" w:rsidR="00EB6772" w:rsidRPr="008977B8" w:rsidRDefault="00EB6772" w:rsidP="00EB6772">
            <w:pPr>
              <w:pStyle w:val="Endofdocument-Annex"/>
              <w:ind w:left="0"/>
            </w:pPr>
            <w:r w:rsidRPr="008977B8">
              <w:rPr>
                <w:rFonts w:eastAsia="Times New Roman"/>
                <w:sz w:val="20"/>
                <w:lang w:eastAsia="en-US"/>
              </w:rPr>
              <w:t xml:space="preserve">R13. </w:t>
            </w:r>
            <w:r w:rsidRPr="008977B8">
              <w:rPr>
                <w:rFonts w:eastAsia="Times New Roman"/>
                <w:sz w:val="20"/>
                <w:lang w:eastAsia="en-US"/>
              </w:rPr>
              <w:tab/>
              <w:t>Les offices devraient œuvrer en vue d’accroître le degré d’échange de données normalisées entièrement en XML avec le Bureau international, en tenant compte des modèles synchronisés, tels que les services entre machines comme dans le système ePCT.</w:t>
            </w:r>
          </w:p>
        </w:tc>
        <w:tc>
          <w:tcPr>
            <w:tcW w:w="1139" w:type="dxa"/>
          </w:tcPr>
          <w:p w14:paraId="20809564" w14:textId="2E157A9C"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7FEFDAC4" w14:textId="090D6BD9" w:rsidR="00EB6772" w:rsidRPr="008977B8" w:rsidRDefault="00EB6772" w:rsidP="00EB6772">
            <w:pPr>
              <w:pStyle w:val="Endofdocument-Annex"/>
              <w:ind w:left="0"/>
            </w:pPr>
            <w:r w:rsidRPr="008977B8">
              <w:rPr>
                <w:rFonts w:eastAsia="Times New Roman"/>
                <w:sz w:val="20"/>
                <w:lang w:eastAsia="en-US"/>
              </w:rPr>
              <w:t>Tâche n° 38 – ST.36, Tâche n° 41 – ST.96</w:t>
            </w:r>
          </w:p>
        </w:tc>
        <w:tc>
          <w:tcPr>
            <w:tcW w:w="2664" w:type="dxa"/>
          </w:tcPr>
          <w:p w14:paraId="2FA88F4F" w14:textId="62EF07A5"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14B6C37E" w14:textId="77777777" w:rsidTr="00BE0D13">
        <w:trPr>
          <w:cantSplit/>
        </w:trPr>
        <w:tc>
          <w:tcPr>
            <w:tcW w:w="3969" w:type="dxa"/>
          </w:tcPr>
          <w:p w14:paraId="296FCA77" w14:textId="07053E67" w:rsidR="00EB6772" w:rsidRPr="008977B8" w:rsidRDefault="00EB6772" w:rsidP="00EB6772">
            <w:pPr>
              <w:pStyle w:val="Endofdocument-Annex"/>
              <w:ind w:left="0"/>
            </w:pPr>
            <w:r w:rsidRPr="008977B8">
              <w:rPr>
                <w:rFonts w:eastAsia="Times New Roman"/>
                <w:sz w:val="20"/>
                <w:lang w:eastAsia="en-US"/>
              </w:rPr>
              <w:t xml:space="preserve">R14. </w:t>
            </w:r>
            <w:r w:rsidRPr="008977B8">
              <w:rPr>
                <w:rFonts w:eastAsia="Times New Roman"/>
                <w:sz w:val="20"/>
                <w:lang w:eastAsia="en-US"/>
              </w:rPr>
              <w:tab/>
              <w:t>Le Bureau international et les offices devraient débuter des consultations au sujet d’un modèle normalisé pour l’échange de données concernant les échanges de documents traditionnellement bilatéraux selon le PCT, en considérant l’optimisation des investissements pour garantir les exigences de sécurité.</w:t>
            </w:r>
          </w:p>
        </w:tc>
        <w:tc>
          <w:tcPr>
            <w:tcW w:w="1139" w:type="dxa"/>
          </w:tcPr>
          <w:p w14:paraId="40B6F6D8" w14:textId="6F37B9C0"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46289E7A" w14:textId="7773AAAD" w:rsidR="00EB6772" w:rsidRPr="008977B8" w:rsidRDefault="00EB6772" w:rsidP="00EB6772">
            <w:pPr>
              <w:pStyle w:val="Endofdocument-Annex"/>
              <w:ind w:left="0"/>
            </w:pPr>
            <w:r w:rsidRPr="008977B8">
              <w:rPr>
                <w:rFonts w:eastAsia="Times New Roman"/>
                <w:sz w:val="20"/>
                <w:lang w:eastAsia="en-US"/>
              </w:rPr>
              <w:t>Tâche n° 56 – Norme</w:t>
            </w:r>
            <w:r w:rsidR="009E6713">
              <w:rPr>
                <w:rFonts w:eastAsia="Times New Roman"/>
                <w:sz w:val="20"/>
                <w:lang w:eastAsia="en-US"/>
              </w:rPr>
              <w:t> </w:t>
            </w:r>
            <w:r w:rsidRPr="008977B8">
              <w:rPr>
                <w:rFonts w:eastAsia="Times New Roman"/>
                <w:sz w:val="20"/>
                <w:lang w:eastAsia="en-US"/>
              </w:rPr>
              <w:t>API</w:t>
            </w:r>
          </w:p>
        </w:tc>
        <w:tc>
          <w:tcPr>
            <w:tcW w:w="2664" w:type="dxa"/>
          </w:tcPr>
          <w:p w14:paraId="1F547847" w14:textId="27F74B27"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6C5BF649" w14:textId="77777777" w:rsidTr="00BE0D13">
        <w:trPr>
          <w:cantSplit/>
        </w:trPr>
        <w:tc>
          <w:tcPr>
            <w:tcW w:w="3969" w:type="dxa"/>
          </w:tcPr>
          <w:p w14:paraId="6901093E" w14:textId="550ACD91" w:rsidR="00EB6772" w:rsidRPr="008977B8" w:rsidRDefault="00EB6772" w:rsidP="00EB6772">
            <w:pPr>
              <w:pStyle w:val="Endofdocument-Annex"/>
              <w:ind w:left="0"/>
            </w:pPr>
            <w:r w:rsidRPr="008977B8">
              <w:rPr>
                <w:rFonts w:eastAsia="Times New Roman"/>
                <w:sz w:val="20"/>
                <w:lang w:eastAsia="en-US"/>
              </w:rPr>
              <w:t xml:space="preserve">R15. </w:t>
            </w:r>
            <w:r w:rsidRPr="008977B8">
              <w:rPr>
                <w:rFonts w:eastAsia="Times New Roman"/>
                <w:sz w:val="20"/>
                <w:lang w:eastAsia="en-US"/>
              </w:rPr>
              <w:tab/>
              <w:t>Les offices devraient rechercher des moyens techniques et juridiques d’identifier des familles de brevets avant publication et de garantir l’autorisation pour les offices traitant les membres de la famille d’accéder aux rapports de recherche et d’examen.  La présente recommandation doit être considérée de concert avec la recommandation R12 concernant l’établissement de registres distribués, étant donné qu’une quantité limitée d’informations (comme les références de priorité) peut finalement être partagée dans un registre distribué avant la publication.</w:t>
            </w:r>
          </w:p>
        </w:tc>
        <w:tc>
          <w:tcPr>
            <w:tcW w:w="1139" w:type="dxa"/>
          </w:tcPr>
          <w:p w14:paraId="67CC816A" w14:textId="1A7D0892"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2B8D9CF2" w14:textId="0B2CD0D4" w:rsidR="00EB6772" w:rsidRPr="008977B8" w:rsidRDefault="00EB6772" w:rsidP="00EB6772">
            <w:pPr>
              <w:pStyle w:val="Endofdocument-Annex"/>
              <w:ind w:left="0"/>
            </w:pPr>
            <w:r w:rsidRPr="008977B8">
              <w:rPr>
                <w:rFonts w:eastAsia="Times New Roman"/>
                <w:sz w:val="20"/>
                <w:lang w:eastAsia="en-US"/>
              </w:rPr>
              <w:t>Proposition d’une nouvelle tâche (voir</w:t>
            </w:r>
            <w:r w:rsidR="009E6713">
              <w:rPr>
                <w:rFonts w:eastAsia="Times New Roman"/>
                <w:sz w:val="20"/>
                <w:lang w:eastAsia="en-US"/>
              </w:rPr>
              <w:t> </w:t>
            </w:r>
            <w:r w:rsidRPr="008977B8">
              <w:rPr>
                <w:rFonts w:eastAsia="Times New Roman"/>
                <w:sz w:val="20"/>
                <w:lang w:eastAsia="en-US"/>
              </w:rPr>
              <w:t>le document CWS/6/4)</w:t>
            </w:r>
          </w:p>
        </w:tc>
        <w:tc>
          <w:tcPr>
            <w:tcW w:w="2664" w:type="dxa"/>
          </w:tcPr>
          <w:p w14:paraId="72CAB6CB" w14:textId="77777777" w:rsidR="00EB6772" w:rsidRPr="008977B8" w:rsidRDefault="00EB6772" w:rsidP="00EB6772">
            <w:pPr>
              <w:pStyle w:val="Endofdocument-Annex"/>
              <w:ind w:left="0"/>
            </w:pPr>
          </w:p>
        </w:tc>
      </w:tr>
      <w:tr w:rsidR="008977B8" w:rsidRPr="008977B8" w14:paraId="1DEC6DAF" w14:textId="77777777" w:rsidTr="00BE0D13">
        <w:trPr>
          <w:cantSplit/>
        </w:trPr>
        <w:tc>
          <w:tcPr>
            <w:tcW w:w="3969" w:type="dxa"/>
          </w:tcPr>
          <w:p w14:paraId="7E68CC25" w14:textId="305350BB" w:rsidR="00EB6772" w:rsidRPr="008977B8" w:rsidRDefault="00EB6772" w:rsidP="00EB6772">
            <w:pPr>
              <w:pStyle w:val="Endofdocument-Annex"/>
              <w:ind w:left="0"/>
            </w:pPr>
            <w:r w:rsidRPr="008977B8">
              <w:rPr>
                <w:rFonts w:eastAsia="Times New Roman"/>
                <w:sz w:val="20"/>
                <w:lang w:eastAsia="en-US"/>
              </w:rPr>
              <w:lastRenderedPageBreak/>
              <w:t xml:space="preserve">R16. </w:t>
            </w:r>
            <w:r w:rsidRPr="008977B8">
              <w:rPr>
                <w:rFonts w:eastAsia="Times New Roman"/>
                <w:sz w:val="20"/>
                <w:lang w:eastAsia="en-US"/>
              </w:rPr>
              <w:tab/>
              <w:t>Il conviendrait d’analyser attentivement les formats applicables au corps de la demande au regard des normes ST.36 et ST.96 de l’OMPI, et de formuler des recommandations en vue d’adopter des formes de mise en œuvre plus précises et pratiques que les normes générales (qui offrent un nombre considérable de possibilités), satisfaisant tous les besoins relatifs au traitement des demandes de brevet et permettant des modifications bidirectionnelles fiables.</w:t>
            </w:r>
          </w:p>
        </w:tc>
        <w:tc>
          <w:tcPr>
            <w:tcW w:w="1139" w:type="dxa"/>
          </w:tcPr>
          <w:p w14:paraId="156C90F2" w14:textId="074CF1CD"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01013DCE" w14:textId="2DE4ED1C" w:rsidR="00EB6772" w:rsidRPr="008977B8" w:rsidRDefault="00EB6772" w:rsidP="00EB6772">
            <w:pPr>
              <w:pStyle w:val="Endofdocument-Annex"/>
              <w:ind w:left="0"/>
            </w:pPr>
            <w:r w:rsidRPr="008977B8">
              <w:rPr>
                <w:rFonts w:eastAsia="Times New Roman"/>
                <w:sz w:val="20"/>
                <w:lang w:eastAsia="en-US"/>
              </w:rPr>
              <w:t>Tâche n° 38 – ST.36, Tâche n° 41 – ST.96</w:t>
            </w:r>
          </w:p>
        </w:tc>
        <w:tc>
          <w:tcPr>
            <w:tcW w:w="2664" w:type="dxa"/>
          </w:tcPr>
          <w:p w14:paraId="27ACA98E" w14:textId="42692862" w:rsidR="00EB6772" w:rsidRPr="008977B8" w:rsidRDefault="00EB6772" w:rsidP="00EB6772">
            <w:pPr>
              <w:pStyle w:val="Endofdocument-Annex"/>
              <w:ind w:left="0"/>
            </w:pPr>
            <w:r w:rsidRPr="008977B8">
              <w:rPr>
                <w:rFonts w:eastAsia="Times New Roman"/>
                <w:sz w:val="20"/>
                <w:lang w:eastAsia="en-US"/>
              </w:rPr>
              <w:t>La réunion a noté que Les offices envisagent de passer à la norme ST.96 de l’OMPI mais relèvent certaines difficultés en ce qui concerne la conversion et la gestion de formats multiples.</w:t>
            </w:r>
            <w:r w:rsidRPr="008977B8">
              <w:rPr>
                <w:sz w:val="20"/>
              </w:rPr>
              <w:t xml:space="preserve">  </w:t>
            </w:r>
            <w:r w:rsidRPr="008977B8">
              <w:rPr>
                <w:rFonts w:eastAsia="Times New Roman"/>
                <w:sz w:val="20"/>
                <w:lang w:eastAsia="en-US"/>
              </w:rPr>
              <w:t>L’Équipe d’experts chargée de la norme XML4IP est supposée examiner de nouveaux éléments pour la norme ST.96, notamment les rapports de recherche ou d’examen et l’extension possible des travaux de l’équipe d’experts aux questions de mise en œuvre liées aux mécanismes de validation XML afin d’améliorer l’interopérabilité entre les offices (voir les recommandations R16 et R17).  D’autres compétences juridiques et techniques pourraient être nécessaires pour ces éléments supplémentaires.</w:t>
            </w:r>
          </w:p>
        </w:tc>
      </w:tr>
      <w:tr w:rsidR="008977B8" w:rsidRPr="008977B8" w14:paraId="6E414019" w14:textId="77777777" w:rsidTr="00BE0D13">
        <w:trPr>
          <w:cantSplit/>
        </w:trPr>
        <w:tc>
          <w:tcPr>
            <w:tcW w:w="3969" w:type="dxa"/>
          </w:tcPr>
          <w:p w14:paraId="3C3DB21A" w14:textId="573F0FF1" w:rsidR="00EB6772" w:rsidRPr="008977B8" w:rsidRDefault="00EB6772" w:rsidP="00EB6772">
            <w:pPr>
              <w:pStyle w:val="Endofdocument-Annex"/>
              <w:ind w:left="0"/>
            </w:pPr>
            <w:r w:rsidRPr="008977B8">
              <w:rPr>
                <w:rFonts w:eastAsia="Times New Roman"/>
                <w:sz w:val="20"/>
                <w:lang w:eastAsia="en-US"/>
              </w:rPr>
              <w:t xml:space="preserve">R17.  </w:t>
            </w:r>
            <w:r w:rsidRPr="008977B8">
              <w:rPr>
                <w:rFonts w:eastAsia="Times New Roman"/>
                <w:sz w:val="20"/>
                <w:lang w:eastAsia="en-US"/>
              </w:rPr>
              <w:tab/>
              <w:t>Le travail d’élaboration de normes relatives aux rapports de recherche et d’examen au regard de la norme ST.96 de l’OMPI ne doit pas simplement aboutir à la mise en conformité de la norme ST.36 avec les exigences de la norme ST.96, mais doit permettre de déterminer si les structures en place encouragent une réutilisation simple des données entre les différents stades de la recherche et de l’examen, à la fois au sein d’un office de propriété intellectuelle et entre différents offices.</w:t>
            </w:r>
          </w:p>
        </w:tc>
        <w:tc>
          <w:tcPr>
            <w:tcW w:w="1139" w:type="dxa"/>
          </w:tcPr>
          <w:p w14:paraId="25E66042" w14:textId="29537050"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120786D1" w14:textId="010865CA" w:rsidR="00EB6772" w:rsidRPr="008977B8" w:rsidRDefault="00EB6772" w:rsidP="00EB6772">
            <w:pPr>
              <w:pStyle w:val="Endofdocument-Annex"/>
              <w:ind w:left="0"/>
            </w:pPr>
            <w:r w:rsidRPr="008977B8">
              <w:rPr>
                <w:rFonts w:eastAsia="Times New Roman"/>
                <w:sz w:val="20"/>
                <w:lang w:eastAsia="en-US"/>
              </w:rPr>
              <w:t>Tâche n° 38 – ST.36, Tâche n° 41 – ST.96</w:t>
            </w:r>
          </w:p>
        </w:tc>
        <w:tc>
          <w:tcPr>
            <w:tcW w:w="2664" w:type="dxa"/>
          </w:tcPr>
          <w:p w14:paraId="45CBB44D" w14:textId="3A3596C1"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3252635A" w14:textId="77777777" w:rsidTr="00BE0D13">
        <w:trPr>
          <w:cantSplit/>
        </w:trPr>
        <w:tc>
          <w:tcPr>
            <w:tcW w:w="3969" w:type="dxa"/>
          </w:tcPr>
          <w:p w14:paraId="0E5D6A70" w14:textId="34E52F93" w:rsidR="00EB6772" w:rsidRPr="008977B8" w:rsidRDefault="00EB6772" w:rsidP="00EB6772">
            <w:pPr>
              <w:pStyle w:val="Endofdocument-Annex"/>
              <w:ind w:left="0"/>
            </w:pPr>
            <w:r w:rsidRPr="008977B8">
              <w:rPr>
                <w:rFonts w:eastAsia="Times New Roman"/>
                <w:sz w:val="20"/>
                <w:lang w:eastAsia="en-US"/>
              </w:rPr>
              <w:lastRenderedPageBreak/>
              <w:t xml:space="preserve">R18. </w:t>
            </w:r>
            <w:r w:rsidRPr="008977B8">
              <w:rPr>
                <w:rFonts w:eastAsia="Times New Roman"/>
                <w:sz w:val="20"/>
                <w:lang w:eastAsia="en-US"/>
              </w:rPr>
              <w:tab/>
              <w:t>Il conviendrait de mettre au point un logiciel de conversion commun aux fins de la validation et de la conversion en format XML simplifié des principaux types de documents (DOCX pour commencer, puis éventuellement d’autres formats).  Les versions de ce logiciel devront être attentivement contrôlées.  En outre, le logiciel devra pouvoir être intégré dans des systèmes de traitement nationaux (dans le cadre soit d’un déploiement local, soit de la création d’une API pour ce qui est des instances centralisées), et être capable de produire des données conformes à la norme ST.36 ou ST.96 de l’OMPI, dans un format permettant si nécessaire une conversion précise à un stade ultérieur.  Plus tard, il faudrait envisager de mettre au point un convertisseur fonctionnant dans le sens inverse (norme ST.36 ou ST.96 vers DOCX), si tant est que ce logiciel puisse favoriser un processus efficace de modification et de correction des demandes.</w:t>
            </w:r>
          </w:p>
        </w:tc>
        <w:tc>
          <w:tcPr>
            <w:tcW w:w="1139" w:type="dxa"/>
          </w:tcPr>
          <w:p w14:paraId="30C8F70C" w14:textId="575EE7F4"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28BA4F38" w14:textId="6EF55567" w:rsidR="00EB6772" w:rsidRPr="008977B8" w:rsidRDefault="00EB6772" w:rsidP="00EB6772">
            <w:pPr>
              <w:pStyle w:val="Endofdocument-Annex"/>
              <w:ind w:left="0"/>
            </w:pPr>
            <w:r w:rsidRPr="008977B8">
              <w:rPr>
                <w:rFonts w:eastAsia="Times New Roman"/>
                <w:sz w:val="20"/>
                <w:lang w:eastAsia="en-US"/>
              </w:rPr>
              <w:t>Tâche n° 38 – ST.36, Tâche n° 41 – ST.96</w:t>
            </w:r>
          </w:p>
        </w:tc>
        <w:tc>
          <w:tcPr>
            <w:tcW w:w="2664" w:type="dxa"/>
          </w:tcPr>
          <w:p w14:paraId="0E7DD23E" w14:textId="54DA417C"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59E40F60" w14:textId="77777777" w:rsidTr="00BE0D13">
        <w:trPr>
          <w:cantSplit/>
        </w:trPr>
        <w:tc>
          <w:tcPr>
            <w:tcW w:w="3969" w:type="dxa"/>
          </w:tcPr>
          <w:p w14:paraId="273EC8EF" w14:textId="540F0FA2" w:rsidR="00EB6772" w:rsidRPr="008977B8" w:rsidRDefault="00EB6772" w:rsidP="00EB6772">
            <w:pPr>
              <w:pStyle w:val="Endofdocument-Annex"/>
              <w:ind w:left="0"/>
            </w:pPr>
            <w:r w:rsidRPr="008977B8">
              <w:rPr>
                <w:rFonts w:eastAsia="Times New Roman"/>
                <w:sz w:val="20"/>
                <w:lang w:eastAsia="en-US"/>
              </w:rPr>
              <w:t xml:space="preserve">R19. </w:t>
            </w:r>
            <w:r w:rsidRPr="008977B8">
              <w:rPr>
                <w:rFonts w:eastAsia="Times New Roman"/>
                <w:sz w:val="20"/>
                <w:lang w:eastAsia="en-US"/>
              </w:rPr>
              <w:tab/>
              <w:t>Les offices de propriété intellectuelle et le Bureau international devraient convenir de paquets de données bibliographiques/descriptives conformes au PLT à inclure dans leurs systèmes de dépôt en ligne, ainsi que d’une méthode commune de codage des sections réservées aux offices, pour ainsi permettre une réutilisation plus effective des données bibliographiques/descriptives contenues dans les demandes préalablement déposées, et la mise au point de systèmes de gestion de la propriété intellectuelle par des parties tierces en vue de produire des données bibliographiques/descriptives sans qu’il soit besoin de les convertir ou de les saisir de nouveau.</w:t>
            </w:r>
          </w:p>
        </w:tc>
        <w:tc>
          <w:tcPr>
            <w:tcW w:w="1139" w:type="dxa"/>
          </w:tcPr>
          <w:p w14:paraId="2EAF45C7" w14:textId="60D78EAB"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1514ABAD" w14:textId="488927A3" w:rsidR="00EB6772" w:rsidRPr="008977B8" w:rsidRDefault="00EB6772" w:rsidP="00EB6772">
            <w:pPr>
              <w:pStyle w:val="Endofdocument-Annex"/>
              <w:ind w:left="0"/>
            </w:pPr>
            <w:r w:rsidRPr="008977B8">
              <w:rPr>
                <w:rFonts w:eastAsia="Times New Roman"/>
                <w:sz w:val="20"/>
                <w:lang w:eastAsia="en-US"/>
              </w:rPr>
              <w:t>Tâche n° 41 – ST.96</w:t>
            </w:r>
          </w:p>
        </w:tc>
        <w:tc>
          <w:tcPr>
            <w:tcW w:w="2664" w:type="dxa"/>
          </w:tcPr>
          <w:p w14:paraId="550AD128" w14:textId="50C2792C" w:rsidR="00EB6772" w:rsidRPr="008977B8" w:rsidRDefault="00EB6772" w:rsidP="00EB6772">
            <w:pPr>
              <w:pStyle w:val="Endofdocument-Annex"/>
              <w:ind w:left="0"/>
            </w:pPr>
            <w:r w:rsidRPr="008977B8">
              <w:rPr>
                <w:rFonts w:eastAsia="Times New Roman"/>
                <w:sz w:val="20"/>
                <w:lang w:eastAsia="en-US"/>
              </w:rPr>
              <w:t xml:space="preserve">La version 3.0 de la norme ST.96 porte sur la plupart des éléments de données qui peuvent être utilisés dans des formulaires internationaux types selon le PLT (http://www.wipo.int/plt-forum/fr/#mif) </w:t>
            </w:r>
          </w:p>
        </w:tc>
      </w:tr>
      <w:tr w:rsidR="008977B8" w:rsidRPr="008977B8" w14:paraId="7DF26197" w14:textId="77777777" w:rsidTr="00BE0D13">
        <w:trPr>
          <w:cantSplit/>
        </w:trPr>
        <w:tc>
          <w:tcPr>
            <w:tcW w:w="3969" w:type="dxa"/>
          </w:tcPr>
          <w:p w14:paraId="6DE87E04" w14:textId="4FAF6879" w:rsidR="00EB6772" w:rsidRPr="008977B8" w:rsidRDefault="00EB6772" w:rsidP="00EB6772">
            <w:pPr>
              <w:pStyle w:val="Endofdocument-Annex"/>
              <w:ind w:left="0"/>
            </w:pPr>
            <w:r w:rsidRPr="008977B8">
              <w:rPr>
                <w:rFonts w:eastAsia="Times New Roman"/>
                <w:sz w:val="20"/>
                <w:lang w:eastAsia="en-US"/>
              </w:rPr>
              <w:t xml:space="preserve">R20. </w:t>
            </w:r>
            <w:r w:rsidRPr="008977B8">
              <w:rPr>
                <w:rFonts w:eastAsia="Times New Roman"/>
                <w:sz w:val="20"/>
                <w:lang w:eastAsia="en-US"/>
              </w:rPr>
              <w:tab/>
              <w:t>Les offices de propriété intellectuelle et le Bureau international devraient définir des formats de paquet (s’agissant du PCT, on pourrait se fonder sur les paquets prévus à l’annexe F du PCT) pouvant être aisément préparés par le logiciel d’une partie tierce (même s’il s’agit d’exporter une demande déposée auprès d’un autre office) et transmis aux serveurs des offices pour présaisir la majeure partie d’un projet de demande avant de la terminer par le biais d’un système de dépôt en ligne.</w:t>
            </w:r>
          </w:p>
        </w:tc>
        <w:tc>
          <w:tcPr>
            <w:tcW w:w="1139" w:type="dxa"/>
          </w:tcPr>
          <w:p w14:paraId="0B37607C" w14:textId="1747BB7B" w:rsidR="00EB6772" w:rsidRPr="008977B8" w:rsidRDefault="00EB6772" w:rsidP="00EB6772">
            <w:pPr>
              <w:pStyle w:val="Endofdocument-Annex"/>
              <w:ind w:left="0"/>
            </w:pPr>
            <w:r w:rsidRPr="008977B8">
              <w:rPr>
                <w:rFonts w:eastAsia="Times New Roman"/>
                <w:sz w:val="20"/>
                <w:lang w:eastAsia="en-US"/>
              </w:rPr>
              <w:t>Groupe 2</w:t>
            </w:r>
          </w:p>
        </w:tc>
        <w:tc>
          <w:tcPr>
            <w:tcW w:w="2128" w:type="dxa"/>
          </w:tcPr>
          <w:p w14:paraId="667D2047" w14:textId="35F02923" w:rsidR="00EB6772" w:rsidRPr="008977B8" w:rsidRDefault="00EB6772" w:rsidP="00EB6772">
            <w:pPr>
              <w:pStyle w:val="Endofdocument-Annex"/>
              <w:ind w:left="0"/>
            </w:pPr>
            <w:r w:rsidRPr="008977B8">
              <w:rPr>
                <w:rFonts w:eastAsia="Times New Roman"/>
                <w:sz w:val="20"/>
                <w:lang w:eastAsia="en-US"/>
              </w:rPr>
              <w:t> </w:t>
            </w:r>
          </w:p>
        </w:tc>
        <w:tc>
          <w:tcPr>
            <w:tcW w:w="2664" w:type="dxa"/>
          </w:tcPr>
          <w:p w14:paraId="694C3C93" w14:textId="5966FA2E"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5A8431F8" w14:textId="77777777" w:rsidTr="00BE0D13">
        <w:trPr>
          <w:cantSplit/>
        </w:trPr>
        <w:tc>
          <w:tcPr>
            <w:tcW w:w="3969" w:type="dxa"/>
          </w:tcPr>
          <w:p w14:paraId="61EF3FE9" w14:textId="5E98A813" w:rsidR="00EB6772" w:rsidRPr="008977B8" w:rsidRDefault="00EB6772" w:rsidP="00EB6772">
            <w:pPr>
              <w:pStyle w:val="Endofdocument-Annex"/>
              <w:ind w:left="0"/>
            </w:pPr>
            <w:r w:rsidRPr="008977B8">
              <w:rPr>
                <w:rFonts w:eastAsia="Times New Roman"/>
                <w:sz w:val="20"/>
                <w:lang w:eastAsia="en-US"/>
              </w:rPr>
              <w:t xml:space="preserve">R21. </w:t>
            </w:r>
            <w:r w:rsidRPr="008977B8">
              <w:rPr>
                <w:rFonts w:eastAsia="Times New Roman"/>
                <w:sz w:val="20"/>
                <w:lang w:eastAsia="en-US"/>
              </w:rPr>
              <w:tab/>
              <w:t>Les offices de propriété intellectuelle devraient prendre part aux projets de l’OMPI et se servir de plateformes et d’outils internationaux communs, auxquels les systèmes de TIC des offices comme WIPO CASE et le portail mondial des registres de la propriété intellectuelle de l’OMPI devraient être liés et fournir des données de propriété intellectuelle en conformité avec les normes pertinentes de l’OMPI.</w:t>
            </w:r>
          </w:p>
        </w:tc>
        <w:tc>
          <w:tcPr>
            <w:tcW w:w="1139" w:type="dxa"/>
          </w:tcPr>
          <w:p w14:paraId="3273C382" w14:textId="2174DA4A"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1E20215A" w14:textId="6FE1A69D" w:rsidR="00EB6772" w:rsidRPr="008977B8" w:rsidRDefault="00EB6772" w:rsidP="00EB6772">
            <w:pPr>
              <w:pStyle w:val="Endofdocument-Annex"/>
              <w:ind w:left="0"/>
            </w:pPr>
            <w:r w:rsidRPr="008977B8">
              <w:rPr>
                <w:rFonts w:eastAsia="Times New Roman"/>
                <w:sz w:val="20"/>
                <w:lang w:eastAsia="en-US"/>
              </w:rPr>
              <w:t>Diverses normes de l’OMPI et Tâche</w:t>
            </w:r>
            <w:r w:rsidR="009E6713">
              <w:rPr>
                <w:rFonts w:eastAsia="Times New Roman"/>
                <w:sz w:val="20"/>
                <w:lang w:eastAsia="en-US"/>
              </w:rPr>
              <w:t> </w:t>
            </w:r>
            <w:r w:rsidRPr="008977B8">
              <w:rPr>
                <w:rFonts w:eastAsia="Times New Roman"/>
                <w:sz w:val="20"/>
                <w:lang w:eastAsia="en-US"/>
              </w:rPr>
              <w:t>n° 44 – ST.26 Outil logiciel</w:t>
            </w:r>
          </w:p>
        </w:tc>
        <w:tc>
          <w:tcPr>
            <w:tcW w:w="2664" w:type="dxa"/>
          </w:tcPr>
          <w:p w14:paraId="51AC4C57" w14:textId="2BE79606"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79E0BF45" w14:textId="77777777" w:rsidTr="00BE0D13">
        <w:trPr>
          <w:cantSplit/>
        </w:trPr>
        <w:tc>
          <w:tcPr>
            <w:tcW w:w="3969" w:type="dxa"/>
          </w:tcPr>
          <w:p w14:paraId="559D92F0" w14:textId="6E7336AC" w:rsidR="00EB6772" w:rsidRPr="008977B8" w:rsidRDefault="00EB6772" w:rsidP="00EB6772">
            <w:pPr>
              <w:pStyle w:val="Endofdocument-Annex"/>
              <w:ind w:left="0"/>
            </w:pPr>
            <w:r w:rsidRPr="008977B8">
              <w:rPr>
                <w:rFonts w:eastAsia="Times New Roman"/>
                <w:sz w:val="20"/>
                <w:lang w:eastAsia="en-US"/>
              </w:rPr>
              <w:t xml:space="preserve">R22. </w:t>
            </w:r>
            <w:r w:rsidRPr="008977B8">
              <w:rPr>
                <w:rFonts w:eastAsia="Times New Roman"/>
                <w:sz w:val="20"/>
                <w:lang w:eastAsia="en-US"/>
              </w:rPr>
              <w:tab/>
              <w:t>Les offices de propriété intellectuelle devraient échanger et diffuser les informations et les données relatives aux brevets sans rencontrer d’obstacles et en toute gratuité, ou à un coût marginal.</w:t>
            </w:r>
          </w:p>
        </w:tc>
        <w:tc>
          <w:tcPr>
            <w:tcW w:w="1139" w:type="dxa"/>
          </w:tcPr>
          <w:p w14:paraId="191AD1D0" w14:textId="55056429"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34EFDD1F" w14:textId="4AE06684" w:rsidR="00EB6772" w:rsidRPr="008977B8" w:rsidRDefault="00EB6772" w:rsidP="00EB6772">
            <w:pPr>
              <w:pStyle w:val="Endofdocument-Annex"/>
              <w:ind w:left="0"/>
            </w:pPr>
            <w:r w:rsidRPr="008977B8">
              <w:rPr>
                <w:rFonts w:eastAsia="Times New Roman"/>
                <w:sz w:val="20"/>
                <w:lang w:eastAsia="en-US"/>
              </w:rPr>
              <w:t>Tâche n° 52 – Accès public à l’information en matière de brevets</w:t>
            </w:r>
          </w:p>
        </w:tc>
        <w:tc>
          <w:tcPr>
            <w:tcW w:w="2664" w:type="dxa"/>
          </w:tcPr>
          <w:p w14:paraId="7102CFD1" w14:textId="1DC9A5D4" w:rsidR="00EB6772" w:rsidRPr="008977B8" w:rsidRDefault="00EB6772" w:rsidP="00EB6772">
            <w:pPr>
              <w:pStyle w:val="Endofdocument-Annex"/>
              <w:ind w:left="0"/>
            </w:pPr>
            <w:r w:rsidRPr="008977B8">
              <w:rPr>
                <w:rFonts w:eastAsia="Times New Roman"/>
                <w:sz w:val="20"/>
                <w:lang w:eastAsia="en-US"/>
              </w:rPr>
              <w:t>La réunion a noté qu’il n’existe pas de politique internationale concernant l’échange sans restrictions d’information en matière de brevets, bien que de nombreuses délégations aient déjà adopté une politique de ce type et souhaitent qu’elle soit plus largement appliquée.  Cette politique devrait préciser l’étendue de l’information en matière de brevets (données bibliographiques, données en texte intégral, citations, données de classement et produits des offices).</w:t>
            </w:r>
          </w:p>
        </w:tc>
      </w:tr>
      <w:tr w:rsidR="008977B8" w:rsidRPr="008977B8" w14:paraId="142AEAF4" w14:textId="77777777" w:rsidTr="00BE0D13">
        <w:trPr>
          <w:cantSplit/>
        </w:trPr>
        <w:tc>
          <w:tcPr>
            <w:tcW w:w="3969" w:type="dxa"/>
          </w:tcPr>
          <w:p w14:paraId="4A79761A" w14:textId="5BEB819E" w:rsidR="00EB6772" w:rsidRPr="008977B8" w:rsidRDefault="00EB6772" w:rsidP="00EB6772">
            <w:pPr>
              <w:pStyle w:val="Endofdocument-Annex"/>
              <w:ind w:left="0"/>
            </w:pPr>
            <w:r w:rsidRPr="008977B8">
              <w:rPr>
                <w:rFonts w:eastAsia="Times New Roman"/>
                <w:sz w:val="20"/>
                <w:lang w:eastAsia="en-US"/>
              </w:rPr>
              <w:t xml:space="preserve">R23. </w:t>
            </w:r>
            <w:r w:rsidRPr="008977B8">
              <w:rPr>
                <w:rFonts w:eastAsia="Times New Roman"/>
                <w:sz w:val="20"/>
                <w:lang w:eastAsia="en-US"/>
              </w:rPr>
              <w:tab/>
              <w:t>Les offices de propriété intellectuelle sont encouragés à fournir au Bureau international leur fichier d’autorité ou un lien vers le site Web comportant ce fichier.</w:t>
            </w:r>
          </w:p>
        </w:tc>
        <w:tc>
          <w:tcPr>
            <w:tcW w:w="1139" w:type="dxa"/>
          </w:tcPr>
          <w:p w14:paraId="30B498DD" w14:textId="74D86ECD"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1B5932D3" w14:textId="2E1F9799" w:rsidR="00EB6772" w:rsidRPr="008977B8" w:rsidRDefault="00EB6772" w:rsidP="00EB6772">
            <w:pPr>
              <w:pStyle w:val="Endofdocument-Annex"/>
              <w:ind w:left="0"/>
            </w:pPr>
            <w:r w:rsidRPr="008977B8">
              <w:rPr>
                <w:rFonts w:eastAsia="Times New Roman"/>
                <w:sz w:val="20"/>
                <w:lang w:eastAsia="en-US"/>
              </w:rPr>
              <w:t>Tâche n° 51 – ST.37</w:t>
            </w:r>
          </w:p>
        </w:tc>
        <w:tc>
          <w:tcPr>
            <w:tcW w:w="2664" w:type="dxa"/>
          </w:tcPr>
          <w:p w14:paraId="47FF88A4" w14:textId="032B8878" w:rsidR="00EB6772" w:rsidRPr="008977B8" w:rsidRDefault="00EB6772" w:rsidP="00EB6772">
            <w:pPr>
              <w:pStyle w:val="Endofdocument-Annex"/>
              <w:ind w:left="0"/>
            </w:pPr>
            <w:r w:rsidRPr="008977B8">
              <w:rPr>
                <w:rFonts w:eastAsia="Times New Roman"/>
                <w:sz w:val="20"/>
                <w:lang w:eastAsia="en-US"/>
              </w:rPr>
              <w:t xml:space="preserve">La réunion a noté que les fichiers d’autorité sont déjà mis à disposition par certains offices et ont été normalisés dans la norme ST.37 de l’OMPI.  Les autres offices sont encouragés </w:t>
            </w:r>
            <w:r w:rsidR="009E6713">
              <w:rPr>
                <w:rFonts w:eastAsia="Times New Roman"/>
                <w:sz w:val="20"/>
                <w:lang w:eastAsia="en-US"/>
              </w:rPr>
              <w:t xml:space="preserve">à mettre en œuvre cette norme. </w:t>
            </w:r>
          </w:p>
        </w:tc>
      </w:tr>
      <w:tr w:rsidR="008977B8" w:rsidRPr="008977B8" w14:paraId="32751D13" w14:textId="77777777" w:rsidTr="00BE0D13">
        <w:trPr>
          <w:cantSplit/>
        </w:trPr>
        <w:tc>
          <w:tcPr>
            <w:tcW w:w="3969" w:type="dxa"/>
          </w:tcPr>
          <w:p w14:paraId="2D9F7387" w14:textId="7808E540" w:rsidR="00EB6772" w:rsidRPr="008977B8" w:rsidRDefault="00EB6772" w:rsidP="00EB6772">
            <w:pPr>
              <w:pStyle w:val="Endofdocument-Annex"/>
              <w:ind w:left="0"/>
            </w:pPr>
            <w:r w:rsidRPr="008977B8">
              <w:rPr>
                <w:rFonts w:eastAsia="Times New Roman"/>
                <w:sz w:val="20"/>
                <w:lang w:eastAsia="en-US"/>
              </w:rPr>
              <w:t xml:space="preserve">R24. </w:t>
            </w:r>
            <w:r w:rsidRPr="008977B8">
              <w:rPr>
                <w:rFonts w:eastAsia="Times New Roman"/>
                <w:sz w:val="20"/>
                <w:lang w:eastAsia="en-US"/>
              </w:rPr>
              <w:tab/>
              <w:t>Étudier la possibilité de créer un fonds fiduciaire international auquel les offices de propriété intellectuelle contribueraient volontairement en vue de renforcer la coopération internationale aux fins de la numérisation des données de propriété intellectuelle, considérées comme un bien public mondial.</w:t>
            </w:r>
          </w:p>
        </w:tc>
        <w:tc>
          <w:tcPr>
            <w:tcW w:w="1139" w:type="dxa"/>
          </w:tcPr>
          <w:p w14:paraId="591FC21B" w14:textId="084FB86C" w:rsidR="00EB6772" w:rsidRPr="008977B8" w:rsidRDefault="00EB6772" w:rsidP="00EB6772">
            <w:pPr>
              <w:pStyle w:val="Endofdocument-Annex"/>
              <w:ind w:left="0"/>
            </w:pPr>
            <w:r w:rsidRPr="008977B8">
              <w:rPr>
                <w:rFonts w:eastAsia="Times New Roman"/>
                <w:sz w:val="20"/>
                <w:lang w:eastAsia="en-US"/>
              </w:rPr>
              <w:t>Groupe 3</w:t>
            </w:r>
          </w:p>
        </w:tc>
        <w:tc>
          <w:tcPr>
            <w:tcW w:w="2128" w:type="dxa"/>
          </w:tcPr>
          <w:p w14:paraId="32666B43" w14:textId="7562B78F" w:rsidR="00EB6772" w:rsidRPr="008977B8" w:rsidRDefault="00EB6772" w:rsidP="00EB6772">
            <w:pPr>
              <w:pStyle w:val="Endofdocument-Annex"/>
              <w:ind w:left="0"/>
            </w:pPr>
            <w:r w:rsidRPr="008977B8">
              <w:rPr>
                <w:rFonts w:eastAsia="Times New Roman"/>
                <w:sz w:val="20"/>
                <w:lang w:eastAsia="en-US"/>
              </w:rPr>
              <w:t> </w:t>
            </w:r>
          </w:p>
        </w:tc>
        <w:tc>
          <w:tcPr>
            <w:tcW w:w="2664" w:type="dxa"/>
          </w:tcPr>
          <w:p w14:paraId="1E2DC0EF" w14:textId="6728EF38"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443CCEF1" w14:textId="77777777" w:rsidTr="00BE0D13">
        <w:trPr>
          <w:cantSplit/>
        </w:trPr>
        <w:tc>
          <w:tcPr>
            <w:tcW w:w="3969" w:type="dxa"/>
          </w:tcPr>
          <w:p w14:paraId="69ED5945" w14:textId="286E245E" w:rsidR="00EB6772" w:rsidRPr="008977B8" w:rsidRDefault="00EB6772" w:rsidP="00EB6772">
            <w:pPr>
              <w:pStyle w:val="Endofdocument-Annex"/>
              <w:ind w:left="0"/>
            </w:pPr>
            <w:r w:rsidRPr="008977B8">
              <w:rPr>
                <w:rFonts w:eastAsia="Times New Roman"/>
                <w:sz w:val="20"/>
                <w:lang w:eastAsia="en-US"/>
              </w:rPr>
              <w:t xml:space="preserve">R25. </w:t>
            </w:r>
            <w:r w:rsidRPr="008977B8">
              <w:rPr>
                <w:rFonts w:eastAsia="Times New Roman"/>
                <w:sz w:val="20"/>
                <w:lang w:eastAsia="en-US"/>
              </w:rPr>
              <w:tab/>
              <w:t>Les offices de propriété intellectuelle devraient envisager d’utiliser le DAS de l’OMPI, en particulier pour traiter les demandes de brevet et d’enregistrement de dessin ou modèle.</w:t>
            </w:r>
          </w:p>
        </w:tc>
        <w:tc>
          <w:tcPr>
            <w:tcW w:w="1139" w:type="dxa"/>
          </w:tcPr>
          <w:p w14:paraId="5186956A" w14:textId="2475E8A4" w:rsidR="00EB6772" w:rsidRPr="008977B8" w:rsidRDefault="00EB6772" w:rsidP="00EB6772">
            <w:pPr>
              <w:pStyle w:val="Endofdocument-Annex"/>
              <w:ind w:left="0"/>
            </w:pPr>
            <w:r w:rsidRPr="008977B8">
              <w:rPr>
                <w:rFonts w:eastAsia="Times New Roman"/>
                <w:sz w:val="20"/>
                <w:lang w:eastAsia="en-US"/>
              </w:rPr>
              <w:t>Groupe 3</w:t>
            </w:r>
          </w:p>
        </w:tc>
        <w:tc>
          <w:tcPr>
            <w:tcW w:w="2128" w:type="dxa"/>
          </w:tcPr>
          <w:p w14:paraId="331EEC2F" w14:textId="5A6AA1C9" w:rsidR="00EB6772" w:rsidRPr="008977B8" w:rsidRDefault="00EB6772" w:rsidP="00EB6772">
            <w:pPr>
              <w:pStyle w:val="Endofdocument-Annex"/>
              <w:ind w:left="0"/>
            </w:pPr>
            <w:r w:rsidRPr="008977B8">
              <w:rPr>
                <w:rFonts w:eastAsia="Times New Roman"/>
                <w:sz w:val="20"/>
                <w:lang w:eastAsia="en-US"/>
              </w:rPr>
              <w:t> </w:t>
            </w:r>
          </w:p>
        </w:tc>
        <w:tc>
          <w:tcPr>
            <w:tcW w:w="2664" w:type="dxa"/>
          </w:tcPr>
          <w:p w14:paraId="44579766" w14:textId="47CD7D6D"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7844249B" w14:textId="77777777" w:rsidTr="00BE0D13">
        <w:trPr>
          <w:cantSplit/>
        </w:trPr>
        <w:tc>
          <w:tcPr>
            <w:tcW w:w="3969" w:type="dxa"/>
          </w:tcPr>
          <w:p w14:paraId="1C161E7D" w14:textId="31519D88" w:rsidR="00EB6772" w:rsidRPr="008977B8" w:rsidRDefault="00EB6772" w:rsidP="00EB6772">
            <w:pPr>
              <w:pStyle w:val="Endofdocument-Annex"/>
              <w:ind w:left="0"/>
            </w:pPr>
            <w:r w:rsidRPr="008977B8">
              <w:rPr>
                <w:rFonts w:eastAsia="Times New Roman"/>
                <w:sz w:val="20"/>
                <w:lang w:eastAsia="en-US"/>
              </w:rPr>
              <w:t xml:space="preserve">R26. </w:t>
            </w:r>
            <w:r w:rsidRPr="008977B8">
              <w:rPr>
                <w:rFonts w:eastAsia="Times New Roman"/>
                <w:sz w:val="20"/>
                <w:lang w:eastAsia="en-US"/>
              </w:rPr>
              <w:tab/>
              <w:t>Élaborer en outre une nouvelle recommandation portant sur un format de paquet électronique signé applicable aux documents de priorité, notamment au corps des demandes en texte intégral (le cas échéant) et aux données bibliographiques en format XML tels que voulus par les normes de l’OMPI.  Ce nouveau format pourrait être transmis au moyen du DAS de l’OMPI ou directement entre les déposants et les offices de propriété intellectuelle.</w:t>
            </w:r>
          </w:p>
        </w:tc>
        <w:tc>
          <w:tcPr>
            <w:tcW w:w="1139" w:type="dxa"/>
          </w:tcPr>
          <w:p w14:paraId="179C666C" w14:textId="23154991"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6611FBDF" w14:textId="02B40D61" w:rsidR="00EB6772" w:rsidRPr="008977B8" w:rsidRDefault="00EB6772" w:rsidP="00EB6772">
            <w:pPr>
              <w:pStyle w:val="Endofdocument-Annex"/>
              <w:ind w:left="0"/>
            </w:pPr>
            <w:r w:rsidRPr="008977B8">
              <w:rPr>
                <w:rFonts w:eastAsia="Times New Roman"/>
                <w:sz w:val="20"/>
                <w:lang w:eastAsia="en-US"/>
              </w:rPr>
              <w:t>Tâche n° 38 – ST.36, Tâche n° 41 – ST.96</w:t>
            </w:r>
          </w:p>
        </w:tc>
        <w:tc>
          <w:tcPr>
            <w:tcW w:w="2664" w:type="dxa"/>
          </w:tcPr>
          <w:p w14:paraId="5AF89485" w14:textId="50720393"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6D4B6FAE" w14:textId="77777777" w:rsidTr="00BE0D13">
        <w:trPr>
          <w:cantSplit/>
        </w:trPr>
        <w:tc>
          <w:tcPr>
            <w:tcW w:w="3969" w:type="dxa"/>
          </w:tcPr>
          <w:p w14:paraId="3201CD5E" w14:textId="4100073B" w:rsidR="00EB6772" w:rsidRPr="008977B8" w:rsidRDefault="00EB6772" w:rsidP="00EB6772">
            <w:pPr>
              <w:pStyle w:val="Endofdocument-Annex"/>
              <w:ind w:left="0"/>
            </w:pPr>
            <w:r w:rsidRPr="008977B8">
              <w:rPr>
                <w:rFonts w:eastAsia="Times New Roman"/>
                <w:sz w:val="20"/>
                <w:lang w:eastAsia="en-US"/>
              </w:rPr>
              <w:t xml:space="preserve">R27. </w:t>
            </w:r>
            <w:r w:rsidRPr="008977B8">
              <w:rPr>
                <w:rFonts w:eastAsia="Times New Roman"/>
                <w:sz w:val="20"/>
                <w:lang w:eastAsia="en-US"/>
              </w:rPr>
              <w:tab/>
              <w:t>Encourager l’utilisation des mécanismes d’échange de données normalisées existants à plus grande échelle, promouvoir un recours plus important au dépôt électronique et favoriser la création de formulaires électroniques supplémentaires en vue d’améliorer la qualité et la fiabilité des données reçues de la part des déposants, en réduisant ainsi les erreurs provoquées par des incohérences liées au contenu et au format des données.</w:t>
            </w:r>
          </w:p>
        </w:tc>
        <w:tc>
          <w:tcPr>
            <w:tcW w:w="1139" w:type="dxa"/>
          </w:tcPr>
          <w:p w14:paraId="0A306745" w14:textId="39223155"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7DF6668E" w14:textId="14B8B133" w:rsidR="00EB6772" w:rsidRPr="008977B8" w:rsidRDefault="00EB6772" w:rsidP="00EB6772">
            <w:pPr>
              <w:pStyle w:val="Endofdocument-Annex"/>
              <w:ind w:left="0"/>
            </w:pPr>
            <w:r w:rsidRPr="008977B8">
              <w:rPr>
                <w:rFonts w:eastAsia="Times New Roman"/>
                <w:sz w:val="20"/>
                <w:lang w:eastAsia="en-US"/>
              </w:rPr>
              <w:t>Tâche n° 41 – ST.96, Proposition d’une nouvelle tâche (voir</w:t>
            </w:r>
            <w:r w:rsidR="009E6713">
              <w:rPr>
                <w:rFonts w:eastAsia="Times New Roman"/>
                <w:sz w:val="20"/>
                <w:lang w:eastAsia="en-US"/>
              </w:rPr>
              <w:t> </w:t>
            </w:r>
            <w:r w:rsidRPr="008977B8">
              <w:rPr>
                <w:rFonts w:eastAsia="Times New Roman"/>
                <w:sz w:val="20"/>
                <w:lang w:eastAsia="en-US"/>
              </w:rPr>
              <w:t>le document CWS/6/23)</w:t>
            </w:r>
          </w:p>
        </w:tc>
        <w:tc>
          <w:tcPr>
            <w:tcW w:w="2664" w:type="dxa"/>
          </w:tcPr>
          <w:p w14:paraId="70C94108" w14:textId="77777777" w:rsidR="00EB6772" w:rsidRPr="008977B8" w:rsidRDefault="00EB6772" w:rsidP="00EB6772">
            <w:pPr>
              <w:pStyle w:val="Endofdocument-Annex"/>
              <w:ind w:left="0"/>
            </w:pPr>
          </w:p>
        </w:tc>
      </w:tr>
      <w:tr w:rsidR="008977B8" w:rsidRPr="008977B8" w14:paraId="7FFD4CDA" w14:textId="77777777" w:rsidTr="00BE0D13">
        <w:trPr>
          <w:cantSplit/>
        </w:trPr>
        <w:tc>
          <w:tcPr>
            <w:tcW w:w="3969" w:type="dxa"/>
          </w:tcPr>
          <w:p w14:paraId="29C476D7" w14:textId="780A812F" w:rsidR="00EB6772" w:rsidRPr="008977B8" w:rsidRDefault="00EB6772" w:rsidP="00EB6772">
            <w:pPr>
              <w:pStyle w:val="Endofdocument-Annex"/>
              <w:ind w:left="0"/>
            </w:pPr>
            <w:r w:rsidRPr="008977B8">
              <w:rPr>
                <w:rFonts w:eastAsia="Times New Roman"/>
                <w:sz w:val="20"/>
                <w:lang w:eastAsia="en-US"/>
              </w:rPr>
              <w:t xml:space="preserve">R28. </w:t>
            </w:r>
            <w:r w:rsidRPr="008977B8">
              <w:rPr>
                <w:rFonts w:eastAsia="Times New Roman"/>
                <w:sz w:val="20"/>
                <w:lang w:eastAsia="en-US"/>
              </w:rPr>
              <w:tab/>
              <w:t>Établir un modèle de traitement des transactions centralisé et en libre</w:t>
            </w:r>
            <w:r w:rsidR="00FA4102" w:rsidRPr="008977B8">
              <w:rPr>
                <w:rFonts w:eastAsia="Times New Roman"/>
                <w:sz w:val="20"/>
                <w:lang w:eastAsia="en-US"/>
              </w:rPr>
              <w:noBreakHyphen/>
            </w:r>
            <w:r w:rsidRPr="008977B8">
              <w:rPr>
                <w:rFonts w:eastAsia="Times New Roman"/>
                <w:sz w:val="20"/>
                <w:lang w:eastAsia="en-US"/>
              </w:rPr>
              <w:t>service, permettant aux utilisateurs et aux offices de propriété intellectuelle de se connecter à une plateforme centrale du Bureau international pour accéder à des services informatiques.  On passera ainsi d’un paradigme reposant sur la transmission de formulaires et de réponses par lots à un autre fondé sur la mise à jour en temps réel du registre international par les parties concernées.</w:t>
            </w:r>
          </w:p>
        </w:tc>
        <w:tc>
          <w:tcPr>
            <w:tcW w:w="1139" w:type="dxa"/>
          </w:tcPr>
          <w:p w14:paraId="710FD052" w14:textId="471B5B70"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06B7DF2A" w14:textId="5EEBC61D" w:rsidR="00EB6772" w:rsidRPr="008977B8" w:rsidRDefault="00EB6772" w:rsidP="00EB6772">
            <w:pPr>
              <w:pStyle w:val="Endofdocument-Annex"/>
              <w:ind w:left="0"/>
            </w:pPr>
            <w:r w:rsidRPr="008977B8">
              <w:rPr>
                <w:rFonts w:eastAsia="Times New Roman"/>
                <w:sz w:val="20"/>
                <w:lang w:eastAsia="en-US"/>
              </w:rPr>
              <w:t>Tâche n° 56 – Norme</w:t>
            </w:r>
            <w:r w:rsidR="009E6713">
              <w:rPr>
                <w:rFonts w:eastAsia="Times New Roman"/>
                <w:sz w:val="20"/>
                <w:lang w:eastAsia="en-US"/>
              </w:rPr>
              <w:t> </w:t>
            </w:r>
            <w:r w:rsidRPr="008977B8">
              <w:rPr>
                <w:rFonts w:eastAsia="Times New Roman"/>
                <w:sz w:val="20"/>
                <w:lang w:eastAsia="en-US"/>
              </w:rPr>
              <w:t>API</w:t>
            </w:r>
          </w:p>
        </w:tc>
        <w:tc>
          <w:tcPr>
            <w:tcW w:w="2664" w:type="dxa"/>
          </w:tcPr>
          <w:p w14:paraId="56F90E05" w14:textId="47D96B5C"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2E761465" w14:textId="77777777" w:rsidTr="00BE0D13">
        <w:trPr>
          <w:cantSplit/>
        </w:trPr>
        <w:tc>
          <w:tcPr>
            <w:tcW w:w="3969" w:type="dxa"/>
          </w:tcPr>
          <w:p w14:paraId="11FE8B8E" w14:textId="7AF884CE" w:rsidR="00EB6772" w:rsidRPr="008977B8" w:rsidRDefault="00EB6772" w:rsidP="00EB6772">
            <w:pPr>
              <w:pStyle w:val="Endofdocument-Annex"/>
              <w:ind w:left="0"/>
            </w:pPr>
            <w:r w:rsidRPr="008977B8">
              <w:rPr>
                <w:rFonts w:eastAsia="Times New Roman"/>
                <w:sz w:val="20"/>
                <w:lang w:eastAsia="en-US"/>
              </w:rPr>
              <w:t xml:space="preserve">R29. </w:t>
            </w:r>
            <w:r w:rsidRPr="008977B8">
              <w:rPr>
                <w:rFonts w:eastAsia="Times New Roman"/>
                <w:sz w:val="20"/>
                <w:lang w:eastAsia="en-US"/>
              </w:rPr>
              <w:tab/>
              <w:t>Promouvoir un plus grand partage des données concernant les termes applicables aux produits et services acceptés ou non par les offices de propriété intellectuelle, en vue de réduire davantage la nécessité de suivre des procédures longues et coûteuses (procédures d’irrégularité et de refus).</w:t>
            </w:r>
          </w:p>
        </w:tc>
        <w:tc>
          <w:tcPr>
            <w:tcW w:w="1139" w:type="dxa"/>
          </w:tcPr>
          <w:p w14:paraId="6D3C8586" w14:textId="2B0BD19E" w:rsidR="00EB6772" w:rsidRPr="008977B8" w:rsidRDefault="00EB6772" w:rsidP="00EB6772">
            <w:pPr>
              <w:pStyle w:val="Endofdocument-Annex"/>
              <w:ind w:left="0"/>
            </w:pPr>
            <w:r w:rsidRPr="008977B8">
              <w:rPr>
                <w:rFonts w:eastAsia="Times New Roman"/>
                <w:sz w:val="20"/>
                <w:lang w:eastAsia="en-US"/>
              </w:rPr>
              <w:t>Groupe 3</w:t>
            </w:r>
          </w:p>
        </w:tc>
        <w:tc>
          <w:tcPr>
            <w:tcW w:w="2128" w:type="dxa"/>
          </w:tcPr>
          <w:p w14:paraId="45DB55B3" w14:textId="7F755AC2" w:rsidR="00EB6772" w:rsidRPr="008977B8" w:rsidRDefault="00EB6772" w:rsidP="00EB6772">
            <w:pPr>
              <w:pStyle w:val="Endofdocument-Annex"/>
              <w:ind w:left="0"/>
            </w:pPr>
            <w:r w:rsidRPr="008977B8">
              <w:rPr>
                <w:rFonts w:eastAsia="Times New Roman"/>
                <w:sz w:val="20"/>
                <w:lang w:eastAsia="en-US"/>
              </w:rPr>
              <w:t> </w:t>
            </w:r>
          </w:p>
        </w:tc>
        <w:tc>
          <w:tcPr>
            <w:tcW w:w="2664" w:type="dxa"/>
          </w:tcPr>
          <w:p w14:paraId="0A737CC9" w14:textId="5427C5CD"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036A8A85" w14:textId="77777777" w:rsidTr="00BE0D13">
        <w:trPr>
          <w:cantSplit/>
        </w:trPr>
        <w:tc>
          <w:tcPr>
            <w:tcW w:w="3969" w:type="dxa"/>
          </w:tcPr>
          <w:p w14:paraId="5237871B" w14:textId="14DC36F2" w:rsidR="00EB6772" w:rsidRPr="008977B8" w:rsidRDefault="00EB6772" w:rsidP="00EB6772">
            <w:pPr>
              <w:pStyle w:val="Endofdocument-Annex"/>
              <w:ind w:left="0"/>
            </w:pPr>
            <w:r w:rsidRPr="008977B8">
              <w:rPr>
                <w:rFonts w:eastAsia="Times New Roman"/>
                <w:sz w:val="20"/>
                <w:lang w:eastAsia="en-US"/>
              </w:rPr>
              <w:t xml:space="preserve">R30. </w:t>
            </w:r>
            <w:r w:rsidRPr="008977B8">
              <w:rPr>
                <w:rFonts w:eastAsia="Times New Roman"/>
                <w:sz w:val="20"/>
                <w:lang w:eastAsia="en-US"/>
              </w:rPr>
              <w:tab/>
              <w:t>Créer une base de données plus complète, simple d’utilisation et consultable par ordinateur sur les termes applicables aux produits et aux services, permettant de réduire les irrégularités.</w:t>
            </w:r>
          </w:p>
        </w:tc>
        <w:tc>
          <w:tcPr>
            <w:tcW w:w="1139" w:type="dxa"/>
          </w:tcPr>
          <w:p w14:paraId="374702B5" w14:textId="5F34A3D9" w:rsidR="00EB6772" w:rsidRPr="008977B8" w:rsidRDefault="00EB6772" w:rsidP="00EB6772">
            <w:pPr>
              <w:pStyle w:val="Endofdocument-Annex"/>
              <w:ind w:left="0"/>
            </w:pPr>
            <w:r w:rsidRPr="008977B8">
              <w:rPr>
                <w:rFonts w:eastAsia="Times New Roman"/>
                <w:sz w:val="20"/>
                <w:lang w:eastAsia="en-US"/>
              </w:rPr>
              <w:t>Groupe 3</w:t>
            </w:r>
          </w:p>
        </w:tc>
        <w:tc>
          <w:tcPr>
            <w:tcW w:w="2128" w:type="dxa"/>
          </w:tcPr>
          <w:p w14:paraId="3A3FA2CF" w14:textId="017EB60B" w:rsidR="00EB6772" w:rsidRPr="008977B8" w:rsidRDefault="00EB6772" w:rsidP="00EB6772">
            <w:pPr>
              <w:pStyle w:val="Endofdocument-Annex"/>
              <w:ind w:left="0"/>
            </w:pPr>
            <w:r w:rsidRPr="008977B8">
              <w:rPr>
                <w:rFonts w:eastAsia="Times New Roman"/>
                <w:sz w:val="20"/>
                <w:lang w:eastAsia="en-US"/>
              </w:rPr>
              <w:t> </w:t>
            </w:r>
          </w:p>
        </w:tc>
        <w:tc>
          <w:tcPr>
            <w:tcW w:w="2664" w:type="dxa"/>
          </w:tcPr>
          <w:p w14:paraId="3655BCDC" w14:textId="751A8149"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70EFF099" w14:textId="77777777" w:rsidTr="00BE0D13">
        <w:trPr>
          <w:cantSplit/>
        </w:trPr>
        <w:tc>
          <w:tcPr>
            <w:tcW w:w="3969" w:type="dxa"/>
          </w:tcPr>
          <w:p w14:paraId="013C5027" w14:textId="14DEBDB1" w:rsidR="00EB6772" w:rsidRPr="008977B8" w:rsidRDefault="00EB6772" w:rsidP="00EB6772">
            <w:pPr>
              <w:pStyle w:val="Endofdocument-Annex"/>
              <w:ind w:left="0"/>
            </w:pPr>
            <w:r w:rsidRPr="008977B8">
              <w:rPr>
                <w:rFonts w:eastAsia="Times New Roman"/>
                <w:sz w:val="20"/>
                <w:lang w:eastAsia="en-US"/>
              </w:rPr>
              <w:t xml:space="preserve">R31. </w:t>
            </w:r>
            <w:r w:rsidRPr="008977B8">
              <w:rPr>
                <w:rFonts w:eastAsia="Times New Roman"/>
                <w:sz w:val="20"/>
                <w:lang w:eastAsia="en-US"/>
              </w:rPr>
              <w:tab/>
              <w:t>Les offices de propriété intellectuelle devraient continuer d’appliquer des motifs de refus standard et élargir cette pratique.</w:t>
            </w:r>
          </w:p>
        </w:tc>
        <w:tc>
          <w:tcPr>
            <w:tcW w:w="1139" w:type="dxa"/>
          </w:tcPr>
          <w:p w14:paraId="01DBA324" w14:textId="401FEB05" w:rsidR="00EB6772" w:rsidRPr="008977B8" w:rsidRDefault="00EB6772" w:rsidP="00EB6772">
            <w:pPr>
              <w:pStyle w:val="Endofdocument-Annex"/>
              <w:ind w:left="0"/>
            </w:pPr>
            <w:r w:rsidRPr="008977B8">
              <w:rPr>
                <w:rFonts w:eastAsia="Times New Roman"/>
                <w:sz w:val="20"/>
                <w:lang w:eastAsia="en-US"/>
              </w:rPr>
              <w:t>Groupe 3</w:t>
            </w:r>
          </w:p>
        </w:tc>
        <w:tc>
          <w:tcPr>
            <w:tcW w:w="2128" w:type="dxa"/>
          </w:tcPr>
          <w:p w14:paraId="620E4DAE" w14:textId="2387EFBE" w:rsidR="00EB6772" w:rsidRPr="008977B8" w:rsidRDefault="00EB6772" w:rsidP="00EB6772">
            <w:pPr>
              <w:pStyle w:val="Endofdocument-Annex"/>
              <w:ind w:left="0"/>
            </w:pPr>
            <w:r w:rsidRPr="008977B8">
              <w:rPr>
                <w:rFonts w:eastAsia="Times New Roman"/>
                <w:sz w:val="20"/>
                <w:lang w:eastAsia="en-US"/>
              </w:rPr>
              <w:t> </w:t>
            </w:r>
          </w:p>
        </w:tc>
        <w:tc>
          <w:tcPr>
            <w:tcW w:w="2664" w:type="dxa"/>
          </w:tcPr>
          <w:p w14:paraId="59C6FAFD" w14:textId="31050618"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75AD8D84" w14:textId="77777777" w:rsidTr="00BE0D13">
        <w:trPr>
          <w:cantSplit/>
        </w:trPr>
        <w:tc>
          <w:tcPr>
            <w:tcW w:w="3969" w:type="dxa"/>
          </w:tcPr>
          <w:p w14:paraId="71F95A28" w14:textId="28C797CB" w:rsidR="00EB6772" w:rsidRPr="008977B8" w:rsidRDefault="00EB6772" w:rsidP="00EB6772">
            <w:pPr>
              <w:pStyle w:val="Endofdocument-Annex"/>
              <w:ind w:left="0"/>
            </w:pPr>
            <w:r w:rsidRPr="008977B8">
              <w:rPr>
                <w:rFonts w:eastAsia="Times New Roman"/>
                <w:sz w:val="20"/>
                <w:lang w:eastAsia="en-US"/>
              </w:rPr>
              <w:t>R32.</w:t>
            </w:r>
            <w:r w:rsidRPr="008977B8">
              <w:rPr>
                <w:sz w:val="20"/>
              </w:rPr>
              <w:t xml:space="preserve"> </w:t>
            </w:r>
            <w:r w:rsidRPr="008977B8">
              <w:rPr>
                <w:rFonts w:eastAsia="Times New Roman"/>
                <w:sz w:val="20"/>
                <w:lang w:eastAsia="en-US"/>
              </w:rPr>
              <w:tab/>
              <w:t>En se mettant à appliquer la norme ST.96 de l’OMPI concernant les composantes XML en lien avec le système de La Haye, les offices de propriété intellectuelle amélioreraient la qualité de leurs échanges entre eux et avec le Bureau international.</w:t>
            </w:r>
          </w:p>
        </w:tc>
        <w:tc>
          <w:tcPr>
            <w:tcW w:w="1139" w:type="dxa"/>
          </w:tcPr>
          <w:p w14:paraId="0604AB0B" w14:textId="0C170EC1"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7C2277DE" w14:textId="6B9DCAF1" w:rsidR="00EB6772" w:rsidRPr="008977B8" w:rsidRDefault="00EB6772" w:rsidP="00EB6772">
            <w:pPr>
              <w:pStyle w:val="Endofdocument-Annex"/>
              <w:ind w:left="0"/>
            </w:pPr>
            <w:r w:rsidRPr="008977B8">
              <w:rPr>
                <w:rFonts w:eastAsia="Times New Roman"/>
                <w:sz w:val="20"/>
                <w:lang w:eastAsia="en-US"/>
              </w:rPr>
              <w:t>Tâche n° 41 – ST.96</w:t>
            </w:r>
          </w:p>
        </w:tc>
        <w:tc>
          <w:tcPr>
            <w:tcW w:w="2664" w:type="dxa"/>
          </w:tcPr>
          <w:p w14:paraId="515D8CAA" w14:textId="1F7F6EAC" w:rsidR="00EB6772" w:rsidRPr="008977B8" w:rsidRDefault="00EB6772" w:rsidP="00EB6772">
            <w:pPr>
              <w:pStyle w:val="Endofdocument-Annex"/>
              <w:ind w:left="0"/>
            </w:pPr>
            <w:r w:rsidRPr="008977B8">
              <w:rPr>
                <w:rFonts w:eastAsia="Times New Roman"/>
                <w:sz w:val="20"/>
                <w:lang w:eastAsia="en-US"/>
              </w:rPr>
              <w:t>La réunion a noté que les équipes d’experts concernées du CWS devaient examiner un champ plus large de questions.</w:t>
            </w:r>
          </w:p>
        </w:tc>
      </w:tr>
      <w:tr w:rsidR="008977B8" w:rsidRPr="008977B8" w14:paraId="650C3A23" w14:textId="77777777" w:rsidTr="00BE0D13">
        <w:trPr>
          <w:cantSplit/>
        </w:trPr>
        <w:tc>
          <w:tcPr>
            <w:tcW w:w="3969" w:type="dxa"/>
          </w:tcPr>
          <w:p w14:paraId="0E509C58" w14:textId="2C4F9407" w:rsidR="00EB6772" w:rsidRPr="008977B8" w:rsidRDefault="00EB6772" w:rsidP="00EB6772">
            <w:pPr>
              <w:pStyle w:val="Endofdocument-Annex"/>
              <w:ind w:left="0"/>
            </w:pPr>
            <w:r w:rsidRPr="008977B8">
              <w:rPr>
                <w:rFonts w:eastAsia="Times New Roman"/>
                <w:sz w:val="20"/>
                <w:lang w:eastAsia="en-US"/>
              </w:rPr>
              <w:t xml:space="preserve">R33. </w:t>
            </w:r>
            <w:r w:rsidRPr="008977B8">
              <w:rPr>
                <w:rFonts w:eastAsia="Times New Roman"/>
                <w:sz w:val="20"/>
                <w:lang w:eastAsia="en-US"/>
              </w:rPr>
              <w:tab/>
              <w:t>Il convient d’examiner les problèmes techniques que pose la permission de soumettre des images animées, ainsi que les préparations que celle</w:t>
            </w:r>
            <w:r w:rsidR="00FA4102" w:rsidRPr="008977B8">
              <w:rPr>
                <w:rFonts w:eastAsia="Times New Roman"/>
                <w:sz w:val="20"/>
                <w:lang w:eastAsia="en-US"/>
              </w:rPr>
              <w:noBreakHyphen/>
            </w:r>
            <w:r w:rsidRPr="008977B8">
              <w:rPr>
                <w:rFonts w:eastAsia="Times New Roman"/>
                <w:sz w:val="20"/>
                <w:lang w:eastAsia="en-US"/>
              </w:rPr>
              <w:t>ci nécessite d’effectuer pour assurer l’intégrité des données transmises et stockées (ainsi que publiées et partagées).</w:t>
            </w:r>
          </w:p>
        </w:tc>
        <w:tc>
          <w:tcPr>
            <w:tcW w:w="1139" w:type="dxa"/>
          </w:tcPr>
          <w:p w14:paraId="458A9D88" w14:textId="118CE936" w:rsidR="00EB6772" w:rsidRPr="008977B8" w:rsidRDefault="00EB6772" w:rsidP="00EB6772">
            <w:pPr>
              <w:pStyle w:val="Endofdocument-Annex"/>
              <w:ind w:left="0"/>
            </w:pPr>
            <w:r w:rsidRPr="008977B8">
              <w:rPr>
                <w:rFonts w:eastAsia="Times New Roman"/>
                <w:sz w:val="20"/>
                <w:lang w:eastAsia="en-US"/>
              </w:rPr>
              <w:t>Groupe 2</w:t>
            </w:r>
          </w:p>
        </w:tc>
        <w:tc>
          <w:tcPr>
            <w:tcW w:w="2128" w:type="dxa"/>
          </w:tcPr>
          <w:p w14:paraId="71CA41C5" w14:textId="65DB7E07" w:rsidR="00EB6772" w:rsidRPr="008977B8" w:rsidRDefault="00EB6772" w:rsidP="00EB6772">
            <w:pPr>
              <w:pStyle w:val="Endofdocument-Annex"/>
              <w:ind w:left="0"/>
            </w:pPr>
            <w:r w:rsidRPr="008977B8">
              <w:rPr>
                <w:rFonts w:eastAsia="Times New Roman"/>
                <w:sz w:val="20"/>
                <w:lang w:eastAsia="en-US"/>
              </w:rPr>
              <w:t> </w:t>
            </w:r>
          </w:p>
        </w:tc>
        <w:tc>
          <w:tcPr>
            <w:tcW w:w="2664" w:type="dxa"/>
          </w:tcPr>
          <w:p w14:paraId="774A1AD3" w14:textId="307EC256" w:rsidR="00EB6772" w:rsidRPr="008977B8" w:rsidRDefault="00EB6772" w:rsidP="00EB6772">
            <w:pPr>
              <w:pStyle w:val="Endofdocument-Annex"/>
              <w:ind w:left="0"/>
            </w:pPr>
            <w:r w:rsidRPr="008977B8">
              <w:rPr>
                <w:rFonts w:eastAsia="Times New Roman"/>
                <w:sz w:val="20"/>
                <w:lang w:eastAsia="en-US"/>
              </w:rPr>
              <w:t>La réunion a noté que les équipes d’experts concernées du CWS devaient examiner un champ plus large de questions.</w:t>
            </w:r>
          </w:p>
        </w:tc>
      </w:tr>
      <w:tr w:rsidR="008977B8" w:rsidRPr="008977B8" w14:paraId="1E86C56F" w14:textId="77777777" w:rsidTr="00BE0D13">
        <w:trPr>
          <w:cantSplit/>
        </w:trPr>
        <w:tc>
          <w:tcPr>
            <w:tcW w:w="3969" w:type="dxa"/>
          </w:tcPr>
          <w:p w14:paraId="5B8B5215" w14:textId="09F23762" w:rsidR="00EB6772" w:rsidRPr="008977B8" w:rsidRDefault="00EB6772" w:rsidP="00EB6772">
            <w:pPr>
              <w:pStyle w:val="Endofdocument-Annex"/>
              <w:ind w:left="0"/>
            </w:pPr>
            <w:r w:rsidRPr="008977B8">
              <w:rPr>
                <w:rFonts w:eastAsia="Times New Roman"/>
                <w:sz w:val="20"/>
                <w:lang w:eastAsia="en-US"/>
              </w:rPr>
              <w:t xml:space="preserve">R34. </w:t>
            </w:r>
            <w:r w:rsidRPr="008977B8">
              <w:rPr>
                <w:rFonts w:eastAsia="Times New Roman"/>
                <w:sz w:val="20"/>
                <w:lang w:eastAsia="en-US"/>
              </w:rPr>
              <w:tab/>
              <w:t>Les offices de propriété intellectuelle sont encouragés à envisager de participer au DAS en qualité d’office déposant ou ayant accès à l’égard des documents de priorité portant sur des dessins ou modèles, ce qui pourrait permettre de réduire les coûts et les risques liés à la fourniture de copies certifiées concernant les enregistrements internationaux selon le système de La Haye.</w:t>
            </w:r>
          </w:p>
        </w:tc>
        <w:tc>
          <w:tcPr>
            <w:tcW w:w="1139" w:type="dxa"/>
          </w:tcPr>
          <w:p w14:paraId="0AD8E5CB" w14:textId="2C4371C9" w:rsidR="00EB6772" w:rsidRPr="008977B8" w:rsidRDefault="00EB6772" w:rsidP="00EB6772">
            <w:pPr>
              <w:pStyle w:val="Endofdocument-Annex"/>
              <w:ind w:left="0"/>
            </w:pPr>
            <w:r w:rsidRPr="008977B8">
              <w:rPr>
                <w:rFonts w:eastAsia="Times New Roman"/>
                <w:sz w:val="20"/>
                <w:lang w:eastAsia="en-US"/>
              </w:rPr>
              <w:t>Groupe 3</w:t>
            </w:r>
          </w:p>
        </w:tc>
        <w:tc>
          <w:tcPr>
            <w:tcW w:w="2128" w:type="dxa"/>
          </w:tcPr>
          <w:p w14:paraId="3DF46162" w14:textId="3270F4ED" w:rsidR="00EB6772" w:rsidRPr="008977B8" w:rsidRDefault="00EB6772" w:rsidP="00EB6772">
            <w:pPr>
              <w:pStyle w:val="Endofdocument-Annex"/>
              <w:ind w:left="0"/>
            </w:pPr>
            <w:r w:rsidRPr="008977B8">
              <w:rPr>
                <w:rFonts w:eastAsia="Times New Roman"/>
                <w:sz w:val="20"/>
                <w:lang w:eastAsia="en-US"/>
              </w:rPr>
              <w:t> </w:t>
            </w:r>
          </w:p>
        </w:tc>
        <w:tc>
          <w:tcPr>
            <w:tcW w:w="2664" w:type="dxa"/>
          </w:tcPr>
          <w:p w14:paraId="6348AEC3" w14:textId="3270F7D3"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77CD1328" w14:textId="77777777" w:rsidTr="00BE0D13">
        <w:trPr>
          <w:cantSplit/>
        </w:trPr>
        <w:tc>
          <w:tcPr>
            <w:tcW w:w="3969" w:type="dxa"/>
          </w:tcPr>
          <w:p w14:paraId="28DE1326" w14:textId="32E01752" w:rsidR="00EB6772" w:rsidRPr="008977B8" w:rsidRDefault="00EB6772" w:rsidP="00EB6772">
            <w:pPr>
              <w:pStyle w:val="Endofdocument-Annex"/>
              <w:ind w:left="0"/>
            </w:pPr>
            <w:r w:rsidRPr="008977B8">
              <w:rPr>
                <w:rFonts w:eastAsia="Times New Roman"/>
                <w:sz w:val="20"/>
                <w:lang w:eastAsia="en-US"/>
              </w:rPr>
              <w:t xml:space="preserve">R35. </w:t>
            </w:r>
            <w:r w:rsidRPr="008977B8">
              <w:rPr>
                <w:rFonts w:eastAsia="Times New Roman"/>
                <w:sz w:val="20"/>
                <w:lang w:eastAsia="en-US"/>
              </w:rPr>
              <w:tab/>
              <w:t>Renforcer la coopération internationale entre les offices de propriété intellectuelle et le Bureau international en vue d’adhérer à des calendriers de règlement défini, de se servir de formulaires en ligne pour recueillir des données et d’adopter des systèmes de dépôt électronique normalisés.</w:t>
            </w:r>
          </w:p>
        </w:tc>
        <w:tc>
          <w:tcPr>
            <w:tcW w:w="1139" w:type="dxa"/>
          </w:tcPr>
          <w:p w14:paraId="6A9163CE" w14:textId="59EB6B12" w:rsidR="00EB6772" w:rsidRPr="008977B8" w:rsidRDefault="00EB6772" w:rsidP="00EB6772">
            <w:pPr>
              <w:pStyle w:val="Endofdocument-Annex"/>
              <w:ind w:left="0"/>
            </w:pPr>
            <w:r w:rsidRPr="008977B8">
              <w:rPr>
                <w:rFonts w:eastAsia="Times New Roman"/>
                <w:sz w:val="20"/>
                <w:lang w:eastAsia="en-US"/>
              </w:rPr>
              <w:t>Groupe 2</w:t>
            </w:r>
          </w:p>
        </w:tc>
        <w:tc>
          <w:tcPr>
            <w:tcW w:w="2128" w:type="dxa"/>
          </w:tcPr>
          <w:p w14:paraId="66AECF38" w14:textId="377779EA" w:rsidR="00EB6772" w:rsidRPr="008977B8" w:rsidRDefault="00EB6772" w:rsidP="00EB6772">
            <w:pPr>
              <w:pStyle w:val="Endofdocument-Annex"/>
              <w:ind w:left="0"/>
            </w:pPr>
            <w:r w:rsidRPr="008977B8">
              <w:rPr>
                <w:rFonts w:eastAsia="Times New Roman"/>
                <w:sz w:val="20"/>
                <w:lang w:eastAsia="en-US"/>
              </w:rPr>
              <w:t> </w:t>
            </w:r>
          </w:p>
        </w:tc>
        <w:tc>
          <w:tcPr>
            <w:tcW w:w="2664" w:type="dxa"/>
          </w:tcPr>
          <w:p w14:paraId="5B507B12" w14:textId="7D8CE0D1"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6655A445" w14:textId="77777777" w:rsidTr="00BE0D13">
        <w:trPr>
          <w:cantSplit/>
        </w:trPr>
        <w:tc>
          <w:tcPr>
            <w:tcW w:w="3969" w:type="dxa"/>
          </w:tcPr>
          <w:p w14:paraId="24ECB758" w14:textId="2099B7D3" w:rsidR="00EB6772" w:rsidRPr="008977B8" w:rsidRDefault="00EB6772" w:rsidP="00EB6772">
            <w:pPr>
              <w:pStyle w:val="Endofdocument-Annex"/>
              <w:ind w:left="0"/>
            </w:pPr>
            <w:r w:rsidRPr="008977B8">
              <w:rPr>
                <w:rFonts w:eastAsia="Times New Roman"/>
                <w:sz w:val="20"/>
                <w:lang w:eastAsia="en-US"/>
              </w:rPr>
              <w:t xml:space="preserve">R36. </w:t>
            </w:r>
            <w:r w:rsidRPr="008977B8">
              <w:rPr>
                <w:rFonts w:eastAsia="Times New Roman"/>
                <w:sz w:val="20"/>
                <w:lang w:eastAsia="en-US"/>
              </w:rPr>
              <w:tab/>
              <w:t>Adopter une norme internationale en matière de sécurité de l’information (comme la certification ISO/IEC 27001) permettant aux offices de propriété intellectuelle de donner une assurance raisonnable sur l’efficacité de leurs contrôles internes.  Les offices qui devraient se conformer à leur propre norme nationale en matière de sécurité de l’information peuvent fournir une cartographie conforme à la norme internationale pour démontrer la solidité de leur système de gestion de la sécurité de l’information.  Adopter une certification minimale et des procédures d’audit indépendant au regard des normes prescrites par le registre STAR ou l’attestation SOC 2 type II (SSAE et ISAE) de la Cloud Security Alliance afin d’assurer la sécurité de l’information dans les cas où il est fait appel à des prestataires externes de services informatiques en nuage.</w:t>
            </w:r>
          </w:p>
        </w:tc>
        <w:tc>
          <w:tcPr>
            <w:tcW w:w="1139" w:type="dxa"/>
          </w:tcPr>
          <w:p w14:paraId="28428449" w14:textId="442DE3E8"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1AD9ABC7" w14:textId="594AAED7" w:rsidR="00EB6772" w:rsidRPr="008977B8" w:rsidRDefault="00EB6772" w:rsidP="00EB6772">
            <w:pPr>
              <w:pStyle w:val="Endofdocument-Annex"/>
              <w:ind w:left="0"/>
            </w:pPr>
            <w:r w:rsidRPr="008977B8">
              <w:rPr>
                <w:rFonts w:eastAsia="Times New Roman"/>
                <w:sz w:val="20"/>
                <w:lang w:eastAsia="en-US"/>
              </w:rPr>
              <w:t>Tâche n° 56 – Norme</w:t>
            </w:r>
            <w:r w:rsidR="009E6713">
              <w:rPr>
                <w:rFonts w:eastAsia="Times New Roman"/>
                <w:sz w:val="20"/>
                <w:lang w:eastAsia="en-US"/>
              </w:rPr>
              <w:t> </w:t>
            </w:r>
            <w:r w:rsidRPr="008977B8">
              <w:rPr>
                <w:rFonts w:eastAsia="Times New Roman"/>
                <w:sz w:val="20"/>
                <w:lang w:eastAsia="en-US"/>
              </w:rPr>
              <w:t>API</w:t>
            </w:r>
          </w:p>
        </w:tc>
        <w:tc>
          <w:tcPr>
            <w:tcW w:w="2664" w:type="dxa"/>
          </w:tcPr>
          <w:p w14:paraId="2B9FC12B" w14:textId="5278B78B"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5C385CE0" w14:textId="77777777" w:rsidTr="00BE0D13">
        <w:trPr>
          <w:cantSplit/>
        </w:trPr>
        <w:tc>
          <w:tcPr>
            <w:tcW w:w="3969" w:type="dxa"/>
          </w:tcPr>
          <w:p w14:paraId="7D0C211C" w14:textId="7C2642E2" w:rsidR="00EB6772" w:rsidRPr="008977B8" w:rsidRDefault="00EB6772" w:rsidP="00EB6772">
            <w:pPr>
              <w:pStyle w:val="Endofdocument-Annex"/>
              <w:ind w:left="0"/>
            </w:pPr>
            <w:r w:rsidRPr="008977B8">
              <w:rPr>
                <w:rFonts w:eastAsia="Times New Roman"/>
                <w:sz w:val="20"/>
                <w:lang w:eastAsia="en-US"/>
              </w:rPr>
              <w:t xml:space="preserve">R37. </w:t>
            </w:r>
            <w:r w:rsidRPr="008977B8">
              <w:rPr>
                <w:rFonts w:eastAsia="Times New Roman"/>
                <w:sz w:val="20"/>
                <w:lang w:eastAsia="en-US"/>
              </w:rPr>
              <w:tab/>
              <w:t>Envisager de mettre en place des mécanismes de sécurité normalisés lors de la révision des protocoles d’échange de données.</w:t>
            </w:r>
          </w:p>
        </w:tc>
        <w:tc>
          <w:tcPr>
            <w:tcW w:w="1139" w:type="dxa"/>
          </w:tcPr>
          <w:p w14:paraId="555F184C" w14:textId="62E0CDD0"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3C33EF74" w14:textId="4575F89C" w:rsidR="00EB6772" w:rsidRPr="008977B8" w:rsidRDefault="00EB6772" w:rsidP="00EB6772">
            <w:pPr>
              <w:pStyle w:val="Endofdocument-Annex"/>
              <w:ind w:left="0"/>
            </w:pPr>
            <w:r w:rsidRPr="008977B8">
              <w:rPr>
                <w:rFonts w:eastAsia="Times New Roman"/>
                <w:sz w:val="20"/>
                <w:lang w:eastAsia="en-US"/>
              </w:rPr>
              <w:t>Tâche n° 56 – Norme</w:t>
            </w:r>
            <w:r w:rsidR="009E6713">
              <w:rPr>
                <w:rFonts w:eastAsia="Times New Roman"/>
                <w:sz w:val="20"/>
                <w:lang w:eastAsia="en-US"/>
              </w:rPr>
              <w:t> </w:t>
            </w:r>
            <w:r w:rsidRPr="008977B8">
              <w:rPr>
                <w:rFonts w:eastAsia="Times New Roman"/>
                <w:sz w:val="20"/>
                <w:lang w:eastAsia="en-US"/>
              </w:rPr>
              <w:t>API</w:t>
            </w:r>
          </w:p>
        </w:tc>
        <w:tc>
          <w:tcPr>
            <w:tcW w:w="2664" w:type="dxa"/>
          </w:tcPr>
          <w:p w14:paraId="2F7618CC" w14:textId="11C2EF4C"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24BC20CD" w14:textId="77777777" w:rsidTr="00BE0D13">
        <w:trPr>
          <w:cantSplit/>
        </w:trPr>
        <w:tc>
          <w:tcPr>
            <w:tcW w:w="3969" w:type="dxa"/>
          </w:tcPr>
          <w:p w14:paraId="44E2CEA0" w14:textId="7E62F2A0" w:rsidR="00EB6772" w:rsidRPr="008977B8" w:rsidRDefault="00EB6772" w:rsidP="00EB6772">
            <w:pPr>
              <w:pStyle w:val="Endofdocument-Annex"/>
              <w:ind w:left="0"/>
            </w:pPr>
            <w:r w:rsidRPr="008977B8">
              <w:rPr>
                <w:rFonts w:eastAsia="Times New Roman"/>
                <w:sz w:val="20"/>
                <w:lang w:eastAsia="en-US"/>
              </w:rPr>
              <w:t xml:space="preserve">R38. </w:t>
            </w:r>
            <w:r w:rsidRPr="008977B8">
              <w:rPr>
                <w:rFonts w:eastAsia="Times New Roman"/>
                <w:sz w:val="20"/>
                <w:lang w:eastAsia="en-US"/>
              </w:rPr>
              <w:tab/>
              <w:t>Il conviendrait d’étudier des méthodes permettant d’améliorer l’interaction avec des systèmes internationaux et de centraliser les systèmes.  Créer un service centralisé pilote/prototypique comportant des API ouvertes et standard, en vue de la diffusion de données classifiées et standard et de l’échange de données entre des offices de propriété intellectuelle et des systèmes régionaux/internationaux de propriété intellectuelle.</w:t>
            </w:r>
          </w:p>
        </w:tc>
        <w:tc>
          <w:tcPr>
            <w:tcW w:w="1139" w:type="dxa"/>
          </w:tcPr>
          <w:p w14:paraId="4C1DA911" w14:textId="3502D0EC"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28EBBBF5" w14:textId="064235E1" w:rsidR="00EB6772" w:rsidRPr="008977B8" w:rsidRDefault="00EB6772" w:rsidP="00EB6772">
            <w:pPr>
              <w:pStyle w:val="Endofdocument-Annex"/>
              <w:ind w:left="0"/>
            </w:pPr>
            <w:r w:rsidRPr="008977B8">
              <w:rPr>
                <w:rFonts w:eastAsia="Times New Roman"/>
                <w:sz w:val="20"/>
                <w:lang w:eastAsia="en-US"/>
              </w:rPr>
              <w:t>Tâche n° 56 – Norme</w:t>
            </w:r>
            <w:r w:rsidR="009E6713">
              <w:rPr>
                <w:rFonts w:eastAsia="Times New Roman"/>
                <w:sz w:val="20"/>
                <w:lang w:eastAsia="en-US"/>
              </w:rPr>
              <w:t> </w:t>
            </w:r>
            <w:r w:rsidRPr="008977B8">
              <w:rPr>
                <w:rFonts w:eastAsia="Times New Roman"/>
                <w:sz w:val="20"/>
                <w:lang w:eastAsia="en-US"/>
              </w:rPr>
              <w:t>API</w:t>
            </w:r>
          </w:p>
        </w:tc>
        <w:tc>
          <w:tcPr>
            <w:tcW w:w="2664" w:type="dxa"/>
          </w:tcPr>
          <w:p w14:paraId="7696641E" w14:textId="051AB526"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13A7378A" w14:textId="77777777" w:rsidTr="00BE0D13">
        <w:trPr>
          <w:cantSplit/>
        </w:trPr>
        <w:tc>
          <w:tcPr>
            <w:tcW w:w="3969" w:type="dxa"/>
          </w:tcPr>
          <w:p w14:paraId="46C459EC" w14:textId="6CA42CB9" w:rsidR="00EB6772" w:rsidRPr="008977B8" w:rsidRDefault="00EB6772" w:rsidP="00EB6772">
            <w:pPr>
              <w:pStyle w:val="Endofdocument-Annex"/>
              <w:ind w:left="0"/>
            </w:pPr>
            <w:r w:rsidRPr="008977B8">
              <w:rPr>
                <w:rFonts w:eastAsia="Times New Roman"/>
                <w:sz w:val="20"/>
                <w:lang w:eastAsia="en-US"/>
              </w:rPr>
              <w:t xml:space="preserve">R39. </w:t>
            </w:r>
            <w:r w:rsidRPr="008977B8">
              <w:rPr>
                <w:rFonts w:eastAsia="Times New Roman"/>
                <w:sz w:val="20"/>
                <w:lang w:eastAsia="en-US"/>
              </w:rPr>
              <w:tab/>
              <w:t>Mettre en commun des informations concernant les services en ligne (dépôt, transactions faisant suite au dépôt, etc.) dans le but de dégager des transactions et des services communs pouvant être proposés par le biais d’une API afin d’aboutir à une interopérabilité des systèmes, notamment des systèmes mis au point par des prestataires tiers.</w:t>
            </w:r>
          </w:p>
        </w:tc>
        <w:tc>
          <w:tcPr>
            <w:tcW w:w="1139" w:type="dxa"/>
          </w:tcPr>
          <w:p w14:paraId="75BA8FCB" w14:textId="71549EB4" w:rsidR="00EB6772" w:rsidRPr="008977B8" w:rsidRDefault="00EB6772" w:rsidP="00EB6772">
            <w:pPr>
              <w:pStyle w:val="Endofdocument-Annex"/>
              <w:ind w:left="0"/>
            </w:pPr>
            <w:r w:rsidRPr="008977B8">
              <w:rPr>
                <w:rFonts w:eastAsia="Times New Roman"/>
                <w:sz w:val="20"/>
                <w:lang w:eastAsia="en-US"/>
              </w:rPr>
              <w:t>Groupe 1</w:t>
            </w:r>
          </w:p>
        </w:tc>
        <w:tc>
          <w:tcPr>
            <w:tcW w:w="2128" w:type="dxa"/>
          </w:tcPr>
          <w:p w14:paraId="112B6685" w14:textId="61D3DAD6" w:rsidR="00EB6772" w:rsidRPr="008977B8" w:rsidRDefault="00EB6772" w:rsidP="00EB6772">
            <w:pPr>
              <w:pStyle w:val="Endofdocument-Annex"/>
              <w:ind w:left="0"/>
            </w:pPr>
            <w:r w:rsidRPr="008977B8">
              <w:rPr>
                <w:rFonts w:eastAsia="Times New Roman"/>
                <w:sz w:val="20"/>
                <w:lang w:eastAsia="en-US"/>
              </w:rPr>
              <w:t>Tâche n° 56 – Norme</w:t>
            </w:r>
            <w:r w:rsidR="009E6713">
              <w:rPr>
                <w:rFonts w:eastAsia="Times New Roman"/>
                <w:sz w:val="20"/>
                <w:lang w:eastAsia="en-US"/>
              </w:rPr>
              <w:t> </w:t>
            </w:r>
            <w:r w:rsidRPr="008977B8">
              <w:rPr>
                <w:rFonts w:eastAsia="Times New Roman"/>
                <w:sz w:val="20"/>
                <w:lang w:eastAsia="en-US"/>
              </w:rPr>
              <w:t>API</w:t>
            </w:r>
          </w:p>
        </w:tc>
        <w:tc>
          <w:tcPr>
            <w:tcW w:w="2664" w:type="dxa"/>
          </w:tcPr>
          <w:p w14:paraId="4908B4E3" w14:textId="3C452C85" w:rsidR="00EB6772" w:rsidRPr="008977B8" w:rsidRDefault="00EB6772" w:rsidP="00EB6772">
            <w:pPr>
              <w:pStyle w:val="Endofdocument-Annex"/>
              <w:ind w:left="0"/>
            </w:pPr>
            <w:r w:rsidRPr="008977B8">
              <w:rPr>
                <w:rFonts w:eastAsia="Times New Roman"/>
                <w:sz w:val="20"/>
                <w:lang w:eastAsia="en-US"/>
              </w:rPr>
              <w:t> </w:t>
            </w:r>
          </w:p>
        </w:tc>
      </w:tr>
      <w:tr w:rsidR="008977B8" w:rsidRPr="008977B8" w14:paraId="602899D2" w14:textId="77777777" w:rsidTr="00BE0D13">
        <w:trPr>
          <w:cantSplit/>
        </w:trPr>
        <w:tc>
          <w:tcPr>
            <w:tcW w:w="3969" w:type="dxa"/>
          </w:tcPr>
          <w:p w14:paraId="117813DF" w14:textId="10A1F55E" w:rsidR="00EB6772" w:rsidRPr="008977B8" w:rsidRDefault="00EB6772" w:rsidP="00EB6772">
            <w:pPr>
              <w:pStyle w:val="Endofdocument-Annex"/>
              <w:ind w:left="0"/>
              <w:rPr>
                <w:rFonts w:eastAsia="Times New Roman"/>
                <w:sz w:val="20"/>
                <w:lang w:eastAsia="en-US"/>
              </w:rPr>
            </w:pPr>
            <w:r w:rsidRPr="008977B8">
              <w:rPr>
                <w:rFonts w:eastAsia="Times New Roman"/>
                <w:sz w:val="20"/>
                <w:lang w:eastAsia="en-US"/>
              </w:rPr>
              <w:t xml:space="preserve">R40. </w:t>
            </w:r>
            <w:r w:rsidRPr="008977B8">
              <w:rPr>
                <w:rFonts w:eastAsia="Times New Roman"/>
                <w:sz w:val="20"/>
                <w:lang w:eastAsia="en-US"/>
              </w:rPr>
              <w:tab/>
              <w:t>Étudier la possibilité de mener des projets internationaux conjoints en vue de tirer parti des intérêts communs et de la synergie des offices de propriété intellectuelle.</w:t>
            </w:r>
          </w:p>
        </w:tc>
        <w:tc>
          <w:tcPr>
            <w:tcW w:w="1139" w:type="dxa"/>
          </w:tcPr>
          <w:p w14:paraId="469F1CB7" w14:textId="304ED617" w:rsidR="00EB6772" w:rsidRPr="008977B8" w:rsidRDefault="00EB6772" w:rsidP="00EB6772">
            <w:pPr>
              <w:pStyle w:val="Endofdocument-Annex"/>
              <w:ind w:left="0"/>
              <w:rPr>
                <w:rFonts w:eastAsia="Times New Roman"/>
                <w:sz w:val="20"/>
                <w:lang w:eastAsia="en-US"/>
              </w:rPr>
            </w:pPr>
            <w:r w:rsidRPr="008977B8">
              <w:rPr>
                <w:rFonts w:eastAsia="Times New Roman"/>
                <w:sz w:val="20"/>
                <w:lang w:eastAsia="en-US"/>
              </w:rPr>
              <w:t>Groupe 3</w:t>
            </w:r>
          </w:p>
        </w:tc>
        <w:tc>
          <w:tcPr>
            <w:tcW w:w="2128" w:type="dxa"/>
          </w:tcPr>
          <w:p w14:paraId="611D75FD" w14:textId="5B77FA02" w:rsidR="00EB6772" w:rsidRPr="008977B8" w:rsidRDefault="00EB6772" w:rsidP="00EB6772">
            <w:pPr>
              <w:pStyle w:val="Endofdocument-Annex"/>
              <w:ind w:left="0"/>
              <w:rPr>
                <w:rFonts w:eastAsia="Times New Roman"/>
                <w:sz w:val="20"/>
                <w:lang w:eastAsia="en-US"/>
              </w:rPr>
            </w:pPr>
            <w:r w:rsidRPr="008977B8">
              <w:rPr>
                <w:rFonts w:eastAsia="Times New Roman"/>
                <w:sz w:val="20"/>
                <w:lang w:eastAsia="en-US"/>
              </w:rPr>
              <w:t> </w:t>
            </w:r>
          </w:p>
        </w:tc>
        <w:tc>
          <w:tcPr>
            <w:tcW w:w="2664" w:type="dxa"/>
          </w:tcPr>
          <w:p w14:paraId="42445F20" w14:textId="24BF0DC6" w:rsidR="00EB6772" w:rsidRPr="008977B8" w:rsidRDefault="00EB6772" w:rsidP="00EB6772">
            <w:pPr>
              <w:pStyle w:val="Endofdocument-Annex"/>
              <w:ind w:left="0"/>
              <w:rPr>
                <w:rFonts w:eastAsia="Times New Roman"/>
                <w:sz w:val="20"/>
                <w:lang w:eastAsia="en-US"/>
              </w:rPr>
            </w:pPr>
            <w:r w:rsidRPr="008977B8">
              <w:rPr>
                <w:rFonts w:eastAsia="Times New Roman"/>
                <w:sz w:val="20"/>
                <w:lang w:eastAsia="en-US"/>
              </w:rPr>
              <w:t> </w:t>
            </w:r>
          </w:p>
        </w:tc>
      </w:tr>
    </w:tbl>
    <w:p w14:paraId="23BB3A75" w14:textId="4F4E1113" w:rsidR="00EB6772" w:rsidRPr="008977B8" w:rsidRDefault="00EB6772" w:rsidP="00EB470E">
      <w:pPr>
        <w:pStyle w:val="Endofdocument-Annex"/>
        <w:spacing w:before="840"/>
      </w:pPr>
      <w:r w:rsidRPr="008977B8">
        <w:t>[Fin de l’annexe et du document]</w:t>
      </w:r>
    </w:p>
    <w:sectPr w:rsidR="00EB6772" w:rsidRPr="008977B8" w:rsidSect="00F53755">
      <w:headerReference w:type="default" r:id="rId8"/>
      <w:headerReference w:type="first" r:id="rId9"/>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B0DA1" w14:textId="77777777" w:rsidR="00A831D4" w:rsidRDefault="00A831D4">
      <w:r>
        <w:separator/>
      </w:r>
    </w:p>
  </w:endnote>
  <w:endnote w:type="continuationSeparator" w:id="0">
    <w:p w14:paraId="278546C8" w14:textId="77777777" w:rsidR="00A831D4" w:rsidRDefault="00A831D4" w:rsidP="003B38C1">
      <w:r>
        <w:separator/>
      </w:r>
    </w:p>
    <w:p w14:paraId="3EF940B8" w14:textId="77777777" w:rsidR="00A831D4" w:rsidRPr="009E55C2" w:rsidRDefault="00A831D4" w:rsidP="003B38C1">
      <w:pPr>
        <w:spacing w:after="60"/>
        <w:rPr>
          <w:sz w:val="17"/>
          <w:lang w:val="en-US"/>
        </w:rPr>
      </w:pPr>
      <w:r w:rsidRPr="009E55C2">
        <w:rPr>
          <w:sz w:val="17"/>
          <w:lang w:val="en-US"/>
        </w:rPr>
        <w:t>[Endnote continued from previous page]</w:t>
      </w:r>
    </w:p>
  </w:endnote>
  <w:endnote w:type="continuationNotice" w:id="1">
    <w:p w14:paraId="30BA3143" w14:textId="77777777" w:rsidR="00A831D4" w:rsidRPr="009E55C2" w:rsidRDefault="00A831D4" w:rsidP="003B38C1">
      <w:pPr>
        <w:spacing w:before="60"/>
        <w:jc w:val="right"/>
        <w:rPr>
          <w:sz w:val="17"/>
          <w:szCs w:val="17"/>
          <w:lang w:val="en-US"/>
        </w:rPr>
      </w:pPr>
      <w:r w:rsidRPr="009E55C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F9D68" w14:textId="77777777" w:rsidR="00A831D4" w:rsidRDefault="00A831D4">
      <w:r>
        <w:separator/>
      </w:r>
    </w:p>
  </w:footnote>
  <w:footnote w:type="continuationSeparator" w:id="0">
    <w:p w14:paraId="4F2E47FC" w14:textId="77777777" w:rsidR="00A831D4" w:rsidRDefault="00A831D4" w:rsidP="008B60B2">
      <w:r>
        <w:separator/>
      </w:r>
    </w:p>
    <w:p w14:paraId="3D8C7833" w14:textId="77777777" w:rsidR="00A831D4" w:rsidRPr="009E55C2" w:rsidRDefault="00A831D4" w:rsidP="008B60B2">
      <w:pPr>
        <w:spacing w:after="60"/>
        <w:rPr>
          <w:sz w:val="17"/>
          <w:szCs w:val="17"/>
          <w:lang w:val="en-US"/>
        </w:rPr>
      </w:pPr>
      <w:r w:rsidRPr="009E55C2">
        <w:rPr>
          <w:sz w:val="17"/>
          <w:szCs w:val="17"/>
          <w:lang w:val="en-US"/>
        </w:rPr>
        <w:t>[Footnote continued from previous page]</w:t>
      </w:r>
    </w:p>
  </w:footnote>
  <w:footnote w:type="continuationNotice" w:id="1">
    <w:p w14:paraId="0A7C58D6" w14:textId="77777777" w:rsidR="00A831D4" w:rsidRPr="009E55C2" w:rsidRDefault="00A831D4" w:rsidP="008B60B2">
      <w:pPr>
        <w:spacing w:before="60"/>
        <w:jc w:val="right"/>
        <w:rPr>
          <w:sz w:val="17"/>
          <w:szCs w:val="17"/>
          <w:lang w:val="en-US"/>
        </w:rPr>
      </w:pPr>
      <w:r w:rsidRPr="009E55C2">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46792" w14:textId="77777777" w:rsidR="002D1209" w:rsidRDefault="002D1209">
    <w:pPr>
      <w:pStyle w:val="Header"/>
      <w:jc w:val="right"/>
    </w:pPr>
    <w:r>
      <w:t>CWS/6/3</w:t>
    </w:r>
  </w:p>
  <w:p w14:paraId="3C4590D3" w14:textId="448ADABD" w:rsidR="002D1209" w:rsidRDefault="0023427B">
    <w:pPr>
      <w:pStyle w:val="Header"/>
      <w:jc w:val="right"/>
    </w:pPr>
    <w:r>
      <w:t>Annex</w:t>
    </w:r>
    <w:r w:rsidR="005E4CD3">
      <w:t>e</w:t>
    </w:r>
    <w:r>
      <w:t xml:space="preserve">, </w:t>
    </w:r>
    <w:r w:rsidR="002D1209">
      <w:t>page</w:t>
    </w:r>
    <w:r w:rsidR="00BE2266">
      <w:t> </w:t>
    </w:r>
    <w:sdt>
      <w:sdtPr>
        <w:id w:val="1758014859"/>
        <w:docPartObj>
          <w:docPartGallery w:val="Page Numbers (Top of Page)"/>
          <w:docPartUnique/>
        </w:docPartObj>
      </w:sdtPr>
      <w:sdtEndPr>
        <w:rPr>
          <w:noProof/>
        </w:rPr>
      </w:sdtEndPr>
      <w:sdtContent>
        <w:r w:rsidR="002D1209">
          <w:fldChar w:fldCharType="begin"/>
        </w:r>
        <w:r w:rsidR="002D1209">
          <w:instrText xml:space="preserve"> PAGE   \* MERGEFORMAT </w:instrText>
        </w:r>
        <w:r w:rsidR="002D1209">
          <w:fldChar w:fldCharType="separate"/>
        </w:r>
        <w:r w:rsidR="00161403">
          <w:rPr>
            <w:noProof/>
          </w:rPr>
          <w:t>2</w:t>
        </w:r>
        <w:r w:rsidR="002D1209">
          <w:rPr>
            <w:noProof/>
          </w:rPr>
          <w:fldChar w:fldCharType="end"/>
        </w:r>
      </w:sdtContent>
    </w:sdt>
  </w:p>
  <w:p w14:paraId="0B6D4289" w14:textId="4BD09924" w:rsidR="002D1209" w:rsidRDefault="002D1209" w:rsidP="002D1209">
    <w:pPr>
      <w:pStyle w:val="Header"/>
      <w:jc w:val="right"/>
    </w:pPr>
  </w:p>
  <w:p w14:paraId="1C8FE9F3" w14:textId="77777777" w:rsidR="002D1209" w:rsidRDefault="002D1209" w:rsidP="002D120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EB399" w14:textId="15D30BA7" w:rsidR="006428F3" w:rsidRDefault="006428F3" w:rsidP="006428F3">
    <w:pPr>
      <w:pStyle w:val="Header"/>
      <w:jc w:val="right"/>
      <w:rPr>
        <w:lang w:val="en-GB"/>
      </w:rPr>
    </w:pPr>
    <w:r>
      <w:rPr>
        <w:lang w:val="en-GB"/>
      </w:rPr>
      <w:t>CWS/6/3</w:t>
    </w:r>
  </w:p>
  <w:p w14:paraId="5C72B70B" w14:textId="1E937639" w:rsidR="006428F3" w:rsidRDefault="006428F3" w:rsidP="006428F3">
    <w:pPr>
      <w:pStyle w:val="Header"/>
      <w:jc w:val="right"/>
      <w:rPr>
        <w:lang w:val="en-GB"/>
      </w:rPr>
    </w:pPr>
    <w:r>
      <w:rPr>
        <w:lang w:val="en-GB"/>
      </w:rPr>
      <w:t>ANNEX</w:t>
    </w:r>
    <w:r w:rsidR="005E4CD3">
      <w:rPr>
        <w:lang w:val="en-GB"/>
      </w:rPr>
      <w:t>E</w:t>
    </w:r>
  </w:p>
  <w:p w14:paraId="4CB0788B" w14:textId="7736F737" w:rsidR="006428F3" w:rsidRDefault="006428F3" w:rsidP="006428F3">
    <w:pPr>
      <w:pStyle w:val="Header"/>
      <w:jc w:val="right"/>
      <w:rPr>
        <w:lang w:val="en-GB"/>
      </w:rPr>
    </w:pPr>
  </w:p>
  <w:p w14:paraId="12B6DF1D" w14:textId="77777777" w:rsidR="006428F3" w:rsidRPr="006428F3" w:rsidRDefault="006428F3" w:rsidP="006428F3">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27785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15:restartNumberingAfterBreak="0">
    <w:nsid w:val="116C7F0F"/>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F0109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3DE441C"/>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2D2D5CED"/>
    <w:multiLevelType w:val="hybridMultilevel"/>
    <w:tmpl w:val="6BF4078C"/>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278BB"/>
    <w:multiLevelType w:val="multilevel"/>
    <w:tmpl w:val="92E6FA0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right"/>
      <w:pPr>
        <w:tabs>
          <w:tab w:val="num" w:pos="1701"/>
        </w:tabs>
        <w:ind w:left="1134"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3DD7228F"/>
    <w:multiLevelType w:val="hybridMultilevel"/>
    <w:tmpl w:val="9F82CDB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812C76"/>
    <w:multiLevelType w:val="hybridMultilevel"/>
    <w:tmpl w:val="BA9A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154D"/>
    <w:multiLevelType w:val="hybridMultilevel"/>
    <w:tmpl w:val="6590B7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5" w15:restartNumberingAfterBreak="0">
    <w:nsid w:val="549F3214"/>
    <w:multiLevelType w:val="hybridMultilevel"/>
    <w:tmpl w:val="B2A052E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65B50DFD"/>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6C887D14"/>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3C34E91"/>
    <w:multiLevelType w:val="hybridMultilevel"/>
    <w:tmpl w:val="7E608AAC"/>
    <w:lvl w:ilvl="0" w:tplc="1DA24D1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76D52CF3"/>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8B47308"/>
    <w:multiLevelType w:val="hybridMultilevel"/>
    <w:tmpl w:val="73F26FF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3"/>
  </w:num>
  <w:num w:numId="5">
    <w:abstractNumId w:val="1"/>
  </w:num>
  <w:num w:numId="6">
    <w:abstractNumId w:val="6"/>
  </w:num>
  <w:num w:numId="7">
    <w:abstractNumId w:val="16"/>
  </w:num>
  <w:num w:numId="8">
    <w:abstractNumId w:val="9"/>
  </w:num>
  <w:num w:numId="9">
    <w:abstractNumId w:val="18"/>
  </w:num>
  <w:num w:numId="10">
    <w:abstractNumId w:val="14"/>
  </w:num>
  <w:num w:numId="11">
    <w:abstractNumId w:val="1"/>
  </w:num>
  <w:num w:numId="12">
    <w:abstractNumId w:val="1"/>
  </w:num>
  <w:num w:numId="13">
    <w:abstractNumId w:val="1"/>
  </w:num>
  <w:num w:numId="14">
    <w:abstractNumId w:val="15"/>
  </w:num>
  <w:num w:numId="15">
    <w:abstractNumId w:val="17"/>
  </w:num>
  <w:num w:numId="16">
    <w:abstractNumId w:val="20"/>
  </w:num>
  <w:num w:numId="17">
    <w:abstractNumId w:val="2"/>
  </w:num>
  <w:num w:numId="18">
    <w:abstractNumId w:val="7"/>
  </w:num>
  <w:num w:numId="19">
    <w:abstractNumId w:val="5"/>
  </w:num>
  <w:num w:numId="20">
    <w:abstractNumId w:val="3"/>
  </w:num>
  <w:num w:numId="21">
    <w:abstractNumId w:val="10"/>
  </w:num>
  <w:num w:numId="22">
    <w:abstractNumId w:val="19"/>
  </w:num>
  <w:num w:numId="23">
    <w:abstractNumId w:val="1"/>
  </w:num>
  <w:num w:numId="24">
    <w:abstractNumId w:val="12"/>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Default"/>
    <w:docVar w:name="TextBaseURL" w:val="empty"/>
    <w:docVar w:name="UILng" w:val="en"/>
  </w:docVars>
  <w:rsids>
    <w:rsidRoot w:val="002C41B4"/>
    <w:rsid w:val="00011D33"/>
    <w:rsid w:val="0002549A"/>
    <w:rsid w:val="000338C4"/>
    <w:rsid w:val="00033BEA"/>
    <w:rsid w:val="00043503"/>
    <w:rsid w:val="00043CAA"/>
    <w:rsid w:val="00044EB9"/>
    <w:rsid w:val="0005175C"/>
    <w:rsid w:val="000517DD"/>
    <w:rsid w:val="00053713"/>
    <w:rsid w:val="00054D4F"/>
    <w:rsid w:val="00056FB9"/>
    <w:rsid w:val="00064D32"/>
    <w:rsid w:val="00075432"/>
    <w:rsid w:val="00084C9E"/>
    <w:rsid w:val="0008638A"/>
    <w:rsid w:val="000968C6"/>
    <w:rsid w:val="000968ED"/>
    <w:rsid w:val="000A08C3"/>
    <w:rsid w:val="000C6CB7"/>
    <w:rsid w:val="000D4D4E"/>
    <w:rsid w:val="000E39FE"/>
    <w:rsid w:val="000F4F3C"/>
    <w:rsid w:val="000F5E56"/>
    <w:rsid w:val="00124503"/>
    <w:rsid w:val="0013596B"/>
    <w:rsid w:val="001362EE"/>
    <w:rsid w:val="0014069E"/>
    <w:rsid w:val="0014358F"/>
    <w:rsid w:val="00157944"/>
    <w:rsid w:val="00160526"/>
    <w:rsid w:val="00161403"/>
    <w:rsid w:val="00161BA2"/>
    <w:rsid w:val="0016465E"/>
    <w:rsid w:val="001647D5"/>
    <w:rsid w:val="001775AC"/>
    <w:rsid w:val="001832A6"/>
    <w:rsid w:val="00184A78"/>
    <w:rsid w:val="00184C27"/>
    <w:rsid w:val="00192903"/>
    <w:rsid w:val="0019705A"/>
    <w:rsid w:val="001978E1"/>
    <w:rsid w:val="001A2699"/>
    <w:rsid w:val="001B3A19"/>
    <w:rsid w:val="001D6DC7"/>
    <w:rsid w:val="001E103A"/>
    <w:rsid w:val="001E3754"/>
    <w:rsid w:val="001E3B16"/>
    <w:rsid w:val="001E6537"/>
    <w:rsid w:val="001E695F"/>
    <w:rsid w:val="001F2D93"/>
    <w:rsid w:val="001F447E"/>
    <w:rsid w:val="001F48F1"/>
    <w:rsid w:val="00210005"/>
    <w:rsid w:val="0021217E"/>
    <w:rsid w:val="00233F5C"/>
    <w:rsid w:val="0023427B"/>
    <w:rsid w:val="00236ABF"/>
    <w:rsid w:val="00247C69"/>
    <w:rsid w:val="002625D0"/>
    <w:rsid w:val="002634C4"/>
    <w:rsid w:val="00263F42"/>
    <w:rsid w:val="00271285"/>
    <w:rsid w:val="00272E13"/>
    <w:rsid w:val="00281FB2"/>
    <w:rsid w:val="002902C3"/>
    <w:rsid w:val="002928D3"/>
    <w:rsid w:val="002A71FC"/>
    <w:rsid w:val="002C0E29"/>
    <w:rsid w:val="002C41B4"/>
    <w:rsid w:val="002C72BA"/>
    <w:rsid w:val="002D1209"/>
    <w:rsid w:val="002F1FE6"/>
    <w:rsid w:val="002F4E68"/>
    <w:rsid w:val="00312F7F"/>
    <w:rsid w:val="00313591"/>
    <w:rsid w:val="003169B6"/>
    <w:rsid w:val="00325133"/>
    <w:rsid w:val="003304C2"/>
    <w:rsid w:val="00332A65"/>
    <w:rsid w:val="003379E2"/>
    <w:rsid w:val="00345527"/>
    <w:rsid w:val="00356455"/>
    <w:rsid w:val="00361450"/>
    <w:rsid w:val="00362156"/>
    <w:rsid w:val="00365A0E"/>
    <w:rsid w:val="003673CF"/>
    <w:rsid w:val="003800A6"/>
    <w:rsid w:val="003845C1"/>
    <w:rsid w:val="003A6F89"/>
    <w:rsid w:val="003B2D40"/>
    <w:rsid w:val="003B38C1"/>
    <w:rsid w:val="003C4471"/>
    <w:rsid w:val="003D7EB4"/>
    <w:rsid w:val="00423E3E"/>
    <w:rsid w:val="00426E5F"/>
    <w:rsid w:val="00427AF4"/>
    <w:rsid w:val="00437662"/>
    <w:rsid w:val="00441D88"/>
    <w:rsid w:val="0044494E"/>
    <w:rsid w:val="00447D80"/>
    <w:rsid w:val="004535C9"/>
    <w:rsid w:val="00455100"/>
    <w:rsid w:val="00456F68"/>
    <w:rsid w:val="004647DA"/>
    <w:rsid w:val="004676EC"/>
    <w:rsid w:val="00471B72"/>
    <w:rsid w:val="00474062"/>
    <w:rsid w:val="00477D6B"/>
    <w:rsid w:val="004819F1"/>
    <w:rsid w:val="004A0B4E"/>
    <w:rsid w:val="004A476F"/>
    <w:rsid w:val="004B414D"/>
    <w:rsid w:val="004C012F"/>
    <w:rsid w:val="004D6F58"/>
    <w:rsid w:val="004E6BD5"/>
    <w:rsid w:val="004F1261"/>
    <w:rsid w:val="004F30C9"/>
    <w:rsid w:val="005019FF"/>
    <w:rsid w:val="005076B2"/>
    <w:rsid w:val="00507F98"/>
    <w:rsid w:val="005149C4"/>
    <w:rsid w:val="00524CAC"/>
    <w:rsid w:val="0053057A"/>
    <w:rsid w:val="00560A29"/>
    <w:rsid w:val="00562E45"/>
    <w:rsid w:val="0057116D"/>
    <w:rsid w:val="00576076"/>
    <w:rsid w:val="00582AD1"/>
    <w:rsid w:val="00590E83"/>
    <w:rsid w:val="0059460C"/>
    <w:rsid w:val="00596EE4"/>
    <w:rsid w:val="005A082C"/>
    <w:rsid w:val="005C6649"/>
    <w:rsid w:val="005C6F68"/>
    <w:rsid w:val="005D2EC4"/>
    <w:rsid w:val="005E4CD3"/>
    <w:rsid w:val="005F14FC"/>
    <w:rsid w:val="005F4915"/>
    <w:rsid w:val="00605582"/>
    <w:rsid w:val="006055C9"/>
    <w:rsid w:val="00605827"/>
    <w:rsid w:val="006133C1"/>
    <w:rsid w:val="00615D53"/>
    <w:rsid w:val="00624A21"/>
    <w:rsid w:val="0063166E"/>
    <w:rsid w:val="006428F3"/>
    <w:rsid w:val="00642B4D"/>
    <w:rsid w:val="00646050"/>
    <w:rsid w:val="006510F0"/>
    <w:rsid w:val="00654B64"/>
    <w:rsid w:val="00655BA5"/>
    <w:rsid w:val="0066417E"/>
    <w:rsid w:val="00666786"/>
    <w:rsid w:val="00666A99"/>
    <w:rsid w:val="006713CA"/>
    <w:rsid w:val="00676C5C"/>
    <w:rsid w:val="006833FE"/>
    <w:rsid w:val="00693951"/>
    <w:rsid w:val="006A607D"/>
    <w:rsid w:val="006B768F"/>
    <w:rsid w:val="006B7A9B"/>
    <w:rsid w:val="006D3E92"/>
    <w:rsid w:val="006D43C8"/>
    <w:rsid w:val="006D6DF6"/>
    <w:rsid w:val="006E448A"/>
    <w:rsid w:val="006E4B1B"/>
    <w:rsid w:val="006E7E60"/>
    <w:rsid w:val="00706EF3"/>
    <w:rsid w:val="007226C9"/>
    <w:rsid w:val="007252C6"/>
    <w:rsid w:val="007353A3"/>
    <w:rsid w:val="00760A6D"/>
    <w:rsid w:val="00782F9F"/>
    <w:rsid w:val="00790C8B"/>
    <w:rsid w:val="007B6DB6"/>
    <w:rsid w:val="007C5B61"/>
    <w:rsid w:val="007C7390"/>
    <w:rsid w:val="007D1613"/>
    <w:rsid w:val="007D2AF0"/>
    <w:rsid w:val="007E19AA"/>
    <w:rsid w:val="007E4C0E"/>
    <w:rsid w:val="007F7A27"/>
    <w:rsid w:val="00805C68"/>
    <w:rsid w:val="00812B47"/>
    <w:rsid w:val="008138C7"/>
    <w:rsid w:val="00835BC8"/>
    <w:rsid w:val="00842651"/>
    <w:rsid w:val="0084453C"/>
    <w:rsid w:val="0084496E"/>
    <w:rsid w:val="008504D8"/>
    <w:rsid w:val="008606AA"/>
    <w:rsid w:val="008643E8"/>
    <w:rsid w:val="00864F25"/>
    <w:rsid w:val="00875B30"/>
    <w:rsid w:val="008844F4"/>
    <w:rsid w:val="008977B8"/>
    <w:rsid w:val="008B2CC1"/>
    <w:rsid w:val="008B60B2"/>
    <w:rsid w:val="008B66FE"/>
    <w:rsid w:val="008D3425"/>
    <w:rsid w:val="0090731E"/>
    <w:rsid w:val="00916EE2"/>
    <w:rsid w:val="00927544"/>
    <w:rsid w:val="0093689C"/>
    <w:rsid w:val="00943771"/>
    <w:rsid w:val="00943894"/>
    <w:rsid w:val="00951C8F"/>
    <w:rsid w:val="00951E35"/>
    <w:rsid w:val="00952214"/>
    <w:rsid w:val="0096433B"/>
    <w:rsid w:val="00966536"/>
    <w:rsid w:val="00966A22"/>
    <w:rsid w:val="0096722F"/>
    <w:rsid w:val="009724CC"/>
    <w:rsid w:val="00980843"/>
    <w:rsid w:val="00981540"/>
    <w:rsid w:val="00981ED9"/>
    <w:rsid w:val="009A045E"/>
    <w:rsid w:val="009A5245"/>
    <w:rsid w:val="009A572F"/>
    <w:rsid w:val="009B1DDA"/>
    <w:rsid w:val="009B29B0"/>
    <w:rsid w:val="009C749C"/>
    <w:rsid w:val="009E2791"/>
    <w:rsid w:val="009E3F6F"/>
    <w:rsid w:val="009E55C2"/>
    <w:rsid w:val="009E6713"/>
    <w:rsid w:val="009F499F"/>
    <w:rsid w:val="00A024A5"/>
    <w:rsid w:val="00A17968"/>
    <w:rsid w:val="00A31527"/>
    <w:rsid w:val="00A33548"/>
    <w:rsid w:val="00A42DAF"/>
    <w:rsid w:val="00A45BD8"/>
    <w:rsid w:val="00A5338C"/>
    <w:rsid w:val="00A618E1"/>
    <w:rsid w:val="00A74A8C"/>
    <w:rsid w:val="00A74BFA"/>
    <w:rsid w:val="00A831D4"/>
    <w:rsid w:val="00A84F72"/>
    <w:rsid w:val="00A869B7"/>
    <w:rsid w:val="00A925C4"/>
    <w:rsid w:val="00AA247C"/>
    <w:rsid w:val="00AA25BE"/>
    <w:rsid w:val="00AA282A"/>
    <w:rsid w:val="00AC205C"/>
    <w:rsid w:val="00AE0B17"/>
    <w:rsid w:val="00AE0E7A"/>
    <w:rsid w:val="00AE34AE"/>
    <w:rsid w:val="00AF0A6B"/>
    <w:rsid w:val="00AF7637"/>
    <w:rsid w:val="00B01337"/>
    <w:rsid w:val="00B05A69"/>
    <w:rsid w:val="00B2086F"/>
    <w:rsid w:val="00B57F73"/>
    <w:rsid w:val="00B61062"/>
    <w:rsid w:val="00B6308A"/>
    <w:rsid w:val="00B7135D"/>
    <w:rsid w:val="00B9734B"/>
    <w:rsid w:val="00BA0EE0"/>
    <w:rsid w:val="00BA30E2"/>
    <w:rsid w:val="00BB73C6"/>
    <w:rsid w:val="00BD10B7"/>
    <w:rsid w:val="00BD4002"/>
    <w:rsid w:val="00BD4C92"/>
    <w:rsid w:val="00BE0D13"/>
    <w:rsid w:val="00BE2266"/>
    <w:rsid w:val="00BF1443"/>
    <w:rsid w:val="00BF2417"/>
    <w:rsid w:val="00BF3565"/>
    <w:rsid w:val="00BF6BFD"/>
    <w:rsid w:val="00C11BFE"/>
    <w:rsid w:val="00C17C4C"/>
    <w:rsid w:val="00C23A27"/>
    <w:rsid w:val="00C5068F"/>
    <w:rsid w:val="00C52DC2"/>
    <w:rsid w:val="00C64774"/>
    <w:rsid w:val="00C66B38"/>
    <w:rsid w:val="00C73370"/>
    <w:rsid w:val="00C8405E"/>
    <w:rsid w:val="00C86D74"/>
    <w:rsid w:val="00C91957"/>
    <w:rsid w:val="00C964C3"/>
    <w:rsid w:val="00CC3D12"/>
    <w:rsid w:val="00CD04F1"/>
    <w:rsid w:val="00CE629D"/>
    <w:rsid w:val="00CF0AB2"/>
    <w:rsid w:val="00D04957"/>
    <w:rsid w:val="00D33424"/>
    <w:rsid w:val="00D45252"/>
    <w:rsid w:val="00D631F3"/>
    <w:rsid w:val="00D66C1D"/>
    <w:rsid w:val="00D719B3"/>
    <w:rsid w:val="00D71B4D"/>
    <w:rsid w:val="00D830F1"/>
    <w:rsid w:val="00D93D55"/>
    <w:rsid w:val="00D95C7E"/>
    <w:rsid w:val="00DA42B5"/>
    <w:rsid w:val="00DA650E"/>
    <w:rsid w:val="00DB157B"/>
    <w:rsid w:val="00DC3520"/>
    <w:rsid w:val="00DC41B1"/>
    <w:rsid w:val="00DC6B39"/>
    <w:rsid w:val="00DD0FBF"/>
    <w:rsid w:val="00DE7F0A"/>
    <w:rsid w:val="00DF6ED2"/>
    <w:rsid w:val="00E072AE"/>
    <w:rsid w:val="00E15015"/>
    <w:rsid w:val="00E251D8"/>
    <w:rsid w:val="00E335FE"/>
    <w:rsid w:val="00E5578A"/>
    <w:rsid w:val="00E624BC"/>
    <w:rsid w:val="00E7076C"/>
    <w:rsid w:val="00E71850"/>
    <w:rsid w:val="00E91EDB"/>
    <w:rsid w:val="00EA137E"/>
    <w:rsid w:val="00EB470E"/>
    <w:rsid w:val="00EB6772"/>
    <w:rsid w:val="00EC4E49"/>
    <w:rsid w:val="00EC7635"/>
    <w:rsid w:val="00ED4473"/>
    <w:rsid w:val="00ED77FB"/>
    <w:rsid w:val="00EE45FA"/>
    <w:rsid w:val="00EF095F"/>
    <w:rsid w:val="00F118AD"/>
    <w:rsid w:val="00F40030"/>
    <w:rsid w:val="00F40F28"/>
    <w:rsid w:val="00F53755"/>
    <w:rsid w:val="00F60E9A"/>
    <w:rsid w:val="00F617DC"/>
    <w:rsid w:val="00F66152"/>
    <w:rsid w:val="00F727E6"/>
    <w:rsid w:val="00F7384F"/>
    <w:rsid w:val="00F80F26"/>
    <w:rsid w:val="00F9616D"/>
    <w:rsid w:val="00F96C6B"/>
    <w:rsid w:val="00F974DF"/>
    <w:rsid w:val="00FA153F"/>
    <w:rsid w:val="00FA4102"/>
    <w:rsid w:val="00FB6F49"/>
    <w:rsid w:val="00FC5E6D"/>
    <w:rsid w:val="00FD2015"/>
    <w:rsid w:val="00FF06B5"/>
    <w:rsid w:val="00FF2882"/>
    <w:rsid w:val="00FF42FA"/>
    <w:rsid w:val="00FF44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07EE8DE"/>
  <w15:docId w15:val="{89F51A94-24C8-436B-8A36-E6151646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fr-CH"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41B4"/>
    <w:rPr>
      <w:rFonts w:ascii="Tahoma" w:hAnsi="Tahoma" w:cs="Tahoma"/>
      <w:sz w:val="16"/>
      <w:szCs w:val="16"/>
    </w:rPr>
  </w:style>
  <w:style w:type="character" w:customStyle="1" w:styleId="BalloonTextChar">
    <w:name w:val="Balloon Text Char"/>
    <w:basedOn w:val="DefaultParagraphFont"/>
    <w:link w:val="BalloonText"/>
    <w:rsid w:val="002C41B4"/>
    <w:rPr>
      <w:rFonts w:ascii="Tahoma" w:eastAsia="SimSun" w:hAnsi="Tahoma" w:cs="Tahoma"/>
      <w:sz w:val="16"/>
      <w:szCs w:val="16"/>
      <w:lang w:eastAsia="zh-CN"/>
    </w:rPr>
  </w:style>
  <w:style w:type="paragraph" w:customStyle="1" w:styleId="OHIMTEXT">
    <w:name w:val="OHIM TEXT"/>
    <w:basedOn w:val="Normal"/>
    <w:link w:val="OHIMTEXTChar"/>
    <w:qFormat/>
    <w:rsid w:val="00596EE4"/>
    <w:pPr>
      <w:jc w:val="both"/>
    </w:pPr>
    <w:rPr>
      <w:rFonts w:eastAsia="Times New Roman"/>
      <w:color w:val="404040" w:themeColor="text1" w:themeTint="BF"/>
      <w:szCs w:val="26"/>
      <w:lang w:val="en-GB" w:eastAsia="en-IE"/>
    </w:rPr>
  </w:style>
  <w:style w:type="character" w:customStyle="1" w:styleId="OHIMTEXTChar">
    <w:name w:val="OHIM TEXT Char"/>
    <w:basedOn w:val="DefaultParagraphFont"/>
    <w:link w:val="OHIMTEXT"/>
    <w:rsid w:val="00596EE4"/>
    <w:rPr>
      <w:rFonts w:ascii="Arial" w:hAnsi="Arial" w:cs="Arial"/>
      <w:color w:val="404040" w:themeColor="text1" w:themeTint="BF"/>
      <w:sz w:val="22"/>
      <w:szCs w:val="26"/>
      <w:lang w:val="en-GB" w:eastAsia="en-IE"/>
    </w:rPr>
  </w:style>
  <w:style w:type="character" w:styleId="Hyperlink">
    <w:name w:val="Hyperlink"/>
    <w:uiPriority w:val="99"/>
    <w:unhideWhenUsed/>
    <w:rsid w:val="00596EE4"/>
    <w:rPr>
      <w:color w:val="0000FF"/>
      <w:u w:val="single"/>
    </w:rPr>
  </w:style>
  <w:style w:type="character" w:customStyle="1" w:styleId="FootnoteTextChar">
    <w:name w:val="Footnote Text Char"/>
    <w:basedOn w:val="DefaultParagraphFont"/>
    <w:link w:val="FootnoteText"/>
    <w:uiPriority w:val="99"/>
    <w:semiHidden/>
    <w:rsid w:val="00596EE4"/>
    <w:rPr>
      <w:rFonts w:ascii="Arial" w:eastAsia="SimSun" w:hAnsi="Arial" w:cs="Arial"/>
      <w:sz w:val="18"/>
      <w:lang w:eastAsia="zh-CN"/>
    </w:rPr>
  </w:style>
  <w:style w:type="character" w:styleId="FootnoteReference">
    <w:name w:val="footnote reference"/>
    <w:basedOn w:val="DefaultParagraphFont"/>
    <w:uiPriority w:val="99"/>
    <w:unhideWhenUsed/>
    <w:rsid w:val="00596EE4"/>
    <w:rPr>
      <w:vertAlign w:val="superscript"/>
    </w:rPr>
  </w:style>
  <w:style w:type="paragraph" w:customStyle="1" w:styleId="TownDate">
    <w:name w:val="Town Date"/>
    <w:basedOn w:val="Normal"/>
    <w:link w:val="TownDateChar"/>
    <w:qFormat/>
    <w:rsid w:val="00596EE4"/>
    <w:pPr>
      <w:widowControl w:val="0"/>
      <w:spacing w:line="240" w:lineRule="atLeast"/>
      <w:ind w:right="95"/>
      <w:jc w:val="right"/>
    </w:pPr>
    <w:rPr>
      <w:rFonts w:eastAsia="Times New Roman"/>
      <w:color w:val="595959" w:themeColor="text1" w:themeTint="A6"/>
      <w:szCs w:val="22"/>
      <w:lang w:val="en-IE" w:eastAsia="en-US"/>
    </w:rPr>
  </w:style>
  <w:style w:type="character" w:customStyle="1" w:styleId="TownDateChar">
    <w:name w:val="Town Date Char"/>
    <w:basedOn w:val="DefaultParagraphFont"/>
    <w:link w:val="TownDate"/>
    <w:rsid w:val="00596EE4"/>
    <w:rPr>
      <w:rFonts w:ascii="Arial" w:hAnsi="Arial" w:cs="Arial"/>
      <w:color w:val="595959" w:themeColor="text1" w:themeTint="A6"/>
      <w:sz w:val="22"/>
      <w:szCs w:val="22"/>
      <w:lang w:val="en-IE"/>
    </w:rPr>
  </w:style>
  <w:style w:type="paragraph" w:customStyle="1" w:styleId="Refnumber">
    <w:name w:val="Ref number"/>
    <w:basedOn w:val="Normal"/>
    <w:link w:val="RefnumberChar"/>
    <w:qFormat/>
    <w:rsid w:val="00596EE4"/>
    <w:pPr>
      <w:widowControl w:val="0"/>
      <w:spacing w:line="240" w:lineRule="atLeast"/>
      <w:ind w:right="95"/>
      <w:jc w:val="right"/>
    </w:pPr>
    <w:rPr>
      <w:rFonts w:eastAsia="Times New Roman"/>
      <w:color w:val="595959" w:themeColor="text1" w:themeTint="A6"/>
      <w:sz w:val="18"/>
      <w:szCs w:val="18"/>
      <w:lang w:val="en-GB" w:eastAsia="en-US"/>
    </w:rPr>
  </w:style>
  <w:style w:type="character" w:customStyle="1" w:styleId="RefnumberChar">
    <w:name w:val="Ref number Char"/>
    <w:basedOn w:val="DefaultParagraphFont"/>
    <w:link w:val="Refnumber"/>
    <w:rsid w:val="00596EE4"/>
    <w:rPr>
      <w:rFonts w:ascii="Arial" w:hAnsi="Arial" w:cs="Arial"/>
      <w:color w:val="595959" w:themeColor="text1" w:themeTint="A6"/>
      <w:sz w:val="18"/>
      <w:szCs w:val="18"/>
      <w:lang w:val="en-GB"/>
    </w:rPr>
  </w:style>
  <w:style w:type="character" w:customStyle="1" w:styleId="ONUMEChar">
    <w:name w:val="ONUM E Char"/>
    <w:link w:val="ONUME"/>
    <w:rsid w:val="00596EE4"/>
    <w:rPr>
      <w:rFonts w:ascii="Arial" w:eastAsia="SimSun" w:hAnsi="Arial" w:cs="Arial"/>
      <w:sz w:val="22"/>
      <w:lang w:eastAsia="zh-CN"/>
    </w:rPr>
  </w:style>
  <w:style w:type="paragraph" w:customStyle="1" w:styleId="H3-Decision">
    <w:name w:val="H3-Decision"/>
    <w:basedOn w:val="Heading3"/>
    <w:link w:val="H3-DecisionChar"/>
    <w:rsid w:val="00596EE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96EE4"/>
    <w:rPr>
      <w:i/>
      <w:sz w:val="24"/>
      <w:szCs w:val="24"/>
      <w:lang w:eastAsia="zh-CN"/>
    </w:rPr>
  </w:style>
  <w:style w:type="paragraph" w:customStyle="1" w:styleId="Indent1">
    <w:name w:val="Indent 1"/>
    <w:basedOn w:val="Normal"/>
    <w:rsid w:val="00596EE4"/>
    <w:pPr>
      <w:spacing w:after="120" w:line="260" w:lineRule="atLeast"/>
      <w:ind w:left="2268" w:hanging="567"/>
    </w:pPr>
    <w:rPr>
      <w:rFonts w:eastAsia="Times New Roman" w:cs="Times New Roman"/>
      <w:sz w:val="20"/>
      <w:lang w:eastAsia="en-US"/>
    </w:rPr>
  </w:style>
  <w:style w:type="character" w:customStyle="1" w:styleId="HeaderChar">
    <w:name w:val="Header Char"/>
    <w:basedOn w:val="DefaultParagraphFont"/>
    <w:link w:val="Header"/>
    <w:uiPriority w:val="99"/>
    <w:rsid w:val="00EA137E"/>
    <w:rPr>
      <w:rFonts w:ascii="Arial" w:eastAsia="SimSun" w:hAnsi="Arial" w:cs="Arial"/>
      <w:sz w:val="22"/>
      <w:lang w:eastAsia="zh-CN"/>
    </w:rPr>
  </w:style>
  <w:style w:type="character" w:customStyle="1" w:styleId="NormalBold2">
    <w:name w:val="Normal Bold2"/>
    <w:uiPriority w:val="1"/>
    <w:qFormat/>
    <w:rsid w:val="00272E13"/>
    <w:rPr>
      <w:rFonts w:ascii="Arial" w:hAnsi="Arial" w:cs="Arial"/>
      <w:b/>
      <w:color w:val="1D252C"/>
      <w:sz w:val="20"/>
    </w:rPr>
  </w:style>
  <w:style w:type="paragraph" w:styleId="ListParagraph">
    <w:name w:val="List Paragraph"/>
    <w:basedOn w:val="Normal"/>
    <w:uiPriority w:val="34"/>
    <w:qFormat/>
    <w:rsid w:val="00272E13"/>
    <w:pPr>
      <w:ind w:left="720"/>
      <w:contextualSpacing/>
    </w:pPr>
  </w:style>
  <w:style w:type="character" w:styleId="FollowedHyperlink">
    <w:name w:val="FollowedHyperlink"/>
    <w:basedOn w:val="DefaultParagraphFont"/>
    <w:semiHidden/>
    <w:unhideWhenUsed/>
    <w:rsid w:val="00966536"/>
    <w:rPr>
      <w:color w:val="800080" w:themeColor="followedHyperlink"/>
      <w:u w:val="single"/>
    </w:rPr>
  </w:style>
  <w:style w:type="character" w:customStyle="1" w:styleId="BodyTextChar">
    <w:name w:val="Body Text Char"/>
    <w:basedOn w:val="DefaultParagraphFont"/>
    <w:link w:val="BodyText"/>
    <w:rsid w:val="00966536"/>
    <w:rPr>
      <w:rFonts w:ascii="Arial" w:eastAsia="SimSun" w:hAnsi="Arial" w:cs="Arial"/>
      <w:sz w:val="22"/>
      <w:lang w:eastAsia="zh-CN"/>
    </w:rPr>
  </w:style>
  <w:style w:type="character" w:styleId="CommentReference">
    <w:name w:val="annotation reference"/>
    <w:basedOn w:val="DefaultParagraphFont"/>
    <w:semiHidden/>
    <w:unhideWhenUsed/>
    <w:rsid w:val="00576076"/>
    <w:rPr>
      <w:sz w:val="16"/>
      <w:szCs w:val="16"/>
    </w:rPr>
  </w:style>
  <w:style w:type="paragraph" w:styleId="CommentSubject">
    <w:name w:val="annotation subject"/>
    <w:basedOn w:val="CommentText"/>
    <w:next w:val="CommentText"/>
    <w:link w:val="CommentSubjectChar"/>
    <w:semiHidden/>
    <w:unhideWhenUsed/>
    <w:rsid w:val="00576076"/>
    <w:rPr>
      <w:b/>
      <w:bCs/>
      <w:sz w:val="20"/>
    </w:rPr>
  </w:style>
  <w:style w:type="character" w:customStyle="1" w:styleId="CommentTextChar">
    <w:name w:val="Comment Text Char"/>
    <w:basedOn w:val="DefaultParagraphFont"/>
    <w:link w:val="CommentText"/>
    <w:semiHidden/>
    <w:rsid w:val="00576076"/>
    <w:rPr>
      <w:rFonts w:ascii="Arial" w:eastAsia="SimSun" w:hAnsi="Arial" w:cs="Arial"/>
      <w:sz w:val="18"/>
      <w:lang w:eastAsia="zh-CN"/>
    </w:rPr>
  </w:style>
  <w:style w:type="character" w:customStyle="1" w:styleId="CommentSubjectChar">
    <w:name w:val="Comment Subject Char"/>
    <w:basedOn w:val="CommentTextChar"/>
    <w:link w:val="CommentSubject"/>
    <w:semiHidden/>
    <w:rsid w:val="00576076"/>
    <w:rPr>
      <w:rFonts w:ascii="Arial" w:eastAsia="SimSun" w:hAnsi="Arial" w:cs="Arial"/>
      <w:b/>
      <w:bCs/>
      <w:sz w:val="18"/>
      <w:lang w:eastAsia="zh-CN"/>
    </w:rPr>
  </w:style>
  <w:style w:type="table" w:styleId="TableGrid">
    <w:name w:val="Table Grid"/>
    <w:basedOn w:val="TableNormal"/>
    <w:rsid w:val="00EB6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487094">
      <w:bodyDiv w:val="1"/>
      <w:marLeft w:val="0"/>
      <w:marRight w:val="0"/>
      <w:marTop w:val="0"/>
      <w:marBottom w:val="0"/>
      <w:divBdr>
        <w:top w:val="none" w:sz="0" w:space="0" w:color="auto"/>
        <w:left w:val="none" w:sz="0" w:space="0" w:color="auto"/>
        <w:bottom w:val="none" w:sz="0" w:space="0" w:color="auto"/>
        <w:right w:val="none" w:sz="0" w:space="0" w:color="auto"/>
      </w:divBdr>
    </w:div>
    <w:div w:id="166064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6D5C2-6BB6-4280-83C7-F71EF1CD1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9</Pages>
  <Words>2947</Words>
  <Characters>16801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CWS/6/18 Annex (in French)</vt:lpstr>
    </vt:vector>
  </TitlesOfParts>
  <Company>OMPI</Company>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CWS/6/18 Annex (in French)</dc:title>
  <dc:subject>40 RECOMMANDATIONS ET ACTIVITÉS DU CWS </dc:subject>
  <dc:creator>OMPI</dc:creator>
  <cp:keywords>CWS</cp:keywords>
  <cp:lastModifiedBy>DRAKE Sophie</cp:lastModifiedBy>
  <cp:revision>116</cp:revision>
  <cp:lastPrinted>2018-09-20T13:11:00Z</cp:lastPrinted>
  <dcterms:created xsi:type="dcterms:W3CDTF">2018-09-13T09:03:00Z</dcterms:created>
  <dcterms:modified xsi:type="dcterms:W3CDTF">2018-10-01T08:01:00Z</dcterms:modified>
  <cp:category>CWS (in French)</cp:category>
</cp:coreProperties>
</file>