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324A8" w:rsidRPr="008B2CC1" w14:paraId="1EB4A55F" w14:textId="77777777" w:rsidTr="005507C3">
        <w:tc>
          <w:tcPr>
            <w:tcW w:w="4513" w:type="dxa"/>
            <w:tcBorders>
              <w:bottom w:val="single" w:sz="4" w:space="0" w:color="auto"/>
            </w:tcBorders>
            <w:tcMar>
              <w:bottom w:w="170" w:type="dxa"/>
            </w:tcMar>
          </w:tcPr>
          <w:p w14:paraId="0453F6C4" w14:textId="77777777" w:rsidR="00B324A8" w:rsidRPr="008B2CC1" w:rsidRDefault="00B324A8" w:rsidP="005507C3">
            <w:bookmarkStart w:id="0" w:name="TitleOfDoc"/>
            <w:bookmarkEnd w:id="0"/>
          </w:p>
        </w:tc>
        <w:tc>
          <w:tcPr>
            <w:tcW w:w="4337" w:type="dxa"/>
            <w:tcBorders>
              <w:bottom w:val="single" w:sz="4" w:space="0" w:color="auto"/>
            </w:tcBorders>
            <w:tcMar>
              <w:left w:w="0" w:type="dxa"/>
              <w:right w:w="0" w:type="dxa"/>
            </w:tcMar>
          </w:tcPr>
          <w:p w14:paraId="242E74E0" w14:textId="77777777" w:rsidR="00B324A8" w:rsidRPr="008B2CC1" w:rsidRDefault="00B324A8" w:rsidP="005507C3">
            <w:r>
              <w:rPr>
                <w:noProof/>
                <w:lang w:val="en-US" w:eastAsia="en-US"/>
              </w:rPr>
              <w:drawing>
                <wp:inline distT="0" distB="0" distL="0" distR="0" wp14:anchorId="1C2B262D" wp14:editId="3E64442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5468DA4" w14:textId="77777777" w:rsidR="00B324A8" w:rsidRPr="008B2CC1" w:rsidRDefault="00B324A8" w:rsidP="005507C3">
            <w:pPr>
              <w:jc w:val="right"/>
            </w:pPr>
            <w:r>
              <w:rPr>
                <w:b/>
                <w:sz w:val="40"/>
                <w:szCs w:val="40"/>
              </w:rPr>
              <w:t>F</w:t>
            </w:r>
          </w:p>
        </w:tc>
      </w:tr>
      <w:tr w:rsidR="00B324A8" w:rsidRPr="001832A6" w14:paraId="09836B6B" w14:textId="77777777" w:rsidTr="005507C3">
        <w:trPr>
          <w:trHeight w:hRule="exact" w:val="357"/>
        </w:trPr>
        <w:tc>
          <w:tcPr>
            <w:tcW w:w="9356" w:type="dxa"/>
            <w:gridSpan w:val="3"/>
            <w:tcBorders>
              <w:top w:val="single" w:sz="4" w:space="0" w:color="auto"/>
            </w:tcBorders>
            <w:tcMar>
              <w:top w:w="170" w:type="dxa"/>
              <w:left w:w="0" w:type="dxa"/>
              <w:right w:w="0" w:type="dxa"/>
            </w:tcMar>
            <w:vAlign w:val="bottom"/>
          </w:tcPr>
          <w:p w14:paraId="1338EA5B" w14:textId="77777777" w:rsidR="00B324A8" w:rsidRPr="0090731E" w:rsidRDefault="00B324A8" w:rsidP="005507C3">
            <w:pPr>
              <w:jc w:val="right"/>
              <w:rPr>
                <w:rFonts w:ascii="Arial Black" w:hAnsi="Arial Black"/>
                <w:caps/>
                <w:sz w:val="15"/>
              </w:rPr>
            </w:pPr>
            <w:r>
              <w:rPr>
                <w:rFonts w:ascii="Arial Black" w:hAnsi="Arial Black"/>
                <w:caps/>
                <w:sz w:val="15"/>
              </w:rPr>
              <w:t>CWS/6/</w:t>
            </w:r>
            <w:bookmarkStart w:id="1" w:name="Code"/>
            <w:bookmarkEnd w:id="1"/>
            <w:r>
              <w:rPr>
                <w:rFonts w:ascii="Arial Black" w:hAnsi="Arial Black"/>
                <w:caps/>
                <w:sz w:val="15"/>
              </w:rPr>
              <w:t>13</w:t>
            </w:r>
          </w:p>
        </w:tc>
      </w:tr>
      <w:tr w:rsidR="00B324A8" w:rsidRPr="001832A6" w14:paraId="0ED971E4" w14:textId="77777777" w:rsidTr="005507C3">
        <w:trPr>
          <w:trHeight w:hRule="exact" w:val="170"/>
        </w:trPr>
        <w:tc>
          <w:tcPr>
            <w:tcW w:w="9356" w:type="dxa"/>
            <w:gridSpan w:val="3"/>
            <w:noWrap/>
            <w:tcMar>
              <w:left w:w="0" w:type="dxa"/>
              <w:right w:w="0" w:type="dxa"/>
            </w:tcMar>
            <w:vAlign w:val="bottom"/>
          </w:tcPr>
          <w:p w14:paraId="11BCB0DB" w14:textId="102AEA12" w:rsidR="00B324A8" w:rsidRPr="0090731E" w:rsidRDefault="00B324A8" w:rsidP="005507C3">
            <w:pPr>
              <w:jc w:val="right"/>
              <w:rPr>
                <w:rFonts w:ascii="Arial Black" w:hAnsi="Arial Black"/>
                <w:caps/>
                <w:sz w:val="15"/>
              </w:rPr>
            </w:pPr>
            <w:r w:rsidRPr="0090731E">
              <w:rPr>
                <w:rFonts w:ascii="Arial Black" w:hAnsi="Arial Black"/>
                <w:caps/>
                <w:sz w:val="15"/>
              </w:rPr>
              <w:t>ORIGINAL</w:t>
            </w:r>
            <w:r w:rsidR="00B1631C">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B324A8" w:rsidRPr="001832A6" w14:paraId="7122B688" w14:textId="77777777" w:rsidTr="005507C3">
        <w:trPr>
          <w:trHeight w:hRule="exact" w:val="198"/>
        </w:trPr>
        <w:tc>
          <w:tcPr>
            <w:tcW w:w="9356" w:type="dxa"/>
            <w:gridSpan w:val="3"/>
            <w:tcMar>
              <w:left w:w="0" w:type="dxa"/>
              <w:right w:w="0" w:type="dxa"/>
            </w:tcMar>
            <w:vAlign w:val="bottom"/>
          </w:tcPr>
          <w:p w14:paraId="46F2F15F" w14:textId="30D560C3" w:rsidR="00B324A8" w:rsidRPr="0090731E" w:rsidRDefault="00B324A8" w:rsidP="005507C3">
            <w:pPr>
              <w:jc w:val="right"/>
              <w:rPr>
                <w:rFonts w:ascii="Arial Black" w:hAnsi="Arial Black"/>
                <w:caps/>
                <w:sz w:val="15"/>
              </w:rPr>
            </w:pPr>
            <w:r w:rsidRPr="0090731E">
              <w:rPr>
                <w:rFonts w:ascii="Arial Black" w:hAnsi="Arial Black"/>
                <w:caps/>
                <w:sz w:val="15"/>
              </w:rPr>
              <w:t>DATE</w:t>
            </w:r>
            <w:r w:rsidR="00B1631C">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12 septembre 2018</w:t>
            </w:r>
            <w:r w:rsidRPr="0090731E">
              <w:rPr>
                <w:rFonts w:ascii="Arial Black" w:hAnsi="Arial Black"/>
                <w:caps/>
                <w:sz w:val="15"/>
              </w:rPr>
              <w:t xml:space="preserve"> </w:t>
            </w:r>
          </w:p>
        </w:tc>
      </w:tr>
    </w:tbl>
    <w:p w14:paraId="5BC16442" w14:textId="77777777" w:rsidR="00B324A8" w:rsidRPr="008B2CC1" w:rsidRDefault="00B324A8" w:rsidP="00B324A8"/>
    <w:p w14:paraId="2530248D" w14:textId="77777777" w:rsidR="00B324A8" w:rsidRPr="008B2CC1" w:rsidRDefault="00B324A8" w:rsidP="00B324A8"/>
    <w:p w14:paraId="42F6F044" w14:textId="77777777" w:rsidR="00B324A8" w:rsidRPr="008B2CC1" w:rsidRDefault="00B324A8" w:rsidP="00B324A8"/>
    <w:p w14:paraId="166C3FA4" w14:textId="77777777" w:rsidR="00B324A8" w:rsidRPr="008B2CC1" w:rsidRDefault="00B324A8" w:rsidP="00B324A8"/>
    <w:p w14:paraId="51D22F5F" w14:textId="77777777" w:rsidR="00B324A8" w:rsidRPr="008B2CC1" w:rsidRDefault="00B324A8" w:rsidP="00B324A8"/>
    <w:p w14:paraId="07704394" w14:textId="2B4C2341" w:rsidR="00B324A8" w:rsidRPr="009537FA" w:rsidRDefault="00B324A8" w:rsidP="00B324A8">
      <w:pPr>
        <w:rPr>
          <w:b/>
          <w:sz w:val="28"/>
          <w:szCs w:val="28"/>
          <w:lang w:val="fr-FR"/>
        </w:rPr>
      </w:pPr>
      <w:r w:rsidRPr="009537FA">
        <w:rPr>
          <w:b/>
          <w:sz w:val="28"/>
          <w:szCs w:val="28"/>
          <w:lang w:val="fr-FR"/>
        </w:rPr>
        <w:t>Comité des normes de l</w:t>
      </w:r>
      <w:r w:rsidR="00B1631C">
        <w:rPr>
          <w:b/>
          <w:sz w:val="28"/>
          <w:szCs w:val="28"/>
          <w:lang w:val="fr-FR"/>
        </w:rPr>
        <w:t>’</w:t>
      </w:r>
      <w:r w:rsidRPr="009537FA">
        <w:rPr>
          <w:b/>
          <w:sz w:val="28"/>
          <w:szCs w:val="28"/>
          <w:lang w:val="fr-FR"/>
        </w:rPr>
        <w:t>OMPI (CWS)</w:t>
      </w:r>
    </w:p>
    <w:p w14:paraId="78DD461A" w14:textId="77777777" w:rsidR="00B324A8" w:rsidRPr="009537FA" w:rsidRDefault="00B324A8" w:rsidP="00B324A8">
      <w:pPr>
        <w:rPr>
          <w:lang w:val="fr-FR"/>
        </w:rPr>
      </w:pPr>
    </w:p>
    <w:p w14:paraId="5BD73C45" w14:textId="77777777" w:rsidR="00B324A8" w:rsidRPr="009537FA" w:rsidRDefault="00B324A8" w:rsidP="00B324A8">
      <w:pPr>
        <w:rPr>
          <w:lang w:val="fr-FR"/>
        </w:rPr>
      </w:pPr>
    </w:p>
    <w:p w14:paraId="6B300166" w14:textId="7F9A82FA" w:rsidR="00B324A8" w:rsidRPr="009537FA" w:rsidRDefault="00B324A8" w:rsidP="00B324A8">
      <w:pPr>
        <w:rPr>
          <w:b/>
          <w:sz w:val="24"/>
          <w:szCs w:val="24"/>
          <w:lang w:val="fr-FR"/>
        </w:rPr>
      </w:pPr>
      <w:r w:rsidRPr="009537FA">
        <w:rPr>
          <w:b/>
          <w:sz w:val="24"/>
          <w:szCs w:val="24"/>
          <w:lang w:val="fr-FR"/>
        </w:rPr>
        <w:t>Six</w:t>
      </w:r>
      <w:r w:rsidR="00B1631C">
        <w:rPr>
          <w:b/>
          <w:sz w:val="24"/>
          <w:szCs w:val="24"/>
          <w:lang w:val="fr-FR"/>
        </w:rPr>
        <w:t>ième session</w:t>
      </w:r>
    </w:p>
    <w:p w14:paraId="2BB29A32" w14:textId="6DF5F4D2" w:rsidR="00B324A8" w:rsidRPr="009537FA" w:rsidRDefault="00B324A8" w:rsidP="00B324A8">
      <w:pPr>
        <w:rPr>
          <w:b/>
          <w:sz w:val="24"/>
          <w:szCs w:val="24"/>
          <w:lang w:val="fr-FR"/>
        </w:rPr>
      </w:pPr>
      <w:r w:rsidRPr="009537FA">
        <w:rPr>
          <w:b/>
          <w:sz w:val="24"/>
          <w:szCs w:val="24"/>
          <w:lang w:val="fr-FR"/>
        </w:rPr>
        <w:t>Genève, 15 – 19</w:t>
      </w:r>
      <w:r w:rsidR="00EE13EE">
        <w:rPr>
          <w:b/>
          <w:sz w:val="24"/>
          <w:szCs w:val="24"/>
          <w:lang w:val="fr-FR"/>
        </w:rPr>
        <w:t> </w:t>
      </w:r>
      <w:r w:rsidRPr="009537FA">
        <w:rPr>
          <w:b/>
          <w:sz w:val="24"/>
          <w:szCs w:val="24"/>
          <w:lang w:val="fr-FR"/>
        </w:rPr>
        <w:t>octobre</w:t>
      </w:r>
      <w:r w:rsidR="00EE13EE">
        <w:rPr>
          <w:b/>
          <w:sz w:val="24"/>
          <w:szCs w:val="24"/>
          <w:lang w:val="fr-FR"/>
        </w:rPr>
        <w:t> </w:t>
      </w:r>
      <w:r w:rsidRPr="009537FA">
        <w:rPr>
          <w:b/>
          <w:sz w:val="24"/>
          <w:szCs w:val="24"/>
          <w:lang w:val="fr-FR"/>
        </w:rPr>
        <w:t>2018</w:t>
      </w:r>
    </w:p>
    <w:p w14:paraId="7DD23877" w14:textId="77777777" w:rsidR="00B324A8" w:rsidRPr="009537FA" w:rsidRDefault="00B324A8" w:rsidP="00B324A8">
      <w:pPr>
        <w:rPr>
          <w:lang w:val="fr-FR"/>
        </w:rPr>
      </w:pPr>
    </w:p>
    <w:p w14:paraId="04CD384D" w14:textId="77777777" w:rsidR="00B324A8" w:rsidRPr="009537FA" w:rsidRDefault="00B324A8" w:rsidP="00B324A8">
      <w:pPr>
        <w:rPr>
          <w:lang w:val="fr-FR"/>
        </w:rPr>
      </w:pPr>
    </w:p>
    <w:p w14:paraId="4FF59A3E" w14:textId="77777777" w:rsidR="00B324A8" w:rsidRPr="009537FA" w:rsidRDefault="00B324A8" w:rsidP="00B324A8">
      <w:pPr>
        <w:rPr>
          <w:lang w:val="fr-FR"/>
        </w:rPr>
      </w:pPr>
    </w:p>
    <w:p w14:paraId="782C2658" w14:textId="1DCBD048" w:rsidR="00667BB7" w:rsidRPr="00B324A8" w:rsidRDefault="00FF0310" w:rsidP="00FF0310">
      <w:pPr>
        <w:rPr>
          <w:caps/>
          <w:sz w:val="24"/>
          <w:lang w:val="fr-FR"/>
        </w:rPr>
      </w:pPr>
      <w:bookmarkStart w:id="4" w:name="_GoBack"/>
      <w:r w:rsidRPr="00B324A8">
        <w:rPr>
          <w:caps/>
          <w:sz w:val="24"/>
          <w:lang w:val="fr-FR"/>
        </w:rPr>
        <w:t>Programme de mise en œuvre de</w:t>
      </w:r>
      <w:r w:rsidR="001F46E6" w:rsidRPr="00B324A8">
        <w:rPr>
          <w:caps/>
          <w:sz w:val="24"/>
          <w:lang w:val="fr-FR"/>
        </w:rPr>
        <w:t xml:space="preserve"> la norme </w:t>
      </w:r>
      <w:r w:rsidRPr="00B324A8">
        <w:rPr>
          <w:caps/>
          <w:sz w:val="24"/>
          <w:lang w:val="fr-FR"/>
        </w:rPr>
        <w:t>ST.27 de l</w:t>
      </w:r>
      <w:r w:rsidR="00B1631C">
        <w:rPr>
          <w:caps/>
          <w:sz w:val="24"/>
          <w:lang w:val="fr-FR"/>
        </w:rPr>
        <w:t>’</w:t>
      </w:r>
      <w:r w:rsidRPr="00B324A8">
        <w:rPr>
          <w:caps/>
          <w:sz w:val="24"/>
          <w:lang w:val="fr-FR"/>
        </w:rPr>
        <w:t>OMPI par les offices de propriété intellectuelle</w:t>
      </w:r>
    </w:p>
    <w:bookmarkEnd w:id="4"/>
    <w:p w14:paraId="50C7E957" w14:textId="77777777" w:rsidR="00667BB7" w:rsidRPr="00FC0FDF" w:rsidRDefault="00667BB7" w:rsidP="00596EE4">
      <w:pPr>
        <w:rPr>
          <w:caps/>
          <w:sz w:val="24"/>
          <w:lang w:val="fr-FR"/>
        </w:rPr>
      </w:pPr>
    </w:p>
    <w:p w14:paraId="27E17BB0" w14:textId="77777777" w:rsidR="00667BB7" w:rsidRPr="00FC0FDF" w:rsidRDefault="00FF0310" w:rsidP="00FF0310">
      <w:pPr>
        <w:rPr>
          <w:i/>
          <w:szCs w:val="22"/>
          <w:lang w:val="fr-FR"/>
        </w:rPr>
      </w:pPr>
      <w:r w:rsidRPr="00FC0FDF">
        <w:rPr>
          <w:i/>
          <w:szCs w:val="22"/>
          <w:lang w:val="fr-FR"/>
        </w:rPr>
        <w:t>Document établi par le Bureau international</w:t>
      </w:r>
    </w:p>
    <w:p w14:paraId="1052E3FC" w14:textId="77777777" w:rsidR="00667BB7" w:rsidRPr="00FC0FDF" w:rsidRDefault="00667BB7" w:rsidP="00596EE4">
      <w:pPr>
        <w:rPr>
          <w:szCs w:val="22"/>
          <w:lang w:val="fr-FR"/>
        </w:rPr>
      </w:pPr>
    </w:p>
    <w:p w14:paraId="5700F43E" w14:textId="77777777" w:rsidR="00667BB7" w:rsidRPr="00FC0FDF" w:rsidRDefault="00667BB7" w:rsidP="00596EE4">
      <w:pPr>
        <w:rPr>
          <w:szCs w:val="22"/>
          <w:lang w:val="fr-FR"/>
        </w:rPr>
      </w:pPr>
    </w:p>
    <w:p w14:paraId="5AA6C31E" w14:textId="77777777" w:rsidR="00667BB7" w:rsidRPr="00FC0FDF" w:rsidRDefault="00667BB7" w:rsidP="00596EE4">
      <w:pPr>
        <w:rPr>
          <w:szCs w:val="22"/>
          <w:u w:val="single"/>
          <w:lang w:val="fr-FR"/>
        </w:rPr>
      </w:pPr>
    </w:p>
    <w:p w14:paraId="4A983282" w14:textId="77777777" w:rsidR="00667BB7" w:rsidRPr="00FC0FDF" w:rsidRDefault="00667BB7" w:rsidP="00596EE4">
      <w:pPr>
        <w:rPr>
          <w:szCs w:val="22"/>
          <w:lang w:val="fr-FR"/>
        </w:rPr>
      </w:pPr>
    </w:p>
    <w:p w14:paraId="4BD6928C" w14:textId="77777777" w:rsidR="00667BB7" w:rsidRPr="00FC0FDF" w:rsidRDefault="00667BB7" w:rsidP="00596EE4">
      <w:pPr>
        <w:rPr>
          <w:szCs w:val="22"/>
          <w:lang w:val="fr-FR"/>
        </w:rPr>
      </w:pPr>
    </w:p>
    <w:p w14:paraId="5F4069CB" w14:textId="69591317" w:rsidR="00667BB7" w:rsidRPr="00B324A8" w:rsidRDefault="00602F1D" w:rsidP="00B324A8">
      <w:pPr>
        <w:pStyle w:val="Heading2"/>
        <w:rPr>
          <w:lang w:val="fr-FR" w:eastAsia="ko-KR"/>
        </w:rPr>
      </w:pPr>
      <w:r w:rsidRPr="00B324A8">
        <w:rPr>
          <w:caps w:val="0"/>
          <w:lang w:val="fr-FR" w:eastAsia="ko-KR"/>
        </w:rPr>
        <w:t>INTRODUCTION</w:t>
      </w:r>
    </w:p>
    <w:p w14:paraId="158CB586" w14:textId="09B9F226" w:rsidR="00667BB7" w:rsidRPr="00FC0FDF" w:rsidRDefault="00FF0310" w:rsidP="00B324A8">
      <w:pPr>
        <w:pStyle w:val="ONUMFS"/>
        <w:rPr>
          <w:lang w:val="fr-FR"/>
        </w:rPr>
      </w:pPr>
      <w:r w:rsidRPr="00FC0FDF">
        <w:rPr>
          <w:lang w:val="fr-FR"/>
        </w:rPr>
        <w:t>À</w:t>
      </w:r>
      <w:r w:rsidR="001F46E6" w:rsidRPr="00FC0FDF">
        <w:rPr>
          <w:lang w:val="fr-FR"/>
        </w:rPr>
        <w:t xml:space="preserve"> sa cinqu</w:t>
      </w:r>
      <w:r w:rsidR="00B1631C">
        <w:rPr>
          <w:lang w:val="fr-FR"/>
        </w:rPr>
        <w:t>ième session</w:t>
      </w:r>
      <w:r w:rsidR="001F46E6" w:rsidRPr="00FC0FDF">
        <w:rPr>
          <w:lang w:val="fr-FR"/>
        </w:rPr>
        <w:t>, tenue du 29</w:t>
      </w:r>
      <w:r w:rsidR="00EE13EE">
        <w:rPr>
          <w:lang w:val="fr-FR"/>
        </w:rPr>
        <w:t> </w:t>
      </w:r>
      <w:r w:rsidR="001F46E6" w:rsidRPr="00FC0FDF">
        <w:rPr>
          <w:lang w:val="fr-FR"/>
        </w:rPr>
        <w:t>mai au 2 </w:t>
      </w:r>
      <w:r w:rsidRPr="00FC0FDF">
        <w:rPr>
          <w:lang w:val="fr-FR"/>
        </w:rPr>
        <w:t>juin</w:t>
      </w:r>
      <w:r w:rsidR="00EE13EE">
        <w:rPr>
          <w:lang w:val="fr-FR"/>
        </w:rPr>
        <w:t> </w:t>
      </w:r>
      <w:r w:rsidRPr="00FC0FDF">
        <w:rPr>
          <w:lang w:val="fr-FR"/>
        </w:rPr>
        <w:t>2017, le Comité des normes de</w:t>
      </w:r>
      <w:r w:rsidR="001F46E6" w:rsidRPr="00FC0FDF">
        <w:rPr>
          <w:lang w:val="fr-FR"/>
        </w:rPr>
        <w:t xml:space="preserve"> l</w:t>
      </w:r>
      <w:r w:rsidR="00B1631C">
        <w:rPr>
          <w:lang w:val="fr-FR"/>
        </w:rPr>
        <w:t>’</w:t>
      </w:r>
      <w:r w:rsidR="001923CB" w:rsidRPr="00FC0FDF">
        <w:rPr>
          <w:lang w:val="fr-FR"/>
        </w:rPr>
        <w:t>OMPI </w:t>
      </w:r>
      <w:r w:rsidR="001F46E6" w:rsidRPr="00FC0FDF">
        <w:rPr>
          <w:lang w:val="fr-FR"/>
        </w:rPr>
        <w:t>(CWS) a adopté la norme </w:t>
      </w:r>
      <w:r w:rsidRPr="00FC0FDF">
        <w:rPr>
          <w:lang w:val="fr-FR"/>
        </w:rPr>
        <w:t>ST.27 de l</w:t>
      </w:r>
      <w:r w:rsidR="00B1631C">
        <w:rPr>
          <w:lang w:val="fr-FR"/>
        </w:rPr>
        <w:t>’</w:t>
      </w:r>
      <w:r w:rsidRPr="00FC0FDF">
        <w:rPr>
          <w:lang w:val="fr-FR"/>
        </w:rPr>
        <w:t xml:space="preserve">OMPI intitulée </w:t>
      </w:r>
      <w:r w:rsidR="007771C9" w:rsidRPr="00FC0FDF">
        <w:rPr>
          <w:lang w:val="fr-FR"/>
        </w:rPr>
        <w:t>“</w:t>
      </w:r>
      <w:r w:rsidRPr="00FC0FDF">
        <w:rPr>
          <w:lang w:val="fr-FR"/>
        </w:rPr>
        <w:t>Recommandation concernant l</w:t>
      </w:r>
      <w:r w:rsidR="00B1631C">
        <w:rPr>
          <w:lang w:val="fr-FR"/>
        </w:rPr>
        <w:t>’</w:t>
      </w:r>
      <w:r w:rsidRPr="00FC0FDF">
        <w:rPr>
          <w:lang w:val="fr-FR"/>
        </w:rPr>
        <w:t>échange de données sur la situation juridique des brevets</w:t>
      </w:r>
      <w:r w:rsidR="007771C9" w:rsidRPr="00FC0FDF">
        <w:rPr>
          <w:lang w:val="fr-FR"/>
        </w:rPr>
        <w:t>”</w:t>
      </w:r>
      <w:r w:rsidR="001F46E6" w:rsidRPr="00FC0FDF">
        <w:rPr>
          <w:lang w:val="fr-FR"/>
        </w:rPr>
        <w:t xml:space="preserve"> (voir le paragraphe 50 du document </w:t>
      </w:r>
      <w:r w:rsidRPr="00FC0FDF">
        <w:rPr>
          <w:lang w:val="fr-FR"/>
        </w:rPr>
        <w:t>CWS/5/22).</w:t>
      </w:r>
    </w:p>
    <w:p w14:paraId="2A5C6580" w14:textId="77777777" w:rsidR="00667BB7" w:rsidRPr="00FC0FDF" w:rsidRDefault="00FF0310" w:rsidP="00B324A8">
      <w:pPr>
        <w:pStyle w:val="ONUMFS"/>
        <w:rPr>
          <w:lang w:val="fr-FR"/>
        </w:rPr>
      </w:pPr>
      <w:r w:rsidRPr="00FC0FDF">
        <w:rPr>
          <w:lang w:val="fr-FR"/>
        </w:rPr>
        <w:t>Le CWS a prié le Secrétariat de diffuser une circulaire invitant les offices de propriété intellectuelle à évaluer leurs pratiques commerciales et leurs systèmes informatiques et à revoir les événements détaillés provisoires figurant dans la nouvelle norme ST.27</w:t>
      </w:r>
      <w:r w:rsidR="001F46E6" w:rsidRPr="00FC0FDF">
        <w:rPr>
          <w:lang w:val="fr-FR"/>
        </w:rPr>
        <w:t xml:space="preserve"> (voir le paragraphe </w:t>
      </w:r>
      <w:r w:rsidRPr="00FC0FDF">
        <w:rPr>
          <w:lang w:val="fr-FR"/>
        </w:rPr>
        <w:t>52 du document</w:t>
      </w:r>
      <w:r w:rsidR="001F46E6" w:rsidRPr="00FC0FDF">
        <w:rPr>
          <w:lang w:val="fr-FR"/>
        </w:rPr>
        <w:t> </w:t>
      </w:r>
      <w:r w:rsidRPr="00FC0FDF">
        <w:rPr>
          <w:lang w:val="fr-FR"/>
        </w:rPr>
        <w:t>CWS/5/22).</w:t>
      </w:r>
    </w:p>
    <w:p w14:paraId="1349C2C6" w14:textId="7E96E0F7" w:rsidR="00B1631C" w:rsidRDefault="00FF0310" w:rsidP="00B324A8">
      <w:pPr>
        <w:pStyle w:val="ONUMFS"/>
        <w:rPr>
          <w:lang w:val="fr-FR"/>
        </w:rPr>
      </w:pPr>
      <w:r w:rsidRPr="00FC0FDF">
        <w:rPr>
          <w:lang w:val="fr-FR"/>
        </w:rPr>
        <w:t>Le S</w:t>
      </w:r>
      <w:r w:rsidR="001923CB" w:rsidRPr="00FC0FDF">
        <w:rPr>
          <w:lang w:val="fr-FR"/>
        </w:rPr>
        <w:t>ecrétariat a émis la circulaire </w:t>
      </w:r>
      <w:r w:rsidRPr="00FC0FDF">
        <w:rPr>
          <w:lang w:val="fr-FR"/>
        </w:rPr>
        <w:t>C.</w:t>
      </w:r>
      <w:r w:rsidR="00EE13EE">
        <w:rPr>
          <w:lang w:val="fr-FR"/>
        </w:rPr>
        <w:t> </w:t>
      </w:r>
      <w:r w:rsidRPr="00FC0FDF">
        <w:rPr>
          <w:lang w:val="fr-FR"/>
        </w:rPr>
        <w:t>CWS</w:t>
      </w:r>
      <w:r w:rsidR="00EE13EE">
        <w:rPr>
          <w:lang w:val="fr-FR"/>
        </w:rPr>
        <w:t> </w:t>
      </w:r>
      <w:r w:rsidRPr="00FC0FDF">
        <w:rPr>
          <w:lang w:val="fr-FR"/>
        </w:rPr>
        <w:t>92 le 25 janvier 2018 pour inviter les offices de propriété industrielle à communiquer les résultats</w:t>
      </w:r>
    </w:p>
    <w:p w14:paraId="1A42A204" w14:textId="7CBCE467" w:rsidR="00B1631C" w:rsidRDefault="00FF0310" w:rsidP="00B324A8">
      <w:pPr>
        <w:pStyle w:val="ONUMFS"/>
        <w:numPr>
          <w:ilvl w:val="1"/>
          <w:numId w:val="16"/>
        </w:numPr>
        <w:rPr>
          <w:lang w:val="fr-FR"/>
        </w:rPr>
      </w:pPr>
      <w:r w:rsidRPr="00FC0FDF">
        <w:rPr>
          <w:lang w:val="fr-FR"/>
        </w:rPr>
        <w:t>de l</w:t>
      </w:r>
      <w:r w:rsidR="00B1631C">
        <w:rPr>
          <w:lang w:val="fr-FR"/>
        </w:rPr>
        <w:t>’</w:t>
      </w:r>
      <w:r w:rsidRPr="00FC0FDF">
        <w:rPr>
          <w:lang w:val="fr-FR"/>
        </w:rPr>
        <w:t xml:space="preserve">évaluation de leurs pratiques opérationnelles et de leurs systèmes informatiques, </w:t>
      </w:r>
      <w:r w:rsidR="00B1631C">
        <w:rPr>
          <w:lang w:val="fr-FR"/>
        </w:rPr>
        <w:t>y compris</w:t>
      </w:r>
      <w:r w:rsidRPr="00FC0FDF">
        <w:rPr>
          <w:lang w:val="fr-FR"/>
        </w:rPr>
        <w:t xml:space="preserve"> le calendrier provisoire concernant la mise en </w:t>
      </w:r>
      <w:r w:rsidR="001923CB" w:rsidRPr="00FC0FDF">
        <w:rPr>
          <w:lang w:val="fr-FR"/>
        </w:rPr>
        <w:t>œuvre de la norme ST.27 </w:t>
      </w:r>
      <w:r w:rsidRPr="00FC0FDF">
        <w:rPr>
          <w:lang w:val="fr-FR"/>
        </w:rPr>
        <w:t>de l</w:t>
      </w:r>
      <w:r w:rsidR="00B1631C">
        <w:rPr>
          <w:lang w:val="fr-FR"/>
        </w:rPr>
        <w:t>’</w:t>
      </w:r>
      <w:r w:rsidRPr="00FC0FDF">
        <w:rPr>
          <w:lang w:val="fr-FR"/>
        </w:rPr>
        <w:t>OMPI;  et</w:t>
      </w:r>
    </w:p>
    <w:p w14:paraId="6EE3A960" w14:textId="76B737B6" w:rsidR="00D123DE" w:rsidRDefault="00FF0310" w:rsidP="00B324A8">
      <w:pPr>
        <w:pStyle w:val="ONUMFS"/>
        <w:numPr>
          <w:ilvl w:val="1"/>
          <w:numId w:val="16"/>
        </w:numPr>
        <w:rPr>
          <w:lang w:val="fr-FR"/>
        </w:rPr>
      </w:pPr>
      <w:r w:rsidRPr="00FC0FDF">
        <w:rPr>
          <w:lang w:val="fr-FR"/>
        </w:rPr>
        <w:t>de l</w:t>
      </w:r>
      <w:r w:rsidR="00B1631C">
        <w:rPr>
          <w:lang w:val="fr-FR"/>
        </w:rPr>
        <w:t>’</w:t>
      </w:r>
      <w:r w:rsidRPr="00FC0FDF">
        <w:rPr>
          <w:lang w:val="fr-FR"/>
        </w:rPr>
        <w:t>examen de la liste provisoire des événements détaillés, conformément à leurs lois et pratiques respectives.</w:t>
      </w:r>
      <w:r w:rsidR="00D123DE">
        <w:rPr>
          <w:lang w:val="fr-FR"/>
        </w:rPr>
        <w:br w:type="page"/>
      </w:r>
    </w:p>
    <w:p w14:paraId="3C066961" w14:textId="600DA0D8" w:rsidR="00667BB7" w:rsidRPr="00FC0FDF" w:rsidRDefault="001923CB" w:rsidP="00B324A8">
      <w:pPr>
        <w:pStyle w:val="ONUMFS"/>
        <w:rPr>
          <w:lang w:val="fr-FR"/>
        </w:rPr>
      </w:pPr>
      <w:r w:rsidRPr="00FC0FDF">
        <w:rPr>
          <w:lang w:val="fr-FR"/>
        </w:rPr>
        <w:t>Il</w:t>
      </w:r>
      <w:r w:rsidR="008D7009" w:rsidRPr="00FC0FDF">
        <w:rPr>
          <w:lang w:val="fr-FR"/>
        </w:rPr>
        <w:t xml:space="preserve"> est recommandé que la mise en œuvre de </w:t>
      </w:r>
      <w:r w:rsidRPr="00FC0FDF">
        <w:rPr>
          <w:lang w:val="fr-FR"/>
        </w:rPr>
        <w:t>la</w:t>
      </w:r>
      <w:r w:rsidR="008D7009" w:rsidRPr="00FC0FDF">
        <w:rPr>
          <w:lang w:val="fr-FR"/>
        </w:rPr>
        <w:t xml:space="preserve"> </w:t>
      </w:r>
      <w:r w:rsidRPr="00FC0FDF">
        <w:rPr>
          <w:lang w:val="fr-FR"/>
        </w:rPr>
        <w:t>norme ST.27 de l</w:t>
      </w:r>
      <w:r w:rsidR="00B1631C">
        <w:rPr>
          <w:lang w:val="fr-FR"/>
        </w:rPr>
        <w:t>’</w:t>
      </w:r>
      <w:r w:rsidRPr="00FC0FDF">
        <w:rPr>
          <w:lang w:val="fr-FR"/>
        </w:rPr>
        <w:t xml:space="preserve">OMPI </w:t>
      </w:r>
      <w:r w:rsidR="008D7009" w:rsidRPr="00FC0FDF">
        <w:rPr>
          <w:lang w:val="fr-FR"/>
        </w:rPr>
        <w:t>fasse l</w:t>
      </w:r>
      <w:r w:rsidR="00B1631C">
        <w:rPr>
          <w:lang w:val="fr-FR"/>
        </w:rPr>
        <w:t>’</w:t>
      </w:r>
      <w:r w:rsidR="008D7009" w:rsidRPr="00FC0FDF">
        <w:rPr>
          <w:lang w:val="fr-FR"/>
        </w:rPr>
        <w:t>objet d</w:t>
      </w:r>
      <w:r w:rsidR="00B1631C">
        <w:rPr>
          <w:lang w:val="fr-FR"/>
        </w:rPr>
        <w:t>’</w:t>
      </w:r>
      <w:r w:rsidR="008D7009" w:rsidRPr="00FC0FDF">
        <w:rPr>
          <w:lang w:val="fr-FR"/>
        </w:rPr>
        <w:t>une annonce et que le Bureau international de l</w:t>
      </w:r>
      <w:r w:rsidR="00B1631C">
        <w:rPr>
          <w:lang w:val="fr-FR"/>
        </w:rPr>
        <w:t>’</w:t>
      </w:r>
      <w:r w:rsidR="008D7009" w:rsidRPr="00FC0FDF">
        <w:rPr>
          <w:lang w:val="fr-FR"/>
        </w:rPr>
        <w:t>OMPI soit informé moyennant la remise d</w:t>
      </w:r>
      <w:r w:rsidR="00B1631C">
        <w:rPr>
          <w:lang w:val="fr-FR"/>
        </w:rPr>
        <w:t>’</w:t>
      </w:r>
      <w:r w:rsidR="008D7009" w:rsidRPr="00FC0FDF">
        <w:rPr>
          <w:lang w:val="fr-FR"/>
        </w:rPr>
        <w:t xml:space="preserve">une table </w:t>
      </w:r>
      <w:r w:rsidR="008D7009" w:rsidRPr="00FC0FDF">
        <w:rPr>
          <w:lang w:val="fr-FR"/>
        </w:rPr>
        <w:lastRenderedPageBreak/>
        <w:t>de correspondance entre les événements nationaux ou régionaux et les événements prévus dans la présente norme sur la base du modèle figurant à l</w:t>
      </w:r>
      <w:r w:rsidR="00B1631C">
        <w:rPr>
          <w:lang w:val="fr-FR"/>
        </w:rPr>
        <w:t>’</w:t>
      </w:r>
      <w:r w:rsidR="008D7009" w:rsidRPr="00FC0FDF">
        <w:rPr>
          <w:lang w:val="fr-FR"/>
        </w:rPr>
        <w:t>annexe</w:t>
      </w:r>
      <w:r w:rsidR="00EE13EE">
        <w:rPr>
          <w:lang w:val="fr-FR"/>
        </w:rPr>
        <w:t> </w:t>
      </w:r>
      <w:r w:rsidR="008D7009" w:rsidRPr="00FC0FDF">
        <w:rPr>
          <w:lang w:val="fr-FR"/>
        </w:rPr>
        <w:t>IV.  Il est suggéré que les échanges de données relatives à la situation juridique aient lieu au minimum sur une base mensuelle, et idéalement à une fréquence hebdomadaire</w:t>
      </w:r>
      <w:r w:rsidR="00016319" w:rsidRPr="00FC0FDF">
        <w:rPr>
          <w:lang w:val="fr-FR"/>
        </w:rPr>
        <w:t xml:space="preserve"> </w:t>
      </w:r>
      <w:r w:rsidR="008D7009" w:rsidRPr="00FC0FDF">
        <w:rPr>
          <w:lang w:val="fr-FR"/>
        </w:rPr>
        <w:t>(voir les paragraphes</w:t>
      </w:r>
      <w:r w:rsidR="00EE13EE">
        <w:rPr>
          <w:lang w:val="fr-FR"/>
        </w:rPr>
        <w:t> </w:t>
      </w:r>
      <w:r w:rsidR="008D7009" w:rsidRPr="00FC0FDF">
        <w:rPr>
          <w:lang w:val="fr-FR"/>
        </w:rPr>
        <w:t>51 et 53 de la norme</w:t>
      </w:r>
      <w:r w:rsidR="001F46E6" w:rsidRPr="00FC0FDF">
        <w:rPr>
          <w:lang w:val="fr-FR"/>
        </w:rPr>
        <w:t> </w:t>
      </w:r>
      <w:r w:rsidR="008D7009" w:rsidRPr="00FC0FDF">
        <w:rPr>
          <w:lang w:val="fr-FR"/>
        </w:rPr>
        <w:t>ST.27)</w:t>
      </w:r>
      <w:r w:rsidR="00EE13EE">
        <w:rPr>
          <w:lang w:val="fr-FR"/>
        </w:rPr>
        <w:t>.</w:t>
      </w:r>
    </w:p>
    <w:p w14:paraId="3A3F020C" w14:textId="0E2CED8B" w:rsidR="00667BB7" w:rsidRPr="00B324A8" w:rsidRDefault="00602F1D" w:rsidP="00B324A8">
      <w:pPr>
        <w:pStyle w:val="Heading2"/>
        <w:rPr>
          <w:lang w:val="fr-FR"/>
        </w:rPr>
      </w:pPr>
      <w:r w:rsidRPr="00B324A8">
        <w:rPr>
          <w:caps w:val="0"/>
          <w:lang w:val="fr-FR"/>
        </w:rPr>
        <w:t>MISE EN ŒUVRE DE LA NORME ST.27 DE L</w:t>
      </w:r>
      <w:r>
        <w:rPr>
          <w:caps w:val="0"/>
          <w:lang w:val="fr-FR"/>
        </w:rPr>
        <w:t>’</w:t>
      </w:r>
      <w:r w:rsidRPr="00B324A8">
        <w:rPr>
          <w:caps w:val="0"/>
          <w:lang w:val="fr-FR"/>
        </w:rPr>
        <w:t>OMPI PAR LES OFFICES DE PROPRIETE INTELLECTUELLE</w:t>
      </w:r>
    </w:p>
    <w:p w14:paraId="59D7F7E1" w14:textId="0CD0878B" w:rsidR="00667BB7" w:rsidRPr="00FC0FDF" w:rsidRDefault="008D7009" w:rsidP="00B324A8">
      <w:pPr>
        <w:pStyle w:val="ONUMFS"/>
        <w:rPr>
          <w:lang w:val="fr-FR"/>
        </w:rPr>
      </w:pPr>
      <w:r w:rsidRPr="00FC0FDF">
        <w:rPr>
          <w:lang w:val="fr-FR"/>
        </w:rPr>
        <w:t xml:space="preserve">En réponse à la circulaire </w:t>
      </w:r>
      <w:r w:rsidR="001923CB" w:rsidRPr="00FC0FDF">
        <w:rPr>
          <w:lang w:val="fr-FR"/>
        </w:rPr>
        <w:t>C.</w:t>
      </w:r>
      <w:r w:rsidR="00EE13EE">
        <w:rPr>
          <w:lang w:val="fr-FR"/>
        </w:rPr>
        <w:t> </w:t>
      </w:r>
      <w:r w:rsidR="001923CB" w:rsidRPr="00FC0FDF">
        <w:rPr>
          <w:lang w:val="fr-FR"/>
        </w:rPr>
        <w:t>CWS</w:t>
      </w:r>
      <w:r w:rsidR="00EE13EE">
        <w:rPr>
          <w:lang w:val="fr-FR"/>
        </w:rPr>
        <w:t> </w:t>
      </w:r>
      <w:r w:rsidR="001923CB" w:rsidRPr="00FC0FDF">
        <w:rPr>
          <w:lang w:val="fr-FR"/>
        </w:rPr>
        <w:t>92, les </w:t>
      </w:r>
      <w:r w:rsidRPr="00FC0FDF">
        <w:rPr>
          <w:lang w:val="fr-FR"/>
        </w:rPr>
        <w:t>11</w:t>
      </w:r>
      <w:r w:rsidR="00EE13EE">
        <w:rPr>
          <w:lang w:val="fr-FR"/>
        </w:rPr>
        <w:t> </w:t>
      </w:r>
      <w:r w:rsidRPr="00FC0FDF">
        <w:rPr>
          <w:lang w:val="fr-FR"/>
        </w:rPr>
        <w:t>offices de propriété industrielle ci</w:t>
      </w:r>
      <w:r w:rsidR="00B1631C">
        <w:rPr>
          <w:lang w:val="fr-FR"/>
        </w:rPr>
        <w:t>-</w:t>
      </w:r>
      <w:r w:rsidRPr="00FC0FDF">
        <w:rPr>
          <w:lang w:val="fr-FR"/>
        </w:rPr>
        <w:t>après ont communiqué leur plan concerna</w:t>
      </w:r>
      <w:r w:rsidR="001F46E6" w:rsidRPr="00FC0FDF">
        <w:rPr>
          <w:lang w:val="fr-FR"/>
        </w:rPr>
        <w:t>nt la mise en œuvre de la norme </w:t>
      </w:r>
      <w:r w:rsidRPr="00FC0FDF">
        <w:rPr>
          <w:lang w:val="fr-FR"/>
        </w:rPr>
        <w:t>ST.27</w:t>
      </w:r>
      <w:r w:rsidR="00B1631C">
        <w:rPr>
          <w:lang w:val="fr-FR"/>
        </w:rPr>
        <w:t> :</w:t>
      </w:r>
    </w:p>
    <w:p w14:paraId="6A02B713" w14:textId="77777777" w:rsidR="0098551F" w:rsidRPr="00FC0FDF" w:rsidRDefault="0098551F" w:rsidP="00B324A8">
      <w:pPr>
        <w:pStyle w:val="ONUMFS"/>
        <w:numPr>
          <w:ilvl w:val="0"/>
          <w:numId w:val="17"/>
        </w:numPr>
        <w:ind w:left="1134" w:hanging="567"/>
        <w:rPr>
          <w:lang w:val="fr-FR"/>
        </w:rPr>
      </w:pPr>
      <w:r w:rsidRPr="00FC0FDF">
        <w:rPr>
          <w:lang w:val="fr-FR"/>
        </w:rPr>
        <w:t>Allemagne (DE)</w:t>
      </w:r>
    </w:p>
    <w:p w14:paraId="05364460" w14:textId="77777777" w:rsidR="0098551F" w:rsidRPr="00FC0FDF" w:rsidRDefault="0098551F" w:rsidP="00B324A8">
      <w:pPr>
        <w:pStyle w:val="ONUMFS"/>
        <w:numPr>
          <w:ilvl w:val="0"/>
          <w:numId w:val="17"/>
        </w:numPr>
        <w:ind w:left="1134" w:hanging="567"/>
        <w:rPr>
          <w:lang w:val="fr-FR"/>
        </w:rPr>
      </w:pPr>
      <w:r w:rsidRPr="00FC0FDF">
        <w:rPr>
          <w:lang w:val="fr-FR"/>
        </w:rPr>
        <w:t>Australie (AU)</w:t>
      </w:r>
    </w:p>
    <w:p w14:paraId="0DE9BCA4" w14:textId="77777777" w:rsidR="0098551F" w:rsidRPr="00FC0FDF" w:rsidRDefault="0098551F" w:rsidP="00B324A8">
      <w:pPr>
        <w:pStyle w:val="ONUMFS"/>
        <w:numPr>
          <w:ilvl w:val="0"/>
          <w:numId w:val="17"/>
        </w:numPr>
        <w:ind w:left="1134" w:hanging="567"/>
        <w:rPr>
          <w:lang w:val="fr-FR"/>
        </w:rPr>
      </w:pPr>
      <w:r w:rsidRPr="00FC0FDF">
        <w:rPr>
          <w:lang w:val="fr-FR"/>
        </w:rPr>
        <w:t>Chine (CN)</w:t>
      </w:r>
    </w:p>
    <w:p w14:paraId="5AF6A808" w14:textId="77777777" w:rsidR="0098551F" w:rsidRPr="00FC0FDF" w:rsidRDefault="0098551F" w:rsidP="00B324A8">
      <w:pPr>
        <w:pStyle w:val="ONUMFS"/>
        <w:numPr>
          <w:ilvl w:val="0"/>
          <w:numId w:val="17"/>
        </w:numPr>
        <w:ind w:left="1134" w:hanging="567"/>
        <w:rPr>
          <w:lang w:val="fr-FR"/>
        </w:rPr>
      </w:pPr>
      <w:r w:rsidRPr="00FC0FDF">
        <w:rPr>
          <w:lang w:val="fr-FR"/>
        </w:rPr>
        <w:t>Colombie (CO)</w:t>
      </w:r>
    </w:p>
    <w:p w14:paraId="43992D8C" w14:textId="77777777" w:rsidR="0098551F" w:rsidRPr="00FC0FDF" w:rsidRDefault="0098551F" w:rsidP="00B324A8">
      <w:pPr>
        <w:pStyle w:val="ONUMFS"/>
        <w:numPr>
          <w:ilvl w:val="0"/>
          <w:numId w:val="17"/>
        </w:numPr>
        <w:ind w:left="1134" w:hanging="567"/>
        <w:rPr>
          <w:lang w:val="fr-FR"/>
        </w:rPr>
      </w:pPr>
      <w:r w:rsidRPr="00FC0FDF">
        <w:rPr>
          <w:lang w:val="fr-FR"/>
        </w:rPr>
        <w:t>États</w:t>
      </w:r>
      <w:r>
        <w:rPr>
          <w:lang w:val="fr-FR"/>
        </w:rPr>
        <w:t>-</w:t>
      </w:r>
      <w:r w:rsidRPr="00FC0FDF">
        <w:rPr>
          <w:lang w:val="fr-FR"/>
        </w:rPr>
        <w:t>Unis d</w:t>
      </w:r>
      <w:r>
        <w:rPr>
          <w:lang w:val="fr-FR"/>
        </w:rPr>
        <w:t>’</w:t>
      </w:r>
      <w:r w:rsidRPr="00FC0FDF">
        <w:rPr>
          <w:lang w:val="fr-FR"/>
        </w:rPr>
        <w:t>Amérique (US)</w:t>
      </w:r>
    </w:p>
    <w:p w14:paraId="66752A40" w14:textId="77777777" w:rsidR="0098551F" w:rsidRPr="00FC0FDF" w:rsidRDefault="0098551F" w:rsidP="00B324A8">
      <w:pPr>
        <w:pStyle w:val="ONUMFS"/>
        <w:numPr>
          <w:ilvl w:val="0"/>
          <w:numId w:val="17"/>
        </w:numPr>
        <w:ind w:left="1134" w:hanging="567"/>
        <w:rPr>
          <w:lang w:val="fr-FR"/>
        </w:rPr>
      </w:pPr>
      <w:r w:rsidRPr="00FC0FDF">
        <w:rPr>
          <w:lang w:val="fr-FR"/>
        </w:rPr>
        <w:t>Fédération de Russie (RU)</w:t>
      </w:r>
    </w:p>
    <w:p w14:paraId="37E2C3A6" w14:textId="77777777" w:rsidR="0098551F" w:rsidRPr="00FC0FDF" w:rsidRDefault="0098551F" w:rsidP="00B324A8">
      <w:pPr>
        <w:pStyle w:val="ONUMFS"/>
        <w:numPr>
          <w:ilvl w:val="0"/>
          <w:numId w:val="17"/>
        </w:numPr>
        <w:ind w:left="1134" w:hanging="567"/>
        <w:rPr>
          <w:lang w:val="fr-FR"/>
        </w:rPr>
      </w:pPr>
      <w:r w:rsidRPr="00FC0FDF">
        <w:rPr>
          <w:lang w:val="fr-FR"/>
        </w:rPr>
        <w:t>Organisation eurasienne des brevets (EA)</w:t>
      </w:r>
    </w:p>
    <w:p w14:paraId="11788E73" w14:textId="77777777" w:rsidR="0098551F" w:rsidRPr="00FC0FDF" w:rsidRDefault="0098551F" w:rsidP="00B324A8">
      <w:pPr>
        <w:pStyle w:val="ONUMFS"/>
        <w:numPr>
          <w:ilvl w:val="0"/>
          <w:numId w:val="17"/>
        </w:numPr>
        <w:ind w:left="1134" w:hanging="567"/>
        <w:rPr>
          <w:lang w:val="fr-FR"/>
        </w:rPr>
      </w:pPr>
      <w:r w:rsidRPr="00FC0FDF">
        <w:rPr>
          <w:lang w:val="fr-FR"/>
        </w:rPr>
        <w:t>République de Corée (KR)</w:t>
      </w:r>
    </w:p>
    <w:p w14:paraId="58FD8EC5" w14:textId="77777777" w:rsidR="0098551F" w:rsidRPr="00FC0FDF" w:rsidRDefault="0098551F" w:rsidP="00B324A8">
      <w:pPr>
        <w:pStyle w:val="ONUMFS"/>
        <w:numPr>
          <w:ilvl w:val="0"/>
          <w:numId w:val="17"/>
        </w:numPr>
        <w:ind w:left="1134" w:hanging="567"/>
        <w:rPr>
          <w:lang w:val="fr-FR"/>
        </w:rPr>
      </w:pPr>
      <w:r w:rsidRPr="00FC0FDF">
        <w:rPr>
          <w:lang w:val="fr-FR"/>
        </w:rPr>
        <w:t>République tchèque (CZ)</w:t>
      </w:r>
    </w:p>
    <w:p w14:paraId="125AEFDD" w14:textId="77777777" w:rsidR="0098551F" w:rsidRPr="00FC0FDF" w:rsidRDefault="0098551F" w:rsidP="00B324A8">
      <w:pPr>
        <w:pStyle w:val="ONUMFS"/>
        <w:numPr>
          <w:ilvl w:val="0"/>
          <w:numId w:val="17"/>
        </w:numPr>
        <w:ind w:left="1134" w:hanging="567"/>
        <w:rPr>
          <w:lang w:val="fr-FR"/>
        </w:rPr>
      </w:pPr>
      <w:r w:rsidRPr="00FC0FDF">
        <w:rPr>
          <w:lang w:val="fr-FR"/>
        </w:rPr>
        <w:t>Royaume</w:t>
      </w:r>
      <w:r>
        <w:rPr>
          <w:lang w:val="fr-FR"/>
        </w:rPr>
        <w:t>-</w:t>
      </w:r>
      <w:r w:rsidRPr="00FC0FDF">
        <w:rPr>
          <w:lang w:val="fr-FR"/>
        </w:rPr>
        <w:t>Uni (GB)</w:t>
      </w:r>
    </w:p>
    <w:p w14:paraId="45B0B206" w14:textId="77777777" w:rsidR="0098551F" w:rsidRPr="00FC0FDF" w:rsidRDefault="0098551F" w:rsidP="00B324A8">
      <w:pPr>
        <w:pStyle w:val="ONUMFS"/>
        <w:numPr>
          <w:ilvl w:val="0"/>
          <w:numId w:val="17"/>
        </w:numPr>
        <w:ind w:left="1134" w:hanging="567"/>
        <w:rPr>
          <w:lang w:val="fr-FR"/>
        </w:rPr>
      </w:pPr>
      <w:r w:rsidRPr="00FC0FDF">
        <w:rPr>
          <w:lang w:val="fr-FR"/>
        </w:rPr>
        <w:t>Ukraine (UA)</w:t>
      </w:r>
    </w:p>
    <w:p w14:paraId="747B13DC" w14:textId="3EC3C50F" w:rsidR="00667BB7" w:rsidRPr="00FC0FDF" w:rsidRDefault="008D7009" w:rsidP="00B324A8">
      <w:pPr>
        <w:pStyle w:val="ONUMFS"/>
        <w:rPr>
          <w:lang w:val="fr-FR" w:eastAsia="ko-KR"/>
        </w:rPr>
      </w:pPr>
      <w:r w:rsidRPr="00FC0FDF">
        <w:rPr>
          <w:lang w:val="fr-FR" w:eastAsia="ko-KR"/>
        </w:rPr>
        <w:t>En ce qui concerne l</w:t>
      </w:r>
      <w:r w:rsidR="00B1631C">
        <w:rPr>
          <w:lang w:val="fr-FR" w:eastAsia="ko-KR"/>
        </w:rPr>
        <w:t>’</w:t>
      </w:r>
      <w:r w:rsidRPr="00FC0FDF">
        <w:rPr>
          <w:lang w:val="fr-FR" w:eastAsia="ko-KR"/>
        </w:rPr>
        <w:t>évaluation des pratiques opérationnelles et des systèmes informatiques des offices de propriété intellectuelle, ainsi que leur calendrier provisoire concerna</w:t>
      </w:r>
      <w:r w:rsidR="001F46E6" w:rsidRPr="00FC0FDF">
        <w:rPr>
          <w:lang w:val="fr-FR" w:eastAsia="ko-KR"/>
        </w:rPr>
        <w:t>nt la mise en œuvre de la norme </w:t>
      </w:r>
      <w:r w:rsidRPr="00FC0FDF">
        <w:rPr>
          <w:lang w:val="fr-FR" w:eastAsia="ko-KR"/>
        </w:rPr>
        <w:t>ST.27, les offices de propriété intellectuelle ont indiqué dans leurs réponses qu</w:t>
      </w:r>
      <w:r w:rsidR="00B1631C">
        <w:rPr>
          <w:lang w:val="fr-FR" w:eastAsia="ko-KR"/>
        </w:rPr>
        <w:t>’</w:t>
      </w:r>
      <w:r w:rsidRPr="00FC0FDF">
        <w:rPr>
          <w:lang w:val="fr-FR" w:eastAsia="ko-KR"/>
        </w:rPr>
        <w:t>ils avaient besoin de mener une analyse plus approfondie avant de pouvoir communiquer un calendrier de mise en œuvre.</w:t>
      </w:r>
      <w:r w:rsidR="001367D4" w:rsidRPr="00FC0FDF">
        <w:rPr>
          <w:lang w:val="fr-FR" w:eastAsia="ko-KR"/>
        </w:rPr>
        <w:t xml:space="preserve">  </w:t>
      </w:r>
      <w:r w:rsidRPr="00FC0FDF">
        <w:rPr>
          <w:lang w:val="fr-FR" w:eastAsia="ko-KR"/>
        </w:rPr>
        <w:t xml:space="preserve">Les offices de propriété </w:t>
      </w:r>
      <w:r w:rsidR="001923CB" w:rsidRPr="00FC0FDF">
        <w:rPr>
          <w:lang w:val="fr-FR" w:eastAsia="ko-KR"/>
        </w:rPr>
        <w:t xml:space="preserve">intellectuelle </w:t>
      </w:r>
      <w:r w:rsidRPr="00FC0FDF">
        <w:rPr>
          <w:lang w:val="fr-FR" w:eastAsia="ko-KR"/>
        </w:rPr>
        <w:t>ci</w:t>
      </w:r>
      <w:r w:rsidR="00B1631C">
        <w:rPr>
          <w:lang w:val="fr-FR" w:eastAsia="ko-KR"/>
        </w:rPr>
        <w:t>-</w:t>
      </w:r>
      <w:r w:rsidRPr="00FC0FDF">
        <w:rPr>
          <w:lang w:val="fr-FR" w:eastAsia="ko-KR"/>
        </w:rPr>
        <w:t>après ont indiqué qu</w:t>
      </w:r>
      <w:r w:rsidR="00B1631C">
        <w:rPr>
          <w:lang w:val="fr-FR" w:eastAsia="ko-KR"/>
        </w:rPr>
        <w:t>’</w:t>
      </w:r>
      <w:r w:rsidRPr="00FC0FDF">
        <w:rPr>
          <w:lang w:val="fr-FR" w:eastAsia="ko-KR"/>
        </w:rPr>
        <w:t>une analyse interne plus approfondie était nécessaire avant l</w:t>
      </w:r>
      <w:r w:rsidR="00B1631C">
        <w:rPr>
          <w:lang w:val="fr-FR" w:eastAsia="ko-KR"/>
        </w:rPr>
        <w:t>’</w:t>
      </w:r>
      <w:r w:rsidRPr="00FC0FDF">
        <w:rPr>
          <w:lang w:val="fr-FR" w:eastAsia="ko-KR"/>
        </w:rPr>
        <w:t>établissement d</w:t>
      </w:r>
      <w:r w:rsidR="00B1631C">
        <w:rPr>
          <w:lang w:val="fr-FR" w:eastAsia="ko-KR"/>
        </w:rPr>
        <w:t>’</w:t>
      </w:r>
      <w:r w:rsidRPr="00FC0FDF">
        <w:rPr>
          <w:lang w:val="fr-FR" w:eastAsia="ko-KR"/>
        </w:rPr>
        <w:t>un calend</w:t>
      </w:r>
      <w:r w:rsidR="001F46E6" w:rsidRPr="00FC0FDF">
        <w:rPr>
          <w:lang w:val="fr-FR" w:eastAsia="ko-KR"/>
        </w:rPr>
        <w:t>rier de mise en œuvre définitif</w:t>
      </w:r>
      <w:r w:rsidR="00B1631C">
        <w:rPr>
          <w:lang w:val="fr-FR" w:eastAsia="ko-KR"/>
        </w:rPr>
        <w:t> :</w:t>
      </w:r>
      <w:r w:rsidR="00EE13EE">
        <w:rPr>
          <w:lang w:val="fr-FR" w:eastAsia="ko-KR"/>
        </w:rPr>
        <w:t xml:space="preserve"> </w:t>
      </w:r>
      <w:r w:rsidRPr="00FC0FDF">
        <w:rPr>
          <w:lang w:val="fr-FR" w:eastAsia="ko-KR"/>
        </w:rPr>
        <w:t>AU, CN, CZ, DE, RU, UA et US.</w:t>
      </w:r>
    </w:p>
    <w:p w14:paraId="4B044E65" w14:textId="24335A75" w:rsidR="00667BB7" w:rsidRPr="00FC0FDF" w:rsidRDefault="008D7009" w:rsidP="00B324A8">
      <w:pPr>
        <w:pStyle w:val="ONUMFS"/>
        <w:rPr>
          <w:lang w:val="fr-FR" w:eastAsia="ko-KR"/>
        </w:rPr>
      </w:pPr>
      <w:r w:rsidRPr="00FC0FDF">
        <w:rPr>
          <w:lang w:val="fr-FR" w:eastAsia="ko-KR"/>
        </w:rPr>
        <w:t>Bien qu</w:t>
      </w:r>
      <w:r w:rsidR="00B1631C">
        <w:rPr>
          <w:lang w:val="fr-FR" w:eastAsia="ko-KR"/>
        </w:rPr>
        <w:t>’</w:t>
      </w:r>
      <w:r w:rsidRPr="00FC0FDF">
        <w:rPr>
          <w:lang w:val="fr-FR" w:eastAsia="ko-KR"/>
        </w:rPr>
        <w:t xml:space="preserve">ils aient besoin de </w:t>
      </w:r>
      <w:r w:rsidR="001F46E6" w:rsidRPr="00FC0FDF">
        <w:rPr>
          <w:lang w:val="fr-FR" w:eastAsia="ko-KR"/>
        </w:rPr>
        <w:t>plus</w:t>
      </w:r>
      <w:r w:rsidRPr="00FC0FDF">
        <w:rPr>
          <w:lang w:val="fr-FR" w:eastAsia="ko-KR"/>
        </w:rPr>
        <w:t xml:space="preserve"> de temps pour analyser l</w:t>
      </w:r>
      <w:r w:rsidR="00B1631C">
        <w:rPr>
          <w:lang w:val="fr-FR" w:eastAsia="ko-KR"/>
        </w:rPr>
        <w:t>’</w:t>
      </w:r>
      <w:r w:rsidRPr="00FC0FDF">
        <w:rPr>
          <w:lang w:val="fr-FR" w:eastAsia="ko-KR"/>
        </w:rPr>
        <w:t>incidence qu</w:t>
      </w:r>
      <w:r w:rsidR="00B1631C">
        <w:rPr>
          <w:lang w:val="fr-FR" w:eastAsia="ko-KR"/>
        </w:rPr>
        <w:t>’</w:t>
      </w:r>
      <w:r w:rsidRPr="00FC0FDF">
        <w:rPr>
          <w:lang w:val="fr-FR" w:eastAsia="ko-KR"/>
        </w:rPr>
        <w:t>aura</w:t>
      </w:r>
      <w:r w:rsidR="001F46E6" w:rsidRPr="00FC0FDF">
        <w:rPr>
          <w:lang w:val="fr-FR" w:eastAsia="ko-KR"/>
        </w:rPr>
        <w:t>it la mise en œuvre de la norme </w:t>
      </w:r>
      <w:r w:rsidRPr="00FC0FDF">
        <w:rPr>
          <w:lang w:val="fr-FR" w:eastAsia="ko-KR"/>
        </w:rPr>
        <w:t xml:space="preserve">ST.27 sur leurs pratiques opérationnelles et leurs systèmes informatiques, plusieurs offices de propriété intellectuelle ont fait des prévisions initiales quant à leur calendrier de mise en </w:t>
      </w:r>
      <w:r w:rsidR="00A93FEE" w:rsidRPr="00FC0FDF">
        <w:rPr>
          <w:lang w:val="fr-FR" w:eastAsia="ko-KR"/>
        </w:rPr>
        <w:t xml:space="preserve">œuvre, allant </w:t>
      </w:r>
      <w:r w:rsidR="00EE13EE">
        <w:rPr>
          <w:lang w:val="fr-FR" w:eastAsia="ko-KR"/>
        </w:rPr>
        <w:t xml:space="preserve">d’un </w:t>
      </w:r>
      <w:r w:rsidR="00A93FEE" w:rsidRPr="00FC0FDF">
        <w:rPr>
          <w:lang w:val="fr-FR" w:eastAsia="ko-KR"/>
        </w:rPr>
        <w:t>à cinq</w:t>
      </w:r>
      <w:r w:rsidR="00A92138">
        <w:rPr>
          <w:lang w:val="fr-FR" w:eastAsia="ko-KR"/>
        </w:rPr>
        <w:t> </w:t>
      </w:r>
      <w:r w:rsidR="00A93FEE" w:rsidRPr="00FC0FDF">
        <w:rPr>
          <w:lang w:val="fr-FR" w:eastAsia="ko-KR"/>
        </w:rPr>
        <w:t>ans.</w:t>
      </w:r>
    </w:p>
    <w:p w14:paraId="5FED711F" w14:textId="75AB1968" w:rsidR="00667BB7" w:rsidRPr="00FC0FDF" w:rsidRDefault="008D7009" w:rsidP="00B324A8">
      <w:pPr>
        <w:pStyle w:val="ONUMFS"/>
        <w:numPr>
          <w:ilvl w:val="1"/>
          <w:numId w:val="16"/>
        </w:numPr>
        <w:rPr>
          <w:lang w:val="fr-FR" w:eastAsia="ko-KR"/>
        </w:rPr>
      </w:pPr>
      <w:r w:rsidRPr="00FC0FDF">
        <w:rPr>
          <w:lang w:val="fr-FR" w:eastAsia="ko-KR"/>
        </w:rPr>
        <w:t>CO</w:t>
      </w:r>
      <w:r w:rsidR="00B1631C">
        <w:rPr>
          <w:lang w:val="fr-FR" w:eastAsia="ko-KR"/>
        </w:rPr>
        <w:t xml:space="preserve"> – </w:t>
      </w:r>
      <w:r w:rsidRPr="00FC0FDF">
        <w:rPr>
          <w:lang w:val="fr-FR" w:eastAsia="ko-KR"/>
        </w:rPr>
        <w:t>a l</w:t>
      </w:r>
      <w:r w:rsidR="00B1631C">
        <w:rPr>
          <w:lang w:val="fr-FR" w:eastAsia="ko-KR"/>
        </w:rPr>
        <w:t>’</w:t>
      </w:r>
      <w:r w:rsidRPr="00FC0FDF">
        <w:rPr>
          <w:lang w:val="fr-FR" w:eastAsia="ko-KR"/>
        </w:rPr>
        <w:t>intention de mettre en œuvre la norme</w:t>
      </w:r>
      <w:r w:rsidR="001F46E6" w:rsidRPr="00FC0FDF">
        <w:rPr>
          <w:lang w:val="fr-FR" w:eastAsia="ko-KR"/>
        </w:rPr>
        <w:t> </w:t>
      </w:r>
      <w:r w:rsidRPr="00FC0FDF">
        <w:rPr>
          <w:lang w:val="fr-FR" w:eastAsia="ko-KR"/>
        </w:rPr>
        <w:t>ST.27 en</w:t>
      </w:r>
      <w:r w:rsidR="001F46E6" w:rsidRPr="00FC0FDF">
        <w:rPr>
          <w:lang w:val="fr-FR" w:eastAsia="ko-KR"/>
        </w:rPr>
        <w:t> </w:t>
      </w:r>
      <w:r w:rsidRPr="00FC0FDF">
        <w:rPr>
          <w:lang w:val="fr-FR" w:eastAsia="ko-KR"/>
        </w:rPr>
        <w:t>2018;</w:t>
      </w:r>
    </w:p>
    <w:p w14:paraId="79CF68B2" w14:textId="0D1FA713" w:rsidR="00667BB7" w:rsidRPr="00FC0FDF" w:rsidRDefault="00343095" w:rsidP="00B324A8">
      <w:pPr>
        <w:pStyle w:val="ONUMFS"/>
        <w:numPr>
          <w:ilvl w:val="1"/>
          <w:numId w:val="16"/>
        </w:numPr>
        <w:rPr>
          <w:lang w:val="fr-FR" w:eastAsia="ko-KR"/>
        </w:rPr>
      </w:pPr>
      <w:r w:rsidRPr="00FC0FDF">
        <w:rPr>
          <w:lang w:val="fr-FR" w:eastAsia="ko-KR"/>
        </w:rPr>
        <w:t>EA</w:t>
      </w:r>
      <w:r w:rsidR="00B1631C">
        <w:rPr>
          <w:lang w:val="fr-FR" w:eastAsia="ko-KR"/>
        </w:rPr>
        <w:t xml:space="preserve"> – </w:t>
      </w:r>
      <w:r w:rsidRPr="00FC0FDF">
        <w:rPr>
          <w:lang w:val="fr-FR" w:eastAsia="ko-KR"/>
        </w:rPr>
        <w:t>a l</w:t>
      </w:r>
      <w:r w:rsidR="00B1631C">
        <w:rPr>
          <w:lang w:val="fr-FR" w:eastAsia="ko-KR"/>
        </w:rPr>
        <w:t>’</w:t>
      </w:r>
      <w:r w:rsidRPr="00FC0FDF">
        <w:rPr>
          <w:lang w:val="fr-FR" w:eastAsia="ko-KR"/>
        </w:rPr>
        <w:t xml:space="preserve">intention de </w:t>
      </w:r>
      <w:r w:rsidR="001923CB" w:rsidRPr="00FC0FDF">
        <w:rPr>
          <w:lang w:val="fr-FR" w:eastAsia="ko-KR"/>
        </w:rPr>
        <w:t xml:space="preserve">commencer à </w:t>
      </w:r>
      <w:r w:rsidRPr="00FC0FDF">
        <w:rPr>
          <w:lang w:val="fr-FR" w:eastAsia="ko-KR"/>
        </w:rPr>
        <w:t>mettre en œuvre la norme</w:t>
      </w:r>
      <w:r w:rsidR="001F46E6" w:rsidRPr="00FC0FDF">
        <w:rPr>
          <w:lang w:val="fr-FR" w:eastAsia="ko-KR"/>
        </w:rPr>
        <w:t> ST.27 en </w:t>
      </w:r>
      <w:r w:rsidRPr="00FC0FDF">
        <w:rPr>
          <w:lang w:val="fr-FR" w:eastAsia="ko-KR"/>
        </w:rPr>
        <w:t>2019 pour une entrée en vigueur en 2020;</w:t>
      </w:r>
    </w:p>
    <w:p w14:paraId="36560AB1" w14:textId="75D239B2" w:rsidR="00667BB7" w:rsidRPr="00FC0FDF" w:rsidRDefault="00343095" w:rsidP="00B324A8">
      <w:pPr>
        <w:pStyle w:val="ONUMFS"/>
        <w:numPr>
          <w:ilvl w:val="1"/>
          <w:numId w:val="16"/>
        </w:numPr>
        <w:rPr>
          <w:lang w:val="fr-FR" w:eastAsia="ko-KR"/>
        </w:rPr>
      </w:pPr>
      <w:r w:rsidRPr="00FC0FDF">
        <w:rPr>
          <w:lang w:val="fr-FR" w:eastAsia="ko-KR"/>
        </w:rPr>
        <w:t>GB</w:t>
      </w:r>
      <w:r w:rsidR="00B1631C">
        <w:rPr>
          <w:lang w:val="fr-FR" w:eastAsia="ko-KR"/>
        </w:rPr>
        <w:t xml:space="preserve"> – </w:t>
      </w:r>
      <w:r w:rsidRPr="00FC0FDF">
        <w:rPr>
          <w:lang w:val="fr-FR" w:eastAsia="ko-KR"/>
        </w:rPr>
        <w:t>prévoit d</w:t>
      </w:r>
      <w:r w:rsidR="00B1631C">
        <w:rPr>
          <w:lang w:val="fr-FR" w:eastAsia="ko-KR"/>
        </w:rPr>
        <w:t>’</w:t>
      </w:r>
      <w:r w:rsidRPr="00FC0FDF">
        <w:rPr>
          <w:lang w:val="fr-FR" w:eastAsia="ko-KR"/>
        </w:rPr>
        <w:t xml:space="preserve">intégrer les données sur la situation juridique </w:t>
      </w:r>
      <w:r w:rsidR="001F46E6" w:rsidRPr="00FC0FDF">
        <w:rPr>
          <w:lang w:val="fr-FR" w:eastAsia="ko-KR"/>
        </w:rPr>
        <w:t>incluses dans la norme </w:t>
      </w:r>
      <w:r w:rsidRPr="00FC0FDF">
        <w:rPr>
          <w:lang w:val="fr-FR" w:eastAsia="ko-KR"/>
        </w:rPr>
        <w:t>ST.27 dans un projet plus large de transformation qui devrait s</w:t>
      </w:r>
      <w:r w:rsidR="00B1631C">
        <w:rPr>
          <w:lang w:val="fr-FR" w:eastAsia="ko-KR"/>
        </w:rPr>
        <w:t>’</w:t>
      </w:r>
      <w:r w:rsidRPr="00FC0FDF">
        <w:rPr>
          <w:lang w:val="fr-FR" w:eastAsia="ko-KR"/>
        </w:rPr>
        <w:t>étaler sur une période de trois</w:t>
      </w:r>
      <w:r w:rsidR="00A92138">
        <w:rPr>
          <w:lang w:val="fr-FR" w:eastAsia="ko-KR"/>
        </w:rPr>
        <w:t> </w:t>
      </w:r>
      <w:r w:rsidRPr="00FC0FDF">
        <w:rPr>
          <w:lang w:val="fr-FR" w:eastAsia="ko-KR"/>
        </w:rPr>
        <w:t>à cinq</w:t>
      </w:r>
      <w:r w:rsidR="00A92138">
        <w:rPr>
          <w:lang w:val="fr-FR" w:eastAsia="ko-KR"/>
        </w:rPr>
        <w:t> </w:t>
      </w:r>
      <w:r w:rsidRPr="00FC0FDF">
        <w:rPr>
          <w:lang w:val="fr-FR" w:eastAsia="ko-KR"/>
        </w:rPr>
        <w:t>ans;  et</w:t>
      </w:r>
    </w:p>
    <w:p w14:paraId="73DDE446" w14:textId="03E04F9E" w:rsidR="00667BB7" w:rsidRPr="00FC0FDF" w:rsidRDefault="00A93FEE" w:rsidP="00B324A8">
      <w:pPr>
        <w:pStyle w:val="ONUMFS"/>
        <w:numPr>
          <w:ilvl w:val="1"/>
          <w:numId w:val="16"/>
        </w:numPr>
        <w:rPr>
          <w:lang w:val="fr-FR" w:eastAsia="ko-KR"/>
        </w:rPr>
      </w:pPr>
      <w:r w:rsidRPr="00FC0FDF">
        <w:rPr>
          <w:lang w:val="fr-FR" w:eastAsia="ko-KR"/>
        </w:rPr>
        <w:lastRenderedPageBreak/>
        <w:t>KR</w:t>
      </w:r>
      <w:r w:rsidR="00B1631C">
        <w:rPr>
          <w:lang w:val="fr-FR" w:eastAsia="ko-KR"/>
        </w:rPr>
        <w:t xml:space="preserve"> – </w:t>
      </w:r>
      <w:r w:rsidRPr="00FC0FDF">
        <w:rPr>
          <w:lang w:val="fr-FR" w:eastAsia="ko-KR"/>
        </w:rPr>
        <w:t>ne pense pas pouvoir communiquer de données sur la situation juridique des brevets en conformité avec la norme</w:t>
      </w:r>
      <w:r w:rsidR="001F46E6" w:rsidRPr="00FC0FDF">
        <w:rPr>
          <w:lang w:val="fr-FR" w:eastAsia="ko-KR"/>
        </w:rPr>
        <w:t> ST.27 jusqu</w:t>
      </w:r>
      <w:r w:rsidR="00B1631C">
        <w:rPr>
          <w:lang w:val="fr-FR" w:eastAsia="ko-KR"/>
        </w:rPr>
        <w:t>’</w:t>
      </w:r>
      <w:r w:rsidR="001923CB" w:rsidRPr="00FC0FDF">
        <w:rPr>
          <w:lang w:val="fr-FR" w:eastAsia="ko-KR"/>
        </w:rPr>
        <w:t xml:space="preserve">à la fin de 2019 </w:t>
      </w:r>
      <w:r w:rsidR="001F46E6" w:rsidRPr="00FC0FDF">
        <w:rPr>
          <w:lang w:val="fr-FR" w:eastAsia="ko-KR"/>
        </w:rPr>
        <w:t>au moins</w:t>
      </w:r>
      <w:r w:rsidRPr="00FC0FDF">
        <w:rPr>
          <w:lang w:val="fr-FR" w:eastAsia="ko-KR"/>
        </w:rPr>
        <w:t>.</w:t>
      </w:r>
    </w:p>
    <w:p w14:paraId="56FB17AF" w14:textId="7F81011A" w:rsidR="00667BB7" w:rsidRPr="00FC0FDF" w:rsidRDefault="00A93FEE" w:rsidP="00B324A8">
      <w:pPr>
        <w:pStyle w:val="ONUMFS"/>
        <w:rPr>
          <w:lang w:val="fr-FR" w:eastAsia="ko-KR"/>
        </w:rPr>
      </w:pPr>
      <w:r w:rsidRPr="00FC0FDF">
        <w:rPr>
          <w:lang w:val="fr-FR" w:eastAsia="ko-KR"/>
        </w:rPr>
        <w:t>Par ailleurs, certains offices de propriété intellectuelle ont indiqué que la poursuite de la mise en œuvre dépendait de l</w:t>
      </w:r>
      <w:r w:rsidR="00B1631C">
        <w:rPr>
          <w:lang w:val="fr-FR" w:eastAsia="ko-KR"/>
        </w:rPr>
        <w:t>’</w:t>
      </w:r>
      <w:r w:rsidRPr="00FC0FDF">
        <w:rPr>
          <w:lang w:val="fr-FR" w:eastAsia="ko-KR"/>
        </w:rPr>
        <w:t>établissement des composantes du schéma XML pour le statut juridique des</w:t>
      </w:r>
      <w:r w:rsidR="001F46E6" w:rsidRPr="00FC0FDF">
        <w:rPr>
          <w:lang w:val="fr-FR" w:eastAsia="ko-KR"/>
        </w:rPr>
        <w:t xml:space="preserve"> brevets fondées sur les normes </w:t>
      </w:r>
      <w:r w:rsidRPr="00FC0FDF">
        <w:rPr>
          <w:lang w:val="fr-FR" w:eastAsia="ko-KR"/>
        </w:rPr>
        <w:t>ST.27 et</w:t>
      </w:r>
      <w:r w:rsidR="001F46E6" w:rsidRPr="00FC0FDF">
        <w:rPr>
          <w:lang w:val="fr-FR" w:eastAsia="ko-KR"/>
        </w:rPr>
        <w:t> </w:t>
      </w:r>
      <w:r w:rsidRPr="00FC0FDF">
        <w:rPr>
          <w:lang w:val="fr-FR" w:eastAsia="ko-KR"/>
        </w:rPr>
        <w:t>ST.96 de l</w:t>
      </w:r>
      <w:r w:rsidR="00B1631C">
        <w:rPr>
          <w:lang w:val="fr-FR" w:eastAsia="ko-KR"/>
        </w:rPr>
        <w:t>’</w:t>
      </w:r>
      <w:r w:rsidRPr="00FC0FDF">
        <w:rPr>
          <w:lang w:val="fr-FR" w:eastAsia="ko-KR"/>
        </w:rPr>
        <w:t>OMPI.</w:t>
      </w:r>
      <w:r w:rsidR="00F45CC2" w:rsidRPr="00FC0FDF">
        <w:rPr>
          <w:lang w:val="fr-FR" w:eastAsia="ko-KR"/>
        </w:rPr>
        <w:t xml:space="preserve"> </w:t>
      </w:r>
      <w:r w:rsidRPr="00FC0FDF">
        <w:rPr>
          <w:lang w:val="fr-FR" w:eastAsia="ko-KR"/>
        </w:rPr>
        <w:t xml:space="preserve"> D</w:t>
      </w:r>
      <w:r w:rsidR="00B1631C">
        <w:rPr>
          <w:lang w:val="fr-FR" w:eastAsia="ko-KR"/>
        </w:rPr>
        <w:t>’</w:t>
      </w:r>
      <w:r w:rsidRPr="00FC0FDF">
        <w:rPr>
          <w:lang w:val="fr-FR" w:eastAsia="ko-KR"/>
        </w:rPr>
        <w:t xml:space="preserve">autres offices de propriété intellectuelle ont ajouté que </w:t>
      </w:r>
      <w:r w:rsidR="001923CB" w:rsidRPr="00FC0FDF">
        <w:rPr>
          <w:lang w:val="fr-FR" w:eastAsia="ko-KR"/>
        </w:rPr>
        <w:t>les conflits de</w:t>
      </w:r>
      <w:r w:rsidRPr="00FC0FDF">
        <w:rPr>
          <w:lang w:val="fr-FR" w:eastAsia="ko-KR"/>
        </w:rPr>
        <w:t xml:space="preserve"> priorités sur le plan interne ainsi que les changements à venir dans les domaines opérationnel et informatique faisaient aussi obstacle à la mise en œuvre.</w:t>
      </w:r>
    </w:p>
    <w:p w14:paraId="1C17E976" w14:textId="48B1DC3B" w:rsidR="00667BB7" w:rsidRPr="00B324A8" w:rsidRDefault="00602F1D" w:rsidP="00B324A8">
      <w:pPr>
        <w:pStyle w:val="Heading2"/>
        <w:rPr>
          <w:lang w:val="fr-FR" w:eastAsia="ko-KR"/>
        </w:rPr>
      </w:pPr>
      <w:r w:rsidRPr="00B324A8">
        <w:rPr>
          <w:caps w:val="0"/>
          <w:lang w:val="fr-FR" w:eastAsia="ko-KR"/>
        </w:rPr>
        <w:t>CORRESPONDANCE ENTRE LES EVENEMENTS NATIONAUX OU REGIONAUX ET LA NORME ST.27</w:t>
      </w:r>
    </w:p>
    <w:p w14:paraId="092656D8" w14:textId="2EE5D413" w:rsidR="00667BB7" w:rsidRPr="00FC0FDF" w:rsidRDefault="00E30674" w:rsidP="00B324A8">
      <w:pPr>
        <w:pStyle w:val="ONUMFS"/>
        <w:rPr>
          <w:lang w:eastAsia="ko-KR"/>
        </w:rPr>
      </w:pPr>
      <w:r w:rsidRPr="00FC0FDF">
        <w:rPr>
          <w:lang w:val="fr-FR" w:eastAsia="ko-KR"/>
        </w:rPr>
        <w:t>Ainsi qu</w:t>
      </w:r>
      <w:r w:rsidR="00B1631C">
        <w:rPr>
          <w:lang w:val="fr-FR" w:eastAsia="ko-KR"/>
        </w:rPr>
        <w:t>’</w:t>
      </w:r>
      <w:r w:rsidRPr="00FC0FDF">
        <w:rPr>
          <w:lang w:val="fr-FR" w:eastAsia="ko-KR"/>
        </w:rPr>
        <w:t xml:space="preserve">il est </w:t>
      </w:r>
      <w:r w:rsidR="001F46E6" w:rsidRPr="00FC0FDF">
        <w:rPr>
          <w:lang w:val="fr-FR" w:eastAsia="ko-KR"/>
        </w:rPr>
        <w:t>indiqué dans la norme </w:t>
      </w:r>
      <w:r w:rsidRPr="00FC0FDF">
        <w:rPr>
          <w:lang w:val="fr-FR" w:eastAsia="ko-KR"/>
        </w:rPr>
        <w:t>ST.27 de l</w:t>
      </w:r>
      <w:r w:rsidR="00B1631C">
        <w:rPr>
          <w:lang w:val="fr-FR" w:eastAsia="ko-KR"/>
        </w:rPr>
        <w:t>’</w:t>
      </w:r>
      <w:r w:rsidRPr="00FC0FDF">
        <w:rPr>
          <w:lang w:val="fr-FR" w:eastAsia="ko-KR"/>
        </w:rPr>
        <w:t>OMP</w:t>
      </w:r>
      <w:r w:rsidR="001F46E6" w:rsidRPr="00FC0FDF">
        <w:rPr>
          <w:lang w:val="fr-FR" w:eastAsia="ko-KR"/>
        </w:rPr>
        <w:t>I, la mise en œuvre de la norme </w:t>
      </w:r>
      <w:r w:rsidRPr="00FC0FDF">
        <w:rPr>
          <w:lang w:val="fr-FR" w:eastAsia="ko-KR"/>
        </w:rPr>
        <w:t xml:space="preserve">ST.27 nécessite que les offices de propriété intellectuelle établissent </w:t>
      </w:r>
      <w:r w:rsidR="00FC0FDF">
        <w:rPr>
          <w:lang w:val="fr-FR" w:eastAsia="ko-KR"/>
        </w:rPr>
        <w:t>une</w:t>
      </w:r>
      <w:r w:rsidRPr="00FC0FDF">
        <w:rPr>
          <w:lang w:val="fr-FR" w:eastAsia="ko-KR"/>
        </w:rPr>
        <w:t xml:space="preserve"> correspondance entre leurs événements nationaux ou régionaux et les événements </w:t>
      </w:r>
      <w:r w:rsidR="00FC0FDF">
        <w:rPr>
          <w:lang w:val="fr-FR" w:eastAsia="ko-KR"/>
        </w:rPr>
        <w:t>prévus</w:t>
      </w:r>
      <w:r w:rsidRPr="00FC0FDF">
        <w:rPr>
          <w:lang w:val="fr-FR" w:eastAsia="ko-KR"/>
        </w:rPr>
        <w:t xml:space="preserve"> dans la norme, ou du moins les catégories </w:t>
      </w:r>
      <w:r w:rsidR="00FC0FDF">
        <w:rPr>
          <w:lang w:val="fr-FR" w:eastAsia="ko-KR"/>
        </w:rPr>
        <w:t>prévues</w:t>
      </w:r>
      <w:r w:rsidR="00FC0FDF" w:rsidRPr="00FC0FDF">
        <w:rPr>
          <w:lang w:val="fr-FR" w:eastAsia="ko-KR"/>
        </w:rPr>
        <w:t xml:space="preserve"> </w:t>
      </w:r>
      <w:r w:rsidRPr="00FC0FDF">
        <w:rPr>
          <w:lang w:val="fr-FR" w:eastAsia="ko-KR"/>
        </w:rPr>
        <w:t>dans la norme.</w:t>
      </w:r>
      <w:r w:rsidR="00F21ACB" w:rsidRPr="00FC0FDF">
        <w:rPr>
          <w:lang w:val="fr-FR" w:eastAsia="ko-KR"/>
        </w:rPr>
        <w:t xml:space="preserve">  </w:t>
      </w:r>
      <w:r w:rsidR="001F46E6" w:rsidRPr="00FC0FDF">
        <w:rPr>
          <w:lang w:val="fr-FR" w:eastAsia="ko-KR"/>
        </w:rPr>
        <w:t>L</w:t>
      </w:r>
      <w:r w:rsidR="00B1631C">
        <w:rPr>
          <w:lang w:val="fr-FR" w:eastAsia="ko-KR"/>
        </w:rPr>
        <w:t>’</w:t>
      </w:r>
      <w:r w:rsidR="001F46E6" w:rsidRPr="00FC0FDF">
        <w:rPr>
          <w:lang w:val="fr-FR" w:eastAsia="ko-KR"/>
        </w:rPr>
        <w:t>annexe</w:t>
      </w:r>
      <w:r w:rsidR="00EE13EE">
        <w:rPr>
          <w:lang w:val="fr-FR" w:eastAsia="ko-KR"/>
        </w:rPr>
        <w:t> </w:t>
      </w:r>
      <w:r w:rsidR="001F46E6" w:rsidRPr="00FC0FDF">
        <w:rPr>
          <w:lang w:val="fr-FR" w:eastAsia="ko-KR"/>
        </w:rPr>
        <w:t>IV de la norme </w:t>
      </w:r>
      <w:r w:rsidRPr="00FC0FDF">
        <w:rPr>
          <w:lang w:val="fr-FR" w:eastAsia="ko-KR"/>
        </w:rPr>
        <w:t>ST.27 de l</w:t>
      </w:r>
      <w:r w:rsidR="00B1631C">
        <w:rPr>
          <w:lang w:val="fr-FR" w:eastAsia="ko-KR"/>
        </w:rPr>
        <w:t>’</w:t>
      </w:r>
      <w:r w:rsidRPr="00FC0FDF">
        <w:rPr>
          <w:lang w:val="fr-FR" w:eastAsia="ko-KR"/>
        </w:rPr>
        <w:t xml:space="preserve">OMPI prévoit un modèle de </w:t>
      </w:r>
      <w:r w:rsidR="001F46E6" w:rsidRPr="00FC0FDF">
        <w:rPr>
          <w:lang w:val="fr-FR" w:eastAsia="ko-KR"/>
        </w:rPr>
        <w:t>table</w:t>
      </w:r>
      <w:r w:rsidR="000142CC" w:rsidRPr="00FC0FDF">
        <w:rPr>
          <w:lang w:val="fr-FR" w:eastAsia="ko-KR"/>
        </w:rPr>
        <w:t xml:space="preserve"> de co</w:t>
      </w:r>
      <w:r w:rsidR="001F46E6" w:rsidRPr="00FC0FDF">
        <w:rPr>
          <w:lang w:val="fr-FR" w:eastAsia="ko-KR"/>
        </w:rPr>
        <w:t>ncord</w:t>
      </w:r>
      <w:r w:rsidR="000142CC" w:rsidRPr="00FC0FDF">
        <w:rPr>
          <w:lang w:val="fr-FR" w:eastAsia="ko-KR"/>
        </w:rPr>
        <w:t xml:space="preserve">ance </w:t>
      </w:r>
      <w:r w:rsidRPr="00FC0FDF">
        <w:rPr>
          <w:lang w:val="fr-FR" w:eastAsia="ko-KR"/>
        </w:rPr>
        <w:t xml:space="preserve">à cet effet. </w:t>
      </w:r>
      <w:r w:rsidR="00F21ACB" w:rsidRPr="00FC0FDF">
        <w:rPr>
          <w:lang w:val="fr-FR" w:eastAsia="ko-KR"/>
        </w:rPr>
        <w:t xml:space="preserve"> </w:t>
      </w:r>
      <w:r w:rsidR="001F46E6" w:rsidRPr="00FC0FDF">
        <w:rPr>
          <w:lang w:val="fr-FR" w:eastAsia="ko-KR"/>
        </w:rPr>
        <w:t>Pour</w:t>
      </w:r>
      <w:r w:rsidRPr="00FC0FDF">
        <w:rPr>
          <w:lang w:val="fr-FR" w:eastAsia="ko-KR"/>
        </w:rPr>
        <w:t xml:space="preserve"> rempli</w:t>
      </w:r>
      <w:r w:rsidR="001F46E6" w:rsidRPr="00FC0FDF">
        <w:rPr>
          <w:lang w:val="fr-FR" w:eastAsia="ko-KR"/>
        </w:rPr>
        <w:t>r</w:t>
      </w:r>
      <w:r w:rsidRPr="00FC0FDF">
        <w:rPr>
          <w:lang w:val="fr-FR" w:eastAsia="ko-KR"/>
        </w:rPr>
        <w:t xml:space="preserve"> ce</w:t>
      </w:r>
      <w:r w:rsidR="00655AE1" w:rsidRPr="00FC0FDF">
        <w:rPr>
          <w:lang w:val="fr-FR" w:eastAsia="ko-KR"/>
        </w:rPr>
        <w:t xml:space="preserve">tte </w:t>
      </w:r>
      <w:r w:rsidRPr="00FC0FDF">
        <w:rPr>
          <w:lang w:val="fr-FR" w:eastAsia="ko-KR"/>
        </w:rPr>
        <w:t>table, les offices de propriété intellectuelle sont encouragés à fournir un titre et une description de leurs événements nationaux ou régionaux dans leur langue originale et en anglais, afin que les utilisateurs puissent obtenir de plus amples informations sur les différents événements nationaux ou régionaux.</w:t>
      </w:r>
    </w:p>
    <w:p w14:paraId="536874AB" w14:textId="704BE82D" w:rsidR="00667BB7" w:rsidRPr="00FC0FDF" w:rsidRDefault="000142CC" w:rsidP="00B324A8">
      <w:pPr>
        <w:pStyle w:val="ONUMFS"/>
        <w:rPr>
          <w:lang w:val="fr-FR" w:eastAsia="ko-KR"/>
        </w:rPr>
      </w:pPr>
      <w:r w:rsidRPr="00FC0FDF">
        <w:rPr>
          <w:lang w:val="fr-FR" w:eastAsia="ko-KR"/>
        </w:rPr>
        <w:t>En réponse à la circulaire mentionnée plus haut, dans le cadre de l</w:t>
      </w:r>
      <w:r w:rsidR="00B1631C">
        <w:rPr>
          <w:lang w:val="fr-FR" w:eastAsia="ko-KR"/>
        </w:rPr>
        <w:t>’</w:t>
      </w:r>
      <w:r w:rsidRPr="00FC0FDF">
        <w:rPr>
          <w:lang w:val="fr-FR" w:eastAsia="ko-KR"/>
        </w:rPr>
        <w:t>activité relative à la situation juridique des brevets et à l</w:t>
      </w:r>
      <w:r w:rsidR="00B1631C">
        <w:rPr>
          <w:lang w:val="fr-FR" w:eastAsia="ko-KR"/>
        </w:rPr>
        <w:t>’</w:t>
      </w:r>
      <w:r w:rsidRPr="00FC0FDF">
        <w:rPr>
          <w:lang w:val="fr-FR" w:eastAsia="ko-KR"/>
        </w:rPr>
        <w:t>issue de la collaboratio</w:t>
      </w:r>
      <w:r w:rsidR="00655AE1" w:rsidRPr="00FC0FDF">
        <w:rPr>
          <w:lang w:val="fr-FR" w:eastAsia="ko-KR"/>
        </w:rPr>
        <w:t>n concernant l</w:t>
      </w:r>
      <w:r w:rsidR="00B1631C">
        <w:rPr>
          <w:lang w:val="fr-FR" w:eastAsia="ko-KR"/>
        </w:rPr>
        <w:t>’</w:t>
      </w:r>
      <w:r w:rsidR="00655AE1" w:rsidRPr="00FC0FDF">
        <w:rPr>
          <w:lang w:val="fr-FR" w:eastAsia="ko-KR"/>
        </w:rPr>
        <w:t>établissement de</w:t>
      </w:r>
      <w:r w:rsidRPr="00FC0FDF">
        <w:rPr>
          <w:lang w:val="fr-FR" w:eastAsia="ko-KR"/>
        </w:rPr>
        <w:t xml:space="preserve"> correspondances entre les événements nationaux ou régionaux </w:t>
      </w:r>
      <w:r w:rsidR="0052248F" w:rsidRPr="00FC0FDF">
        <w:rPr>
          <w:lang w:val="fr-FR" w:eastAsia="ko-KR"/>
        </w:rPr>
        <w:t>en rapport avec</w:t>
      </w:r>
      <w:r w:rsidRPr="00FC0FDF">
        <w:rPr>
          <w:lang w:val="fr-FR" w:eastAsia="ko-KR"/>
        </w:rPr>
        <w:t xml:space="preserve"> la situation juridique des brevets inclus dans la base de données INPADOC, les table</w:t>
      </w:r>
      <w:r w:rsidR="00655AE1" w:rsidRPr="00FC0FDF">
        <w:rPr>
          <w:lang w:val="fr-FR" w:eastAsia="ko-KR"/>
        </w:rPr>
        <w:t xml:space="preserve">s </w:t>
      </w:r>
      <w:r w:rsidRPr="00FC0FDF">
        <w:rPr>
          <w:lang w:val="fr-FR" w:eastAsia="ko-KR"/>
        </w:rPr>
        <w:t>de correspondance des 12</w:t>
      </w:r>
      <w:r w:rsidR="00EE13EE">
        <w:rPr>
          <w:lang w:val="fr-FR" w:eastAsia="ko-KR"/>
        </w:rPr>
        <w:t> </w:t>
      </w:r>
      <w:r w:rsidRPr="00FC0FDF">
        <w:rPr>
          <w:lang w:val="fr-FR" w:eastAsia="ko-KR"/>
        </w:rPr>
        <w:t>offices de propriété intellectuelle ci</w:t>
      </w:r>
      <w:r w:rsidR="00B1631C">
        <w:rPr>
          <w:lang w:val="fr-FR" w:eastAsia="ko-KR"/>
        </w:rPr>
        <w:t>-</w:t>
      </w:r>
      <w:r w:rsidRPr="00FC0FDF">
        <w:rPr>
          <w:lang w:val="fr-FR" w:eastAsia="ko-KR"/>
        </w:rPr>
        <w:t>après ont été</w:t>
      </w:r>
      <w:r w:rsidR="00940A18">
        <w:rPr>
          <w:lang w:val="fr-FR" w:eastAsia="ko-KR"/>
        </w:rPr>
        <w:t xml:space="preserve"> rassemblées</w:t>
      </w:r>
      <w:r w:rsidR="00A92138">
        <w:rPr>
          <w:lang w:val="fr-FR" w:eastAsia="ko-KR"/>
        </w:rPr>
        <w:t> </w:t>
      </w:r>
      <w:r w:rsidRPr="00FC0FDF">
        <w:rPr>
          <w:lang w:val="fr-FR" w:eastAsia="ko-KR"/>
        </w:rPr>
        <w:t>: CA, CN, DE, EA, EP, FR, GB, JP, KR, RU, UA et US (voir le paragraphe</w:t>
      </w:r>
      <w:r w:rsidR="00EE13EE">
        <w:rPr>
          <w:lang w:val="fr-FR" w:eastAsia="ko-KR"/>
        </w:rPr>
        <w:t> </w:t>
      </w:r>
      <w:r w:rsidRPr="00FC0FDF">
        <w:rPr>
          <w:lang w:val="fr-FR" w:eastAsia="ko-KR"/>
        </w:rPr>
        <w:t>9 du document CWS/6/11).</w:t>
      </w:r>
    </w:p>
    <w:p w14:paraId="57581A8D" w14:textId="275B78C3" w:rsidR="00667BB7" w:rsidRPr="00FC0FDF" w:rsidRDefault="000142CC" w:rsidP="00B324A8">
      <w:pPr>
        <w:pStyle w:val="ONUMFS"/>
        <w:rPr>
          <w:lang w:val="fr-FR" w:eastAsia="ko-KR"/>
        </w:rPr>
      </w:pPr>
      <w:r w:rsidRPr="00FC0FDF">
        <w:rPr>
          <w:lang w:val="fr-FR" w:eastAsia="ko-KR"/>
        </w:rPr>
        <w:t xml:space="preserve">Le Bureau international a </w:t>
      </w:r>
      <w:r w:rsidR="00940A18" w:rsidRPr="00FC0FDF">
        <w:rPr>
          <w:lang w:val="fr-FR" w:eastAsia="ko-KR"/>
        </w:rPr>
        <w:t xml:space="preserve">établi </w:t>
      </w:r>
      <w:r w:rsidRPr="00FC0FDF">
        <w:rPr>
          <w:lang w:val="fr-FR" w:eastAsia="ko-KR"/>
        </w:rPr>
        <w:t>un projet de tabl</w:t>
      </w:r>
      <w:r w:rsidR="00655AE1" w:rsidRPr="00FC0FDF">
        <w:rPr>
          <w:lang w:val="fr-FR" w:eastAsia="ko-KR"/>
        </w:rPr>
        <w:t>e</w:t>
      </w:r>
      <w:r w:rsidRPr="00FC0FDF">
        <w:rPr>
          <w:lang w:val="fr-FR" w:eastAsia="ko-KR"/>
        </w:rPr>
        <w:t xml:space="preserve"> de</w:t>
      </w:r>
      <w:r w:rsidR="00FC0FDF">
        <w:rPr>
          <w:lang w:val="fr-FR" w:eastAsia="ko-KR"/>
        </w:rPr>
        <w:t xml:space="preserve"> </w:t>
      </w:r>
      <w:r w:rsidR="00FC0FDF" w:rsidRPr="00FC0FDF">
        <w:rPr>
          <w:lang w:val="fr-FR" w:eastAsia="ko-KR"/>
        </w:rPr>
        <w:t>correspondance</w:t>
      </w:r>
      <w:r w:rsidRPr="00FC0FDF">
        <w:rPr>
          <w:lang w:val="fr-FR" w:eastAsia="ko-KR"/>
        </w:rPr>
        <w:t xml:space="preserve"> qui comprend </w:t>
      </w:r>
      <w:r w:rsidR="00940A18">
        <w:rPr>
          <w:lang w:val="fr-FR" w:eastAsia="ko-KR"/>
        </w:rPr>
        <w:t xml:space="preserve">sous une forme synthétique </w:t>
      </w:r>
      <w:r w:rsidRPr="00FC0FDF">
        <w:rPr>
          <w:lang w:val="fr-FR" w:eastAsia="ko-KR"/>
        </w:rPr>
        <w:t>les informations transmises par ces offices de propriété intellectuelle.</w:t>
      </w:r>
      <w:r w:rsidR="002F2B7E" w:rsidRPr="00FC0FDF">
        <w:rPr>
          <w:lang w:val="fr-FR" w:eastAsia="ko-KR"/>
        </w:rPr>
        <w:t xml:space="preserve">  </w:t>
      </w:r>
      <w:r w:rsidRPr="00FC0FDF">
        <w:rPr>
          <w:lang w:val="fr-FR" w:eastAsia="ko-KR"/>
        </w:rPr>
        <w:t xml:space="preserve">Les </w:t>
      </w:r>
      <w:r w:rsidR="00655AE1" w:rsidRPr="00FC0FDF">
        <w:rPr>
          <w:lang w:val="fr-FR" w:eastAsia="ko-KR"/>
        </w:rPr>
        <w:t>tables</w:t>
      </w:r>
      <w:r w:rsidRPr="00FC0FDF">
        <w:rPr>
          <w:lang w:val="fr-FR" w:eastAsia="ko-KR"/>
        </w:rPr>
        <w:t xml:space="preserve"> de </w:t>
      </w:r>
      <w:r w:rsidR="00940A18" w:rsidRPr="00FC0FDF">
        <w:rPr>
          <w:lang w:val="fr-FR" w:eastAsia="ko-KR"/>
        </w:rPr>
        <w:t xml:space="preserve">correspondance </w:t>
      </w:r>
      <w:r w:rsidRPr="00FC0FDF">
        <w:rPr>
          <w:lang w:val="fr-FR" w:eastAsia="ko-KR"/>
        </w:rPr>
        <w:t>peuvent être amélioré</w:t>
      </w:r>
      <w:r w:rsidR="00655AE1" w:rsidRPr="00FC0FDF">
        <w:rPr>
          <w:lang w:val="fr-FR" w:eastAsia="ko-KR"/>
        </w:rPr>
        <w:t>e</w:t>
      </w:r>
      <w:r w:rsidRPr="00FC0FDF">
        <w:rPr>
          <w:lang w:val="fr-FR" w:eastAsia="ko-KR"/>
        </w:rPr>
        <w:t xml:space="preserve">s </w:t>
      </w:r>
      <w:r w:rsidR="00655AE1" w:rsidRPr="00FC0FDF">
        <w:rPr>
          <w:lang w:val="fr-FR" w:eastAsia="ko-KR"/>
        </w:rPr>
        <w:t>en fonction de</w:t>
      </w:r>
      <w:r w:rsidR="00FE3B94" w:rsidRPr="00FC0FDF">
        <w:rPr>
          <w:lang w:val="fr-FR" w:eastAsia="ko-KR"/>
        </w:rPr>
        <w:t xml:space="preserve"> la révision de </w:t>
      </w:r>
      <w:r w:rsidR="00655AE1" w:rsidRPr="00FC0FDF">
        <w:rPr>
          <w:lang w:val="fr-FR" w:eastAsia="ko-KR"/>
        </w:rPr>
        <w:t>la norme </w:t>
      </w:r>
      <w:r w:rsidRPr="00FC0FDF">
        <w:rPr>
          <w:lang w:val="fr-FR" w:eastAsia="ko-KR"/>
        </w:rPr>
        <w:t xml:space="preserve">ST.27 et </w:t>
      </w:r>
      <w:r w:rsidR="00655AE1" w:rsidRPr="00FC0FDF">
        <w:rPr>
          <w:lang w:val="fr-FR" w:eastAsia="ko-KR"/>
        </w:rPr>
        <w:t>de</w:t>
      </w:r>
      <w:r w:rsidR="00FE3B94" w:rsidRPr="00FC0FDF">
        <w:rPr>
          <w:lang w:val="fr-FR" w:eastAsia="ko-KR"/>
        </w:rPr>
        <w:t xml:space="preserve"> l</w:t>
      </w:r>
      <w:r w:rsidR="00B1631C">
        <w:rPr>
          <w:lang w:val="fr-FR" w:eastAsia="ko-KR"/>
        </w:rPr>
        <w:t>’</w:t>
      </w:r>
      <w:r w:rsidR="00FE3B94" w:rsidRPr="00FC0FDF">
        <w:rPr>
          <w:lang w:val="fr-FR" w:eastAsia="ko-KR"/>
        </w:rPr>
        <w:t xml:space="preserve">examen effectué par les </w:t>
      </w:r>
      <w:r w:rsidRPr="00FC0FDF">
        <w:rPr>
          <w:lang w:val="fr-FR" w:eastAsia="ko-KR"/>
        </w:rPr>
        <w:t>offices de propriété intellectuelle, conformément au document d</w:t>
      </w:r>
      <w:r w:rsidR="00B1631C">
        <w:rPr>
          <w:lang w:val="fr-FR" w:eastAsia="ko-KR"/>
        </w:rPr>
        <w:t>’</w:t>
      </w:r>
      <w:r w:rsidRPr="00FC0FDF">
        <w:rPr>
          <w:lang w:val="fr-FR" w:eastAsia="ko-KR"/>
        </w:rPr>
        <w:t>orientation ou pour tout autre motif, en temps opportun.</w:t>
      </w:r>
      <w:r w:rsidR="00F21ACB" w:rsidRPr="00FC0FDF">
        <w:rPr>
          <w:lang w:val="fr-FR" w:eastAsia="ko-KR"/>
        </w:rPr>
        <w:t xml:space="preserve"> </w:t>
      </w:r>
      <w:r w:rsidR="002F2B7E" w:rsidRPr="00FC0FDF">
        <w:rPr>
          <w:lang w:val="fr-FR" w:eastAsia="ko-KR"/>
        </w:rPr>
        <w:t xml:space="preserve"> </w:t>
      </w:r>
      <w:r w:rsidR="00940A18">
        <w:rPr>
          <w:lang w:val="fr-FR" w:eastAsia="ko-KR"/>
        </w:rPr>
        <w:t>Le</w:t>
      </w:r>
      <w:r w:rsidRPr="00FC0FDF">
        <w:rPr>
          <w:lang w:val="fr-FR" w:eastAsia="ko-KR"/>
        </w:rPr>
        <w:t xml:space="preserve"> projet de table de correspondance f</w:t>
      </w:r>
      <w:r w:rsidR="00940A18">
        <w:rPr>
          <w:lang w:val="fr-FR" w:eastAsia="ko-KR"/>
        </w:rPr>
        <w:t>ai</w:t>
      </w:r>
      <w:r w:rsidRPr="00FC0FDF">
        <w:rPr>
          <w:lang w:val="fr-FR" w:eastAsia="ko-KR"/>
        </w:rPr>
        <w:t>t l</w:t>
      </w:r>
      <w:r w:rsidR="00B1631C">
        <w:rPr>
          <w:lang w:val="fr-FR" w:eastAsia="ko-KR"/>
        </w:rPr>
        <w:t>’</w:t>
      </w:r>
      <w:r w:rsidRPr="00FC0FDF">
        <w:rPr>
          <w:lang w:val="fr-FR" w:eastAsia="ko-KR"/>
        </w:rPr>
        <w:t>objet de l</w:t>
      </w:r>
      <w:r w:rsidR="00B1631C">
        <w:rPr>
          <w:lang w:val="fr-FR" w:eastAsia="ko-KR"/>
        </w:rPr>
        <w:t>’</w:t>
      </w:r>
      <w:r w:rsidRPr="00FC0FDF">
        <w:rPr>
          <w:lang w:val="fr-FR" w:eastAsia="ko-KR"/>
        </w:rPr>
        <w:t>annexe du présent document, pour examen par le CWS.</w:t>
      </w:r>
    </w:p>
    <w:p w14:paraId="09E1EFA4" w14:textId="5CBFA576" w:rsidR="00D123DE" w:rsidRDefault="000142CC" w:rsidP="00B324A8">
      <w:pPr>
        <w:pStyle w:val="ONUMFS"/>
        <w:rPr>
          <w:lang w:val="fr-FR" w:eastAsia="ko-KR"/>
        </w:rPr>
      </w:pPr>
      <w:r w:rsidRPr="00FC0FDF">
        <w:rPr>
          <w:lang w:val="fr-FR" w:eastAsia="ko-KR"/>
        </w:rPr>
        <w:t>Le Bureau international prévoit de publier sur le site</w:t>
      </w:r>
      <w:r w:rsidR="00A92138">
        <w:rPr>
          <w:lang w:val="fr-FR" w:eastAsia="ko-KR"/>
        </w:rPr>
        <w:t> </w:t>
      </w:r>
      <w:r w:rsidRPr="00FC0FDF">
        <w:rPr>
          <w:lang w:val="fr-FR" w:eastAsia="ko-KR"/>
        </w:rPr>
        <w:t>Web de l</w:t>
      </w:r>
      <w:r w:rsidR="00B1631C">
        <w:rPr>
          <w:lang w:val="fr-FR" w:eastAsia="ko-KR"/>
        </w:rPr>
        <w:t>’</w:t>
      </w:r>
      <w:r w:rsidRPr="00FC0FDF">
        <w:rPr>
          <w:lang w:val="fr-FR" w:eastAsia="ko-KR"/>
        </w:rPr>
        <w:t>OMPI la version synthétique des table</w:t>
      </w:r>
      <w:r w:rsidR="00655AE1" w:rsidRPr="00FC0FDF">
        <w:rPr>
          <w:lang w:val="fr-FR" w:eastAsia="ko-KR"/>
        </w:rPr>
        <w:t>s</w:t>
      </w:r>
      <w:r w:rsidRPr="00FC0FDF">
        <w:rPr>
          <w:lang w:val="fr-FR" w:eastAsia="ko-KR"/>
        </w:rPr>
        <w:t xml:space="preserve"> de correspondance des offices de propriété intellectuelle, </w:t>
      </w:r>
      <w:r w:rsidR="00FE3B94" w:rsidRPr="00FC0FDF">
        <w:rPr>
          <w:lang w:val="fr-FR" w:eastAsia="ko-KR"/>
        </w:rPr>
        <w:t>sous réserve de</w:t>
      </w:r>
      <w:r w:rsidRPr="00FC0FDF">
        <w:rPr>
          <w:lang w:val="fr-FR" w:eastAsia="ko-KR"/>
        </w:rPr>
        <w:t xml:space="preserve"> l</w:t>
      </w:r>
      <w:r w:rsidR="00B1631C">
        <w:rPr>
          <w:lang w:val="fr-FR" w:eastAsia="ko-KR"/>
        </w:rPr>
        <w:t>’</w:t>
      </w:r>
      <w:r w:rsidRPr="00FC0FDF">
        <w:rPr>
          <w:lang w:val="fr-FR" w:eastAsia="ko-KR"/>
        </w:rPr>
        <w:t>approba</w:t>
      </w:r>
      <w:r w:rsidR="00FE3B94" w:rsidRPr="00FC0FDF">
        <w:rPr>
          <w:lang w:val="fr-FR" w:eastAsia="ko-KR"/>
        </w:rPr>
        <w:t>ti</w:t>
      </w:r>
      <w:r w:rsidRPr="00FC0FDF">
        <w:rPr>
          <w:lang w:val="fr-FR" w:eastAsia="ko-KR"/>
        </w:rPr>
        <w:t>on du CWS.</w:t>
      </w:r>
      <w:r w:rsidR="00D123DE">
        <w:rPr>
          <w:lang w:val="fr-FR" w:eastAsia="ko-KR"/>
        </w:rPr>
        <w:br w:type="page"/>
      </w:r>
    </w:p>
    <w:p w14:paraId="5F46706A" w14:textId="7D5F3C73" w:rsidR="00667BB7" w:rsidRPr="00B324A8" w:rsidRDefault="00602F1D" w:rsidP="00B324A8">
      <w:pPr>
        <w:pStyle w:val="Heading2"/>
        <w:rPr>
          <w:lang w:val="fr-FR" w:eastAsia="ko-KR"/>
        </w:rPr>
      </w:pPr>
      <w:r w:rsidRPr="00B324A8">
        <w:rPr>
          <w:caps w:val="0"/>
          <w:lang w:val="fr-FR" w:eastAsia="ko-KR"/>
        </w:rPr>
        <w:t>POURSUITE DE LA COLLABORATION EN VUE DE LA MISE EN ŒUVRE</w:t>
      </w:r>
    </w:p>
    <w:p w14:paraId="19420F0E" w14:textId="59D89CD1" w:rsidR="00667BB7" w:rsidRPr="00FC0FDF" w:rsidRDefault="00A3550A" w:rsidP="00B324A8">
      <w:pPr>
        <w:pStyle w:val="ONUMFS"/>
        <w:rPr>
          <w:lang w:val="fr-FR" w:eastAsia="ko-KR"/>
        </w:rPr>
      </w:pPr>
      <w:r w:rsidRPr="00FC0FDF">
        <w:rPr>
          <w:lang w:val="fr-FR" w:eastAsia="ko-KR"/>
        </w:rPr>
        <w:t>Pour une mise en œuvre harmonis</w:t>
      </w:r>
      <w:r w:rsidR="00B66D45" w:rsidRPr="00FC0FDF">
        <w:rPr>
          <w:lang w:val="fr-FR" w:eastAsia="ko-KR"/>
        </w:rPr>
        <w:t>ée de la norme ST.27 de l</w:t>
      </w:r>
      <w:r w:rsidR="00B1631C">
        <w:rPr>
          <w:lang w:val="fr-FR" w:eastAsia="ko-KR"/>
        </w:rPr>
        <w:t>’</w:t>
      </w:r>
      <w:r w:rsidR="00B66D45" w:rsidRPr="00FC0FDF">
        <w:rPr>
          <w:lang w:val="fr-FR" w:eastAsia="ko-KR"/>
        </w:rPr>
        <w:t>OMPI p</w:t>
      </w:r>
      <w:r w:rsidRPr="00FC0FDF">
        <w:rPr>
          <w:lang w:val="fr-FR" w:eastAsia="ko-KR"/>
        </w:rPr>
        <w:t>ar les offices de propriété intellectuelle, il est essentiel que l</w:t>
      </w:r>
      <w:r w:rsidR="00B1631C">
        <w:rPr>
          <w:lang w:val="fr-FR" w:eastAsia="ko-KR"/>
        </w:rPr>
        <w:t>’</w:t>
      </w:r>
      <w:r w:rsidRPr="00FC0FDF">
        <w:rPr>
          <w:lang w:val="fr-FR" w:eastAsia="ko-KR"/>
        </w:rPr>
        <w:t>ensemble des utilisateurs de l</w:t>
      </w:r>
      <w:r w:rsidR="00B1631C">
        <w:rPr>
          <w:lang w:val="fr-FR" w:eastAsia="ko-KR"/>
        </w:rPr>
        <w:t>’</w:t>
      </w:r>
      <w:r w:rsidRPr="00FC0FDF">
        <w:rPr>
          <w:lang w:val="fr-FR" w:eastAsia="ko-KR"/>
        </w:rPr>
        <w:t>information en matière de propriété intellectuelle rassemblent des indications utiles sur la demande ou le brevet concerné.</w:t>
      </w:r>
      <w:r w:rsidR="00CD02C6" w:rsidRPr="00FC0FDF">
        <w:rPr>
          <w:lang w:val="fr-FR" w:eastAsia="ko-KR"/>
        </w:rPr>
        <w:t xml:space="preserve">  </w:t>
      </w:r>
      <w:r w:rsidR="0052248F" w:rsidRPr="00FC0FDF">
        <w:rPr>
          <w:lang w:val="fr-FR" w:eastAsia="ko-KR"/>
        </w:rPr>
        <w:t xml:space="preserve">En raison des diverses pratiques résultant des diverses lois applicables, </w:t>
      </w:r>
      <w:r w:rsidR="009F0555" w:rsidRPr="00FC0FDF">
        <w:rPr>
          <w:lang w:val="fr-FR" w:eastAsia="ko-KR"/>
        </w:rPr>
        <w:t>il n</w:t>
      </w:r>
      <w:r w:rsidR="00B1631C">
        <w:rPr>
          <w:lang w:val="fr-FR" w:eastAsia="ko-KR"/>
        </w:rPr>
        <w:t>’</w:t>
      </w:r>
      <w:r w:rsidR="009F0555" w:rsidRPr="00FC0FDF">
        <w:rPr>
          <w:lang w:val="fr-FR" w:eastAsia="ko-KR"/>
        </w:rPr>
        <w:t>est pas toujours facile d</w:t>
      </w:r>
      <w:r w:rsidR="00B1631C">
        <w:rPr>
          <w:lang w:val="fr-FR" w:eastAsia="ko-KR"/>
        </w:rPr>
        <w:t>’</w:t>
      </w:r>
      <w:r w:rsidR="009F0555" w:rsidRPr="00FC0FDF">
        <w:rPr>
          <w:lang w:val="fr-FR" w:eastAsia="ko-KR"/>
        </w:rPr>
        <w:t>établir une correspondance</w:t>
      </w:r>
      <w:r w:rsidR="0052248F" w:rsidRPr="00FC0FDF">
        <w:rPr>
          <w:lang w:val="fr-FR" w:eastAsia="ko-KR"/>
        </w:rPr>
        <w:t xml:space="preserve"> entre les événements nationaux ou régionaux en rapport avec la situation juridique et les événements définis dans la norme.</w:t>
      </w:r>
      <w:r w:rsidR="00CD02C6" w:rsidRPr="00FC0FDF">
        <w:rPr>
          <w:lang w:val="fr-FR" w:eastAsia="ko-KR"/>
        </w:rPr>
        <w:t xml:space="preserve">  </w:t>
      </w:r>
      <w:r w:rsidR="0052248F" w:rsidRPr="00FC0FDF">
        <w:rPr>
          <w:lang w:val="fr-FR" w:eastAsia="ko-KR"/>
        </w:rPr>
        <w:t>En cons</w:t>
      </w:r>
      <w:r w:rsidR="00940A18">
        <w:rPr>
          <w:lang w:val="fr-FR" w:eastAsia="ko-KR"/>
        </w:rPr>
        <w:t>équence, le </w:t>
      </w:r>
      <w:r w:rsidR="0052248F" w:rsidRPr="00FC0FDF">
        <w:rPr>
          <w:lang w:val="fr-FR" w:eastAsia="ko-KR"/>
        </w:rPr>
        <w:t>CWS a prié l</w:t>
      </w:r>
      <w:r w:rsidR="00B1631C">
        <w:rPr>
          <w:lang w:val="fr-FR" w:eastAsia="ko-KR"/>
        </w:rPr>
        <w:t>’</w:t>
      </w:r>
      <w:r w:rsidR="0052248F" w:rsidRPr="00FC0FDF">
        <w:rPr>
          <w:lang w:val="fr-FR" w:eastAsia="ko-KR"/>
        </w:rPr>
        <w:t>Équipe d</w:t>
      </w:r>
      <w:r w:rsidR="00B1631C">
        <w:rPr>
          <w:lang w:val="fr-FR" w:eastAsia="ko-KR"/>
        </w:rPr>
        <w:t>’</w:t>
      </w:r>
      <w:r w:rsidR="0052248F" w:rsidRPr="00FC0FDF">
        <w:rPr>
          <w:lang w:val="fr-FR" w:eastAsia="ko-KR"/>
        </w:rPr>
        <w:t>experts chargée de la situation juridique d</w:t>
      </w:r>
      <w:r w:rsidR="00B1631C">
        <w:rPr>
          <w:lang w:val="fr-FR" w:eastAsia="ko-KR"/>
        </w:rPr>
        <w:t>’</w:t>
      </w:r>
      <w:r w:rsidR="0052248F" w:rsidRPr="00FC0FDF">
        <w:rPr>
          <w:lang w:val="fr-FR" w:eastAsia="ko-KR"/>
        </w:rPr>
        <w:t>élaborer le document d</w:t>
      </w:r>
      <w:r w:rsidR="00B1631C">
        <w:rPr>
          <w:lang w:val="fr-FR" w:eastAsia="ko-KR"/>
        </w:rPr>
        <w:t>’</w:t>
      </w:r>
      <w:r w:rsidR="0052248F" w:rsidRPr="00FC0FDF">
        <w:rPr>
          <w:lang w:val="fr-FR" w:eastAsia="ko-KR"/>
        </w:rPr>
        <w:t xml:space="preserve">orientation pour aider les offices de propriété intellectuelle à établir </w:t>
      </w:r>
      <w:r w:rsidR="009F0555" w:rsidRPr="00FC0FDF">
        <w:rPr>
          <w:lang w:val="fr-FR" w:eastAsia="ko-KR"/>
        </w:rPr>
        <w:t>des</w:t>
      </w:r>
      <w:r w:rsidR="0052248F" w:rsidRPr="00FC0FDF">
        <w:rPr>
          <w:lang w:val="fr-FR" w:eastAsia="ko-KR"/>
        </w:rPr>
        <w:t xml:space="preserve"> correspondance</w:t>
      </w:r>
      <w:r w:rsidR="009F0555" w:rsidRPr="00FC0FDF">
        <w:rPr>
          <w:lang w:val="fr-FR" w:eastAsia="ko-KR"/>
        </w:rPr>
        <w:t>s</w:t>
      </w:r>
      <w:r w:rsidR="0052248F" w:rsidRPr="00FC0FDF">
        <w:rPr>
          <w:lang w:val="fr-FR" w:eastAsia="ko-KR"/>
        </w:rPr>
        <w:t xml:space="preserve"> entre leurs événements et les événements définis dans la norme de manière harmonisée.</w:t>
      </w:r>
      <w:r w:rsidR="00CD02C6" w:rsidRPr="00FC0FDF">
        <w:rPr>
          <w:lang w:val="fr-FR" w:eastAsia="ko-KR"/>
        </w:rPr>
        <w:t xml:space="preserve">  </w:t>
      </w:r>
      <w:r w:rsidR="0052248F" w:rsidRPr="00FC0FDF">
        <w:rPr>
          <w:lang w:val="fr-FR" w:eastAsia="ko-KR"/>
        </w:rPr>
        <w:t>Le projet relatif à l</w:t>
      </w:r>
      <w:r w:rsidR="00B1631C">
        <w:rPr>
          <w:lang w:val="fr-FR" w:eastAsia="ko-KR"/>
        </w:rPr>
        <w:t>’</w:t>
      </w:r>
      <w:r w:rsidR="009F0555" w:rsidRPr="00FC0FDF">
        <w:rPr>
          <w:lang w:val="fr-FR" w:eastAsia="ko-KR"/>
        </w:rPr>
        <w:t>annexe </w:t>
      </w:r>
      <w:r w:rsidR="0052248F" w:rsidRPr="00FC0FDF">
        <w:rPr>
          <w:lang w:val="fr-FR" w:eastAsia="ko-KR"/>
        </w:rPr>
        <w:t>V de la norme ST.27 est soumis à l</w:t>
      </w:r>
      <w:r w:rsidR="00B1631C">
        <w:rPr>
          <w:lang w:val="fr-FR" w:eastAsia="ko-KR"/>
        </w:rPr>
        <w:t>’</w:t>
      </w:r>
      <w:r w:rsidR="0052248F" w:rsidRPr="00FC0FDF">
        <w:rPr>
          <w:lang w:val="fr-FR" w:eastAsia="ko-KR"/>
        </w:rPr>
        <w:t>examen de la six</w:t>
      </w:r>
      <w:r w:rsidR="00B1631C">
        <w:rPr>
          <w:lang w:val="fr-FR" w:eastAsia="ko-KR"/>
        </w:rPr>
        <w:t>ième session</w:t>
      </w:r>
      <w:r w:rsidR="0052248F" w:rsidRPr="00FC0FDF">
        <w:rPr>
          <w:lang w:val="fr-FR" w:eastAsia="ko-KR"/>
        </w:rPr>
        <w:t xml:space="preserve"> du comité et sera finalisé en temps utile, </w:t>
      </w:r>
      <w:r w:rsidR="009F0555" w:rsidRPr="00FC0FDF">
        <w:rPr>
          <w:lang w:val="fr-FR" w:eastAsia="ko-KR"/>
        </w:rPr>
        <w:t>compte tenu des nouveaux</w:t>
      </w:r>
      <w:r w:rsidR="0052248F" w:rsidRPr="00FC0FDF">
        <w:rPr>
          <w:lang w:val="fr-FR" w:eastAsia="ko-KR"/>
        </w:rPr>
        <w:t xml:space="preserve"> exemples transmis par les offices de propriété intellectuelle.</w:t>
      </w:r>
      <w:r w:rsidR="00C44B9B" w:rsidRPr="00FC0FDF">
        <w:rPr>
          <w:lang w:val="fr-FR" w:eastAsia="ko-KR"/>
        </w:rPr>
        <w:t xml:space="preserve">  </w:t>
      </w:r>
      <w:r w:rsidR="0052248F" w:rsidRPr="00FC0FDF">
        <w:rPr>
          <w:lang w:val="fr-FR" w:eastAsia="ko-KR"/>
        </w:rPr>
        <w:t xml:space="preserve">Par conséquent, il est demandé au CWS </w:t>
      </w:r>
      <w:r w:rsidR="0052248F" w:rsidRPr="00FC0FDF">
        <w:rPr>
          <w:lang w:val="fr-FR" w:eastAsia="ko-KR"/>
        </w:rPr>
        <w:lastRenderedPageBreak/>
        <w:t>d</w:t>
      </w:r>
      <w:r w:rsidR="00B1631C">
        <w:rPr>
          <w:lang w:val="fr-FR" w:eastAsia="ko-KR"/>
        </w:rPr>
        <w:t>’</w:t>
      </w:r>
      <w:r w:rsidR="0052248F" w:rsidRPr="00FC0FDF">
        <w:rPr>
          <w:lang w:val="fr-FR" w:eastAsia="ko-KR"/>
        </w:rPr>
        <w:t xml:space="preserve">encourager les offices de propriété </w:t>
      </w:r>
      <w:r w:rsidR="009F0555" w:rsidRPr="00FC0FDF">
        <w:rPr>
          <w:lang w:val="fr-FR" w:eastAsia="ko-KR"/>
        </w:rPr>
        <w:t xml:space="preserve">intellectuelle </w:t>
      </w:r>
      <w:r w:rsidR="0052248F" w:rsidRPr="00FC0FDF">
        <w:rPr>
          <w:lang w:val="fr-FR" w:eastAsia="ko-KR"/>
        </w:rPr>
        <w:t xml:space="preserve">à participer </w:t>
      </w:r>
      <w:r w:rsidR="00940A18">
        <w:rPr>
          <w:lang w:val="fr-FR" w:eastAsia="ko-KR"/>
        </w:rPr>
        <w:t xml:space="preserve">à la discussion </w:t>
      </w:r>
      <w:r w:rsidR="0052248F" w:rsidRPr="00FC0FDF">
        <w:rPr>
          <w:lang w:val="fr-FR" w:eastAsia="ko-KR"/>
        </w:rPr>
        <w:t>sur le document d</w:t>
      </w:r>
      <w:r w:rsidR="00B1631C">
        <w:rPr>
          <w:lang w:val="fr-FR" w:eastAsia="ko-KR"/>
        </w:rPr>
        <w:t>’</w:t>
      </w:r>
      <w:r w:rsidR="0052248F" w:rsidRPr="00FC0FDF">
        <w:rPr>
          <w:lang w:val="fr-FR" w:eastAsia="ko-KR"/>
        </w:rPr>
        <w:t xml:space="preserve">orientation et </w:t>
      </w:r>
      <w:r w:rsidR="009F0555" w:rsidRPr="00FC0FDF">
        <w:rPr>
          <w:lang w:val="fr-FR" w:eastAsia="ko-KR"/>
        </w:rPr>
        <w:t>à</w:t>
      </w:r>
      <w:r w:rsidR="0052248F" w:rsidRPr="00FC0FDF">
        <w:rPr>
          <w:i/>
          <w:lang w:val="fr-FR" w:eastAsia="ko-KR"/>
        </w:rPr>
        <w:t xml:space="preserve"> </w:t>
      </w:r>
      <w:r w:rsidR="0052248F" w:rsidRPr="00FC0FDF">
        <w:rPr>
          <w:lang w:val="fr-FR" w:eastAsia="ko-KR"/>
        </w:rPr>
        <w:t>partager leurs données d</w:t>
      </w:r>
      <w:r w:rsidR="00B1631C">
        <w:rPr>
          <w:lang w:val="fr-FR" w:eastAsia="ko-KR"/>
        </w:rPr>
        <w:t>’</w:t>
      </w:r>
      <w:r w:rsidR="0052248F" w:rsidRPr="00FC0FDF">
        <w:rPr>
          <w:lang w:val="fr-FR" w:eastAsia="ko-KR"/>
        </w:rPr>
        <w:t>expérience sur la mise en œuvre de la norme ST.27 avec l</w:t>
      </w:r>
      <w:r w:rsidR="00B1631C">
        <w:rPr>
          <w:lang w:val="fr-FR" w:eastAsia="ko-KR"/>
        </w:rPr>
        <w:t>’</w:t>
      </w:r>
      <w:r w:rsidR="0052248F" w:rsidRPr="00FC0FDF">
        <w:rPr>
          <w:lang w:val="fr-FR" w:eastAsia="ko-KR"/>
        </w:rPr>
        <w:t>Équipe d</w:t>
      </w:r>
      <w:r w:rsidR="00B1631C">
        <w:rPr>
          <w:lang w:val="fr-FR" w:eastAsia="ko-KR"/>
        </w:rPr>
        <w:t>’</w:t>
      </w:r>
      <w:r w:rsidR="0052248F" w:rsidRPr="00FC0FDF">
        <w:rPr>
          <w:lang w:val="fr-FR" w:eastAsia="ko-KR"/>
        </w:rPr>
        <w:t>experts chargée de la situation juridique</w:t>
      </w:r>
      <w:r w:rsidR="0052248F" w:rsidRPr="00FC0FDF">
        <w:rPr>
          <w:i/>
          <w:lang w:val="fr-FR" w:eastAsia="ko-KR"/>
        </w:rPr>
        <w:t>.</w:t>
      </w:r>
    </w:p>
    <w:p w14:paraId="7019A22F" w14:textId="2148670C" w:rsidR="00D123DE" w:rsidRDefault="00C46B20" w:rsidP="00B324A8">
      <w:pPr>
        <w:pStyle w:val="ONUMFS"/>
        <w:rPr>
          <w:lang w:val="fr-FR" w:eastAsia="ko-KR"/>
        </w:rPr>
      </w:pPr>
      <w:r w:rsidRPr="00FC0FDF">
        <w:rPr>
          <w:lang w:val="fr-FR" w:eastAsia="ko-KR"/>
        </w:rPr>
        <w:t>Compte tenu de la quantité de données sur la situation juridique des brevets, de la fréquence recommandée pour l</w:t>
      </w:r>
      <w:r w:rsidR="00667BB7" w:rsidRPr="00FC0FDF">
        <w:rPr>
          <w:lang w:val="fr-FR" w:eastAsia="ko-KR"/>
        </w:rPr>
        <w:t xml:space="preserve">es </w:t>
      </w:r>
      <w:r w:rsidRPr="00FC0FDF">
        <w:rPr>
          <w:lang w:val="fr-FR" w:eastAsia="ko-KR"/>
        </w:rPr>
        <w:t>échanges de données et de la large utilisation des services Web par les offices de propriété intellectuelle, le Bureau international étudie la</w:t>
      </w:r>
      <w:r w:rsidR="00667BB7" w:rsidRPr="00FC0FDF">
        <w:rPr>
          <w:lang w:val="fr-FR" w:eastAsia="ko-KR"/>
        </w:rPr>
        <w:t xml:space="preserve"> </w:t>
      </w:r>
      <w:r w:rsidRPr="00FC0FDF">
        <w:rPr>
          <w:lang w:val="fr-FR" w:eastAsia="ko-KR"/>
        </w:rPr>
        <w:t>faisab</w:t>
      </w:r>
      <w:r w:rsidR="00667BB7" w:rsidRPr="00FC0FDF">
        <w:rPr>
          <w:lang w:val="fr-FR" w:eastAsia="ko-KR"/>
        </w:rPr>
        <w:t>ilité d</w:t>
      </w:r>
      <w:r w:rsidR="00B1631C">
        <w:rPr>
          <w:lang w:val="fr-FR" w:eastAsia="ko-KR"/>
        </w:rPr>
        <w:t>’</w:t>
      </w:r>
      <w:r w:rsidR="00667BB7" w:rsidRPr="00FC0FDF">
        <w:rPr>
          <w:lang w:val="fr-FR" w:eastAsia="ko-KR"/>
        </w:rPr>
        <w:t>une </w:t>
      </w:r>
      <w:r w:rsidRPr="00FC0FDF">
        <w:rPr>
          <w:lang w:val="fr-FR" w:eastAsia="ko-KR"/>
        </w:rPr>
        <w:t xml:space="preserve">API </w:t>
      </w:r>
      <w:r w:rsidR="00667BB7" w:rsidRPr="00FC0FDF">
        <w:rPr>
          <w:lang w:val="fr-FR" w:eastAsia="ko-KR"/>
        </w:rPr>
        <w:t xml:space="preserve">Web </w:t>
      </w:r>
      <w:r w:rsidRPr="00FC0FDF">
        <w:rPr>
          <w:lang w:val="fr-FR" w:eastAsia="ko-KR"/>
        </w:rPr>
        <w:t>commune pour l</w:t>
      </w:r>
      <w:r w:rsidR="00B1631C">
        <w:rPr>
          <w:lang w:val="fr-FR" w:eastAsia="ko-KR"/>
        </w:rPr>
        <w:t>’</w:t>
      </w:r>
      <w:r w:rsidRPr="00FC0FDF">
        <w:rPr>
          <w:lang w:val="fr-FR" w:eastAsia="ko-KR"/>
        </w:rPr>
        <w:t>échange de données sur la situation juridique des brevets en collaboration avec les offices de propriété intellectuelle.</w:t>
      </w:r>
      <w:r w:rsidR="00667BB7" w:rsidRPr="00FC0FDF">
        <w:rPr>
          <w:lang w:val="fr-FR" w:eastAsia="ko-KR"/>
        </w:rPr>
        <w:t xml:space="preserve">  Le CWS est invité à formuler des observations sur la question de savoir si l</w:t>
      </w:r>
      <w:r w:rsidR="00B1631C">
        <w:rPr>
          <w:lang w:val="fr-FR" w:eastAsia="ko-KR"/>
        </w:rPr>
        <w:t>’</w:t>
      </w:r>
      <w:r w:rsidR="00667BB7" w:rsidRPr="00FC0FDF">
        <w:rPr>
          <w:lang w:val="fr-FR" w:eastAsia="ko-KR"/>
        </w:rPr>
        <w:t>API commune serait utile pour l</w:t>
      </w:r>
      <w:r w:rsidR="00B1631C">
        <w:rPr>
          <w:lang w:val="fr-FR" w:eastAsia="ko-KR"/>
        </w:rPr>
        <w:t>’</w:t>
      </w:r>
      <w:r w:rsidR="00667BB7" w:rsidRPr="00FC0FDF">
        <w:rPr>
          <w:lang w:val="fr-FR" w:eastAsia="ko-KR"/>
        </w:rPr>
        <w:t xml:space="preserve">échange et la diffusion de données sur la </w:t>
      </w:r>
      <w:r w:rsidR="00FC0FDF">
        <w:rPr>
          <w:lang w:val="fr-FR" w:eastAsia="ko-KR"/>
        </w:rPr>
        <w:t>situation juridique des brevets.</w:t>
      </w:r>
      <w:r w:rsidR="00D123DE">
        <w:rPr>
          <w:lang w:val="fr-FR" w:eastAsia="ko-KR"/>
        </w:rPr>
        <w:br w:type="page"/>
      </w:r>
    </w:p>
    <w:p w14:paraId="385CF651" w14:textId="0F964B97" w:rsidR="00667BB7" w:rsidRPr="00B324A8" w:rsidRDefault="00667BB7" w:rsidP="00B324A8">
      <w:pPr>
        <w:pStyle w:val="ONUMFS"/>
        <w:ind w:left="5533"/>
        <w:rPr>
          <w:rStyle w:val="H3-DecisionChar"/>
          <w:i w:val="0"/>
          <w:sz w:val="22"/>
          <w:szCs w:val="22"/>
          <w:lang w:val="fr-FR"/>
        </w:rPr>
      </w:pPr>
      <w:r w:rsidRPr="00B324A8">
        <w:rPr>
          <w:i/>
          <w:lang w:val="fr-FR" w:eastAsia="ko-KR"/>
        </w:rPr>
        <w:t>Le CWS est invité</w:t>
      </w:r>
    </w:p>
    <w:p w14:paraId="27EF6F58" w14:textId="39E2732F" w:rsidR="00667BB7" w:rsidRPr="00B324A8" w:rsidRDefault="00667BB7" w:rsidP="00B324A8">
      <w:pPr>
        <w:pStyle w:val="ONUMFS"/>
        <w:numPr>
          <w:ilvl w:val="1"/>
          <w:numId w:val="16"/>
        </w:numPr>
        <w:ind w:left="5533"/>
        <w:rPr>
          <w:i/>
          <w:szCs w:val="22"/>
          <w:lang w:val="fr-FR"/>
        </w:rPr>
      </w:pPr>
      <w:r w:rsidRPr="00B324A8">
        <w:rPr>
          <w:i/>
          <w:szCs w:val="22"/>
          <w:lang w:val="fr-FR"/>
        </w:rPr>
        <w:t>à examiner le contenu du présent document et de l</w:t>
      </w:r>
      <w:r w:rsidR="00B1631C">
        <w:rPr>
          <w:i/>
          <w:szCs w:val="22"/>
          <w:lang w:val="fr-FR"/>
        </w:rPr>
        <w:t>’</w:t>
      </w:r>
      <w:r w:rsidRPr="00B324A8">
        <w:rPr>
          <w:i/>
          <w:szCs w:val="22"/>
          <w:lang w:val="fr-FR"/>
        </w:rPr>
        <w:t>annexe du document;</w:t>
      </w:r>
    </w:p>
    <w:p w14:paraId="19B641EA" w14:textId="6121F2B3" w:rsidR="00B1631C" w:rsidRDefault="00667BB7" w:rsidP="00B324A8">
      <w:pPr>
        <w:pStyle w:val="ONUMFS"/>
        <w:numPr>
          <w:ilvl w:val="1"/>
          <w:numId w:val="16"/>
        </w:numPr>
        <w:ind w:left="5533"/>
        <w:rPr>
          <w:i/>
          <w:szCs w:val="22"/>
          <w:lang w:val="fr-FR"/>
        </w:rPr>
      </w:pPr>
      <w:r w:rsidRPr="00B324A8">
        <w:rPr>
          <w:i/>
          <w:szCs w:val="22"/>
          <w:lang w:val="fr-FR"/>
        </w:rPr>
        <w:t>à examiner et approuver la version synthétique provisoire de la table de correspondance, et à demander au Secrétariat de la publier sur le site de l</w:t>
      </w:r>
      <w:r w:rsidR="00B1631C">
        <w:rPr>
          <w:i/>
          <w:szCs w:val="22"/>
          <w:lang w:val="fr-FR"/>
        </w:rPr>
        <w:t>’</w:t>
      </w:r>
      <w:r w:rsidRPr="00B324A8">
        <w:rPr>
          <w:i/>
          <w:szCs w:val="22"/>
          <w:lang w:val="fr-FR"/>
        </w:rPr>
        <w:t>OMPI</w:t>
      </w:r>
      <w:r w:rsidR="00940A18" w:rsidRPr="00B324A8">
        <w:rPr>
          <w:i/>
          <w:szCs w:val="22"/>
          <w:lang w:val="fr-FR"/>
        </w:rPr>
        <w:t xml:space="preserve"> telle qu</w:t>
      </w:r>
      <w:r w:rsidR="00B1631C">
        <w:rPr>
          <w:i/>
          <w:szCs w:val="22"/>
          <w:lang w:val="fr-FR"/>
        </w:rPr>
        <w:t>’</w:t>
      </w:r>
      <w:r w:rsidR="00940A18" w:rsidRPr="00B324A8">
        <w:rPr>
          <w:i/>
          <w:szCs w:val="22"/>
          <w:lang w:val="fr-FR"/>
        </w:rPr>
        <w:t>elle est reproduite dans l</w:t>
      </w:r>
      <w:r w:rsidR="00B1631C">
        <w:rPr>
          <w:i/>
          <w:szCs w:val="22"/>
          <w:lang w:val="fr-FR"/>
        </w:rPr>
        <w:t>’</w:t>
      </w:r>
      <w:r w:rsidR="00940A18" w:rsidRPr="00B324A8">
        <w:rPr>
          <w:i/>
          <w:szCs w:val="22"/>
          <w:lang w:val="fr-FR"/>
        </w:rPr>
        <w:t>annexe du présent document,</w:t>
      </w:r>
      <w:r w:rsidRPr="00B324A8">
        <w:rPr>
          <w:i/>
          <w:szCs w:val="22"/>
          <w:lang w:val="fr-FR"/>
        </w:rPr>
        <w:t xml:space="preserve"> </w:t>
      </w:r>
      <w:r w:rsidR="00940A18" w:rsidRPr="00B324A8">
        <w:rPr>
          <w:i/>
          <w:szCs w:val="22"/>
          <w:lang w:val="fr-FR"/>
        </w:rPr>
        <w:t>sous une forme provisoire,</w:t>
      </w:r>
    </w:p>
    <w:p w14:paraId="11657907" w14:textId="57B5BA47" w:rsidR="00667BB7" w:rsidRPr="00B324A8" w:rsidRDefault="00667BB7" w:rsidP="00B324A8">
      <w:pPr>
        <w:pStyle w:val="ONUMFS"/>
        <w:numPr>
          <w:ilvl w:val="1"/>
          <w:numId w:val="16"/>
        </w:numPr>
        <w:ind w:left="5533"/>
        <w:rPr>
          <w:i/>
          <w:szCs w:val="22"/>
          <w:lang w:val="fr-FR"/>
        </w:rPr>
      </w:pPr>
      <w:r w:rsidRPr="00B324A8">
        <w:rPr>
          <w:i/>
          <w:szCs w:val="22"/>
          <w:lang w:val="fr-FR"/>
        </w:rPr>
        <w:t>à demander aux offices de propriété intellectuelle qui n</w:t>
      </w:r>
      <w:r w:rsidR="00B1631C">
        <w:rPr>
          <w:i/>
          <w:szCs w:val="22"/>
          <w:lang w:val="fr-FR"/>
        </w:rPr>
        <w:t>’</w:t>
      </w:r>
      <w:r w:rsidRPr="00B324A8">
        <w:rPr>
          <w:i/>
          <w:szCs w:val="22"/>
          <w:lang w:val="fr-FR"/>
        </w:rPr>
        <w:t>ont pas répondu à la circulaire de communiquer leur program</w:t>
      </w:r>
      <w:r w:rsidR="00774093" w:rsidRPr="00B324A8">
        <w:rPr>
          <w:i/>
          <w:szCs w:val="22"/>
          <w:lang w:val="fr-FR"/>
        </w:rPr>
        <w:t>me de mise en œuvre de la norme </w:t>
      </w:r>
      <w:r w:rsidRPr="00B324A8">
        <w:rPr>
          <w:i/>
          <w:szCs w:val="22"/>
          <w:lang w:val="fr-FR"/>
        </w:rPr>
        <w:t>ST.27 de l</w:t>
      </w:r>
      <w:r w:rsidR="00B1631C">
        <w:rPr>
          <w:i/>
          <w:szCs w:val="22"/>
          <w:lang w:val="fr-FR"/>
        </w:rPr>
        <w:t>’</w:t>
      </w:r>
      <w:r w:rsidRPr="00B324A8">
        <w:rPr>
          <w:i/>
          <w:szCs w:val="22"/>
          <w:lang w:val="fr-FR"/>
        </w:rPr>
        <w:t>OMPI à cette session ou après celle</w:t>
      </w:r>
      <w:r w:rsidR="00B1631C">
        <w:rPr>
          <w:i/>
          <w:szCs w:val="22"/>
          <w:lang w:val="fr-FR"/>
        </w:rPr>
        <w:t>-</w:t>
      </w:r>
      <w:r w:rsidRPr="00B324A8">
        <w:rPr>
          <w:i/>
          <w:szCs w:val="22"/>
          <w:lang w:val="fr-FR"/>
        </w:rPr>
        <w:t>ci;  et</w:t>
      </w:r>
    </w:p>
    <w:p w14:paraId="55EEC292" w14:textId="2AD97E33" w:rsidR="00667BB7" w:rsidRPr="00B324A8" w:rsidRDefault="00667BB7" w:rsidP="00B324A8">
      <w:pPr>
        <w:pStyle w:val="ONUMFS"/>
        <w:numPr>
          <w:ilvl w:val="1"/>
          <w:numId w:val="16"/>
        </w:numPr>
        <w:ind w:left="5533"/>
        <w:rPr>
          <w:i/>
          <w:szCs w:val="22"/>
          <w:lang w:val="fr-FR"/>
        </w:rPr>
      </w:pPr>
      <w:r w:rsidRPr="00B324A8">
        <w:rPr>
          <w:i/>
          <w:szCs w:val="22"/>
          <w:lang w:val="fr-FR"/>
        </w:rPr>
        <w:t>à faire des observations sur la mise au point d</w:t>
      </w:r>
      <w:r w:rsidR="00B1631C">
        <w:rPr>
          <w:i/>
          <w:szCs w:val="22"/>
          <w:lang w:val="fr-FR"/>
        </w:rPr>
        <w:t>’</w:t>
      </w:r>
      <w:r w:rsidRPr="00B324A8">
        <w:rPr>
          <w:i/>
          <w:szCs w:val="22"/>
          <w:lang w:val="fr-FR"/>
        </w:rPr>
        <w:t>une API Web commune pour l</w:t>
      </w:r>
      <w:r w:rsidR="00B1631C">
        <w:rPr>
          <w:i/>
          <w:szCs w:val="22"/>
          <w:lang w:val="fr-FR"/>
        </w:rPr>
        <w:t>’</w:t>
      </w:r>
      <w:r w:rsidRPr="00B324A8">
        <w:rPr>
          <w:i/>
          <w:szCs w:val="22"/>
          <w:lang w:val="fr-FR"/>
        </w:rPr>
        <w:t>échange de données sur la situation juridique des brevets conformément à la norme ST.27, ainsi qu</w:t>
      </w:r>
      <w:r w:rsidR="00B1631C">
        <w:rPr>
          <w:i/>
          <w:szCs w:val="22"/>
          <w:lang w:val="fr-FR"/>
        </w:rPr>
        <w:t>’</w:t>
      </w:r>
      <w:r w:rsidRPr="00B324A8">
        <w:rPr>
          <w:i/>
          <w:szCs w:val="22"/>
          <w:lang w:val="fr-FR"/>
        </w:rPr>
        <w:t>il est indiqué au paragraphe</w:t>
      </w:r>
      <w:r w:rsidR="00EE13EE">
        <w:rPr>
          <w:i/>
          <w:szCs w:val="22"/>
          <w:lang w:val="fr-FR"/>
        </w:rPr>
        <w:t> </w:t>
      </w:r>
      <w:r w:rsidRPr="00B324A8">
        <w:rPr>
          <w:i/>
          <w:szCs w:val="22"/>
          <w:lang w:val="fr-FR"/>
        </w:rPr>
        <w:t>14.</w:t>
      </w:r>
    </w:p>
    <w:p w14:paraId="43AB4BCE" w14:textId="77777777" w:rsidR="00667BB7" w:rsidRPr="00FC0FDF" w:rsidRDefault="00667BB7" w:rsidP="00B324A8">
      <w:pPr>
        <w:rPr>
          <w:lang w:val="fr-FR"/>
        </w:rPr>
      </w:pPr>
    </w:p>
    <w:p w14:paraId="1D8805D7" w14:textId="77777777" w:rsidR="00667BB7" w:rsidRPr="00FC0FDF" w:rsidRDefault="00667BB7" w:rsidP="00B324A8">
      <w:pPr>
        <w:rPr>
          <w:lang w:val="fr-FR"/>
        </w:rPr>
      </w:pPr>
    </w:p>
    <w:p w14:paraId="59D44354" w14:textId="65BB6AEA" w:rsidR="00C87D82" w:rsidRDefault="00667BB7" w:rsidP="00B324A8">
      <w:pPr>
        <w:pStyle w:val="Endofdocument-Annex"/>
        <w:rPr>
          <w:lang w:val="fr-FR"/>
        </w:rPr>
      </w:pPr>
      <w:r w:rsidRPr="00FC0FDF">
        <w:rPr>
          <w:lang w:val="fr-FR"/>
        </w:rPr>
        <w:t>[L</w:t>
      </w:r>
      <w:r w:rsidR="00B1631C">
        <w:rPr>
          <w:lang w:val="fr-FR"/>
        </w:rPr>
        <w:t>’</w:t>
      </w:r>
      <w:r w:rsidRPr="00FC0FDF">
        <w:rPr>
          <w:lang w:val="fr-FR"/>
        </w:rPr>
        <w:t>annexe suit]</w:t>
      </w:r>
    </w:p>
    <w:p w14:paraId="5CD2A961" w14:textId="77777777" w:rsidR="00B324A8" w:rsidRDefault="00B324A8" w:rsidP="00B324A8">
      <w:pPr>
        <w:rPr>
          <w:lang w:val="fr-FR"/>
        </w:rPr>
      </w:pPr>
    </w:p>
    <w:p w14:paraId="3E75B397" w14:textId="77777777" w:rsidR="00B324A8" w:rsidRPr="00FC0FDF" w:rsidRDefault="00B324A8" w:rsidP="00B324A8">
      <w:pPr>
        <w:pStyle w:val="Endofdocument-Annex"/>
        <w:rPr>
          <w:lang w:val="fr-FR"/>
        </w:rPr>
        <w:sectPr w:rsidR="00B324A8" w:rsidRPr="00FC0FDF" w:rsidSect="00AC215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276" w:left="1418" w:header="510" w:footer="1021" w:gutter="0"/>
          <w:cols w:space="720"/>
          <w:titlePg/>
          <w:docGrid w:linePitch="299"/>
        </w:sectPr>
      </w:pPr>
    </w:p>
    <w:p w14:paraId="59DB1EC0" w14:textId="2D70FE1E" w:rsidR="00667BB7" w:rsidRPr="00667BB7" w:rsidRDefault="00667BB7" w:rsidP="00667BB7">
      <w:pPr>
        <w:pStyle w:val="Heading2"/>
        <w:rPr>
          <w:lang w:val="fr-FR"/>
        </w:rPr>
      </w:pPr>
      <w:r w:rsidRPr="00667BB7">
        <w:rPr>
          <w:lang w:val="fr-FR"/>
        </w:rPr>
        <w:lastRenderedPageBreak/>
        <w:t>ANNEXE</w:t>
      </w:r>
    </w:p>
    <w:p w14:paraId="4637915A" w14:textId="77777777" w:rsidR="00667BB7" w:rsidRPr="00667BB7" w:rsidRDefault="00667BB7" w:rsidP="00AA5355">
      <w:pPr>
        <w:rPr>
          <w:lang w:val="fr-FR"/>
        </w:rPr>
      </w:pPr>
    </w:p>
    <w:p w14:paraId="374C1CE2" w14:textId="7A3C95DC" w:rsidR="00B1631C" w:rsidRDefault="00667BB7" w:rsidP="00B324A8">
      <w:pPr>
        <w:rPr>
          <w:lang w:val="fr-FR"/>
        </w:rPr>
      </w:pPr>
      <w:r w:rsidRPr="00667BB7">
        <w:rPr>
          <w:lang w:val="fr-FR"/>
        </w:rPr>
        <w:t>Version synthétique des tables de correspondance</w:t>
      </w:r>
      <w:r>
        <w:rPr>
          <w:lang w:val="fr-FR"/>
        </w:rPr>
        <w:t xml:space="preserve"> entre les événements d</w:t>
      </w:r>
      <w:r w:rsidRPr="00667BB7">
        <w:rPr>
          <w:lang w:val="fr-FR"/>
        </w:rPr>
        <w:t>es offices de pro</w:t>
      </w:r>
      <w:r>
        <w:rPr>
          <w:lang w:val="fr-FR"/>
        </w:rPr>
        <w:t xml:space="preserve">priété intellectuelle et les </w:t>
      </w:r>
      <w:r w:rsidRPr="00E30674">
        <w:rPr>
          <w:rFonts w:eastAsia="Batang"/>
          <w:color w:val="000000"/>
          <w:lang w:val="fr-FR" w:eastAsia="ko-KR"/>
        </w:rPr>
        <w:t>événements définis dans la norme</w:t>
      </w:r>
      <w:r>
        <w:rPr>
          <w:lang w:val="fr-FR"/>
        </w:rPr>
        <w:t> ST.27</w:t>
      </w:r>
      <w:r w:rsidR="00B1631C">
        <w:rPr>
          <w:lang w:val="fr-FR"/>
        </w:rPr>
        <w:t> :</w:t>
      </w:r>
      <w:r w:rsidR="00EE13EE">
        <w:rPr>
          <w:lang w:val="fr-FR"/>
        </w:rPr>
        <w:t xml:space="preserve"> </w:t>
      </w:r>
      <w:hyperlink r:id="rId15" w:history="1">
        <w:r w:rsidRPr="00667BB7">
          <w:rPr>
            <w:rStyle w:val="Hyperlink"/>
            <w:lang w:val="fr-FR"/>
          </w:rPr>
          <w:t>(annex_mappingtables to ST.27)</w:t>
        </w:r>
      </w:hyperlink>
      <w:r w:rsidR="00FC0FDF">
        <w:rPr>
          <w:lang w:val="fr-FR"/>
        </w:rPr>
        <w:t>.</w:t>
      </w:r>
    </w:p>
    <w:p w14:paraId="13E676A8" w14:textId="5CF17CC3" w:rsidR="00B324A8" w:rsidRPr="00667BB7" w:rsidRDefault="00B324A8">
      <w:pPr>
        <w:pStyle w:val="Endofdocument-Annex"/>
        <w:rPr>
          <w:lang w:val="fr-FR"/>
        </w:rPr>
      </w:pPr>
    </w:p>
    <w:sectPr w:rsidR="00B324A8" w:rsidRPr="00667BB7" w:rsidSect="00C87D82">
      <w:headerReference w:type="first" r:id="rId1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9442" w14:textId="77777777" w:rsidR="00F0045D" w:rsidRDefault="00F0045D">
      <w:r>
        <w:separator/>
      </w:r>
    </w:p>
  </w:endnote>
  <w:endnote w:type="continuationSeparator" w:id="0">
    <w:p w14:paraId="18946E92" w14:textId="77777777" w:rsidR="00F0045D" w:rsidRDefault="00F0045D" w:rsidP="003B38C1">
      <w:r>
        <w:separator/>
      </w:r>
    </w:p>
    <w:p w14:paraId="11628F8A" w14:textId="77777777" w:rsidR="00F0045D" w:rsidRPr="00D123DE" w:rsidRDefault="00F0045D" w:rsidP="003B38C1">
      <w:pPr>
        <w:spacing w:after="60"/>
        <w:rPr>
          <w:sz w:val="17"/>
          <w:lang w:val="en-US"/>
        </w:rPr>
      </w:pPr>
      <w:r w:rsidRPr="00D123DE">
        <w:rPr>
          <w:sz w:val="17"/>
          <w:lang w:val="en-US"/>
        </w:rPr>
        <w:t>[Endnote continued from previous page]</w:t>
      </w:r>
    </w:p>
  </w:endnote>
  <w:endnote w:type="continuationNotice" w:id="1">
    <w:p w14:paraId="05607931" w14:textId="77777777" w:rsidR="00F0045D" w:rsidRPr="00D123DE" w:rsidRDefault="00F0045D" w:rsidP="003B38C1">
      <w:pPr>
        <w:spacing w:before="60"/>
        <w:jc w:val="right"/>
        <w:rPr>
          <w:sz w:val="17"/>
          <w:szCs w:val="17"/>
          <w:lang w:val="en-US"/>
        </w:rPr>
      </w:pPr>
      <w:r w:rsidRPr="00D123D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37ED" w14:textId="77777777" w:rsidR="00EE13EE" w:rsidRDefault="00EE1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A1B6" w14:textId="77777777" w:rsidR="00EE13EE" w:rsidRDefault="00EE1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28F5" w14:textId="77777777" w:rsidR="00EE13EE" w:rsidRDefault="00EE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7FD0E" w14:textId="77777777" w:rsidR="00F0045D" w:rsidRDefault="00F0045D">
      <w:r>
        <w:separator/>
      </w:r>
    </w:p>
  </w:footnote>
  <w:footnote w:type="continuationSeparator" w:id="0">
    <w:p w14:paraId="7C0878F1" w14:textId="77777777" w:rsidR="00F0045D" w:rsidRDefault="00F0045D" w:rsidP="008B60B2">
      <w:r>
        <w:separator/>
      </w:r>
    </w:p>
    <w:p w14:paraId="6C14AC03" w14:textId="77777777" w:rsidR="00F0045D" w:rsidRPr="00D123DE" w:rsidRDefault="00F0045D" w:rsidP="008B60B2">
      <w:pPr>
        <w:spacing w:after="60"/>
        <w:rPr>
          <w:sz w:val="17"/>
          <w:szCs w:val="17"/>
          <w:lang w:val="en-US"/>
        </w:rPr>
      </w:pPr>
      <w:r w:rsidRPr="00D123DE">
        <w:rPr>
          <w:sz w:val="17"/>
          <w:szCs w:val="17"/>
          <w:lang w:val="en-US"/>
        </w:rPr>
        <w:t>[Footnote continued from previous page]</w:t>
      </w:r>
    </w:p>
  </w:footnote>
  <w:footnote w:type="continuationNotice" w:id="1">
    <w:p w14:paraId="5C86D891" w14:textId="77777777" w:rsidR="00F0045D" w:rsidRPr="00D123DE" w:rsidRDefault="00F0045D" w:rsidP="008B60B2">
      <w:pPr>
        <w:spacing w:before="60"/>
        <w:jc w:val="right"/>
        <w:rPr>
          <w:sz w:val="17"/>
          <w:szCs w:val="17"/>
          <w:lang w:val="en-US"/>
        </w:rPr>
      </w:pPr>
      <w:r w:rsidRPr="00D123D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206C" w14:textId="77777777" w:rsidR="00EE13EE" w:rsidRDefault="00EE1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24C3" w14:textId="77777777" w:rsidR="00AC2159" w:rsidRDefault="00AC2159">
    <w:pPr>
      <w:pStyle w:val="Header"/>
      <w:jc w:val="right"/>
    </w:pPr>
    <w:r>
      <w:t>CWS/6/13</w:t>
    </w:r>
  </w:p>
  <w:p w14:paraId="571535A9" w14:textId="3A71B4C8" w:rsidR="00AC2159" w:rsidRDefault="00AC2159">
    <w:pPr>
      <w:pStyle w:val="Header"/>
      <w:jc w:val="right"/>
      <w:rPr>
        <w:noProof/>
      </w:rPr>
    </w:pPr>
    <w:r>
      <w:t xml:space="preserve">page </w:t>
    </w:r>
    <w:sdt>
      <w:sdtPr>
        <w:id w:val="20952790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84D56">
          <w:rPr>
            <w:noProof/>
          </w:rPr>
          <w:t>2</w:t>
        </w:r>
        <w:r>
          <w:rPr>
            <w:noProof/>
          </w:rPr>
          <w:fldChar w:fldCharType="end"/>
        </w:r>
      </w:sdtContent>
    </w:sdt>
  </w:p>
  <w:p w14:paraId="59168037" w14:textId="77777777" w:rsidR="00AC2159" w:rsidRDefault="00AC2159">
    <w:pPr>
      <w:pStyle w:val="Header"/>
      <w:jc w:val="right"/>
    </w:pPr>
  </w:p>
  <w:p w14:paraId="6503358C" w14:textId="77777777" w:rsidR="00F0045D" w:rsidRDefault="00F0045D" w:rsidP="004A476F">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E4C9" w14:textId="77777777" w:rsidR="00EE13EE" w:rsidRDefault="00EE13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03DF" w14:textId="64CF04DA" w:rsidR="00C87D82" w:rsidRDefault="00C87D82" w:rsidP="00C87D82">
    <w:pPr>
      <w:pStyle w:val="Header"/>
      <w:jc w:val="right"/>
      <w:rPr>
        <w:lang w:val="en-GB"/>
      </w:rPr>
    </w:pPr>
    <w:r>
      <w:rPr>
        <w:lang w:val="en-GB"/>
      </w:rPr>
      <w:t>CWS/6/13</w:t>
    </w:r>
  </w:p>
  <w:p w14:paraId="74FA0146" w14:textId="1ED4B28F" w:rsidR="00C87D82" w:rsidRDefault="00C87D82" w:rsidP="00C87D82">
    <w:pPr>
      <w:pStyle w:val="Header"/>
      <w:jc w:val="right"/>
      <w:rPr>
        <w:lang w:val="en-GB"/>
      </w:rPr>
    </w:pPr>
    <w:r>
      <w:rPr>
        <w:lang w:val="en-GB"/>
      </w:rPr>
      <w:t>ANNEX</w:t>
    </w:r>
    <w:r w:rsidR="00667BB7">
      <w:rPr>
        <w:lang w:val="en-GB"/>
      </w:rPr>
      <w:t>E</w:t>
    </w:r>
  </w:p>
  <w:p w14:paraId="54B72C35" w14:textId="28C5E5C6" w:rsidR="00C87D82" w:rsidRDefault="00C87D82" w:rsidP="00C87D82">
    <w:pPr>
      <w:pStyle w:val="Header"/>
      <w:jc w:val="right"/>
      <w:rPr>
        <w:lang w:val="en-GB"/>
      </w:rPr>
    </w:pPr>
  </w:p>
  <w:p w14:paraId="4B0CB50C" w14:textId="77777777" w:rsidR="00C87D82" w:rsidRPr="00C87D82" w:rsidRDefault="00C87D82" w:rsidP="00C87D82">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17527B"/>
    <w:multiLevelType w:val="multilevel"/>
    <w:tmpl w:val="D92E6562"/>
    <w:lvl w:ilvl="0">
      <w:start w:val="1"/>
      <w:numFmt w:val="bullet"/>
      <w:lvlText w:val=""/>
      <w:lvlJc w:val="left"/>
      <w:pPr>
        <w:tabs>
          <w:tab w:val="num" w:pos="1134"/>
        </w:tabs>
        <w:ind w:left="567" w:firstLine="0"/>
      </w:pPr>
      <w:rPr>
        <w:rFonts w:ascii="Symbol" w:hAnsi="Symbol" w:hint="default"/>
      </w:rPr>
    </w:lvl>
    <w:lvl w:ilvl="1">
      <w:start w:val="1"/>
      <w:numFmt w:val="bullet"/>
      <w:lvlText w:val=""/>
      <w:lvlJc w:val="left"/>
      <w:pPr>
        <w:tabs>
          <w:tab w:val="num" w:pos="7230"/>
        </w:tabs>
        <w:ind w:left="6663" w:firstLine="0"/>
      </w:pPr>
      <w:rPr>
        <w:rFonts w:ascii="Symbol" w:hAnsi="Symbol" w:hint="default"/>
        <w:i w:val="0"/>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93E39E9"/>
    <w:multiLevelType w:val="hybridMultilevel"/>
    <w:tmpl w:val="D988D048"/>
    <w:lvl w:ilvl="0" w:tplc="3116A28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74D28"/>
    <w:multiLevelType w:val="multilevel"/>
    <w:tmpl w:val="716CAFEC"/>
    <w:lvl w:ilvl="0">
      <w:start w:val="1"/>
      <w:numFmt w:val="bullet"/>
      <w:lvlText w:val=""/>
      <w:lvlJc w:val="left"/>
      <w:pPr>
        <w:tabs>
          <w:tab w:val="num" w:pos="1134"/>
        </w:tabs>
        <w:ind w:left="567" w:firstLine="0"/>
      </w:pPr>
      <w:rPr>
        <w:rFonts w:ascii="Symbol" w:hAnsi="Symbol" w:hint="default"/>
      </w:rPr>
    </w:lvl>
    <w:lvl w:ilvl="1">
      <w:start w:val="1"/>
      <w:numFmt w:val="bullet"/>
      <w:lvlText w:val=""/>
      <w:lvlJc w:val="left"/>
      <w:pPr>
        <w:tabs>
          <w:tab w:val="num" w:pos="7230"/>
        </w:tabs>
        <w:ind w:left="6663" w:firstLine="0"/>
      </w:pPr>
      <w:rPr>
        <w:rFonts w:ascii="Symbol" w:hAnsi="Symbol" w:hint="default"/>
        <w:i/>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711F14"/>
    <w:multiLevelType w:val="hybridMultilevel"/>
    <w:tmpl w:val="D1FC61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271367"/>
    <w:multiLevelType w:val="multilevel"/>
    <w:tmpl w:val="977E6038"/>
    <w:lvl w:ilvl="0">
      <w:start w:val="1"/>
      <w:numFmt w:val="lowerLetter"/>
      <w:lvlText w:val="%1)"/>
      <w:lvlJc w:val="left"/>
      <w:pPr>
        <w:tabs>
          <w:tab w:val="num" w:pos="1134"/>
        </w:tabs>
        <w:ind w:left="567" w:firstLine="0"/>
      </w:pPr>
      <w:rPr>
        <w:rFonts w:ascii="Arial" w:eastAsia="Batang" w:hAnsi="Arial" w:cs="Arial"/>
      </w:rPr>
    </w:lvl>
    <w:lvl w:ilvl="1">
      <w:start w:val="1"/>
      <w:numFmt w:val="bullet"/>
      <w:lvlText w:val=""/>
      <w:lvlJc w:val="left"/>
      <w:pPr>
        <w:tabs>
          <w:tab w:val="num" w:pos="7230"/>
        </w:tabs>
        <w:ind w:left="6663" w:firstLine="0"/>
      </w:pPr>
      <w:rPr>
        <w:rFonts w:ascii="Symbol" w:hAnsi="Symbol" w:hint="default"/>
        <w:i/>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11" w15:restartNumberingAfterBreak="0">
    <w:nsid w:val="526E7DF2"/>
    <w:multiLevelType w:val="multilevel"/>
    <w:tmpl w:val="E250A83E"/>
    <w:lvl w:ilvl="0">
      <w:start w:val="1"/>
      <w:numFmt w:val="decimal"/>
      <w:lvlRestart w:val="0"/>
      <w:lvlText w:val="%1."/>
      <w:lvlJc w:val="left"/>
      <w:pPr>
        <w:tabs>
          <w:tab w:val="num" w:pos="1134"/>
        </w:tabs>
        <w:ind w:left="567" w:firstLine="0"/>
      </w:pPr>
    </w:lvl>
    <w:lvl w:ilvl="1">
      <w:start w:val="1"/>
      <w:numFmt w:val="bullet"/>
      <w:lvlText w:val=""/>
      <w:lvlJc w:val="left"/>
      <w:pPr>
        <w:tabs>
          <w:tab w:val="num" w:pos="7230"/>
        </w:tabs>
        <w:ind w:left="6663" w:firstLine="0"/>
      </w:pPr>
      <w:rPr>
        <w:rFonts w:ascii="Symbol" w:hAnsi="Symbol" w:hint="default"/>
        <w:i w:val="0"/>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12" w15:restartNumberingAfterBreak="0">
    <w:nsid w:val="54D542E3"/>
    <w:multiLevelType w:val="multilevel"/>
    <w:tmpl w:val="3B2A457A"/>
    <w:lvl w:ilvl="0">
      <w:start w:val="1"/>
      <w:numFmt w:val="decimal"/>
      <w:lvlRestart w:val="0"/>
      <w:lvlText w:val="%1."/>
      <w:lvlJc w:val="left"/>
      <w:pPr>
        <w:tabs>
          <w:tab w:val="num" w:pos="567"/>
        </w:tabs>
        <w:ind w:left="0" w:firstLine="0"/>
      </w:pPr>
    </w:lvl>
    <w:lvl w:ilvl="1">
      <w:start w:val="1"/>
      <w:numFmt w:val="bullet"/>
      <w:lvlText w:val=""/>
      <w:lvlJc w:val="left"/>
      <w:pPr>
        <w:tabs>
          <w:tab w:val="num" w:pos="6663"/>
        </w:tabs>
        <w:ind w:left="6096" w:firstLine="0"/>
      </w:pPr>
      <w:rPr>
        <w:rFonts w:ascii="Symbol" w:hAnsi="Symbol" w:hint="default"/>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A876625"/>
    <w:multiLevelType w:val="multilevel"/>
    <w:tmpl w:val="BB4E2396"/>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rFonts w:hint="default"/>
        <w:i w:val="0"/>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2"/>
  </w:num>
  <w:num w:numId="8">
    <w:abstractNumId w:val="1"/>
  </w:num>
  <w:num w:numId="9">
    <w:abstractNumId w:val="13"/>
  </w:num>
  <w:num w:numId="10">
    <w:abstractNumId w:val="11"/>
  </w:num>
  <w:num w:numId="11">
    <w:abstractNumId w:val="2"/>
  </w:num>
  <w:num w:numId="12">
    <w:abstractNumId w:val="6"/>
  </w:num>
  <w:num w:numId="13">
    <w:abstractNumId w:val="10"/>
  </w:num>
  <w:num w:numId="14">
    <w:abstractNumId w:val="9"/>
  </w:num>
  <w:num w:numId="15">
    <w:abstractNumId w:val="1"/>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C41B4"/>
    <w:rsid w:val="0000352C"/>
    <w:rsid w:val="000062AC"/>
    <w:rsid w:val="000142CC"/>
    <w:rsid w:val="00016319"/>
    <w:rsid w:val="00030198"/>
    <w:rsid w:val="00043CAA"/>
    <w:rsid w:val="000532E4"/>
    <w:rsid w:val="00056248"/>
    <w:rsid w:val="00061ACE"/>
    <w:rsid w:val="00075432"/>
    <w:rsid w:val="000852CC"/>
    <w:rsid w:val="0008638A"/>
    <w:rsid w:val="000968ED"/>
    <w:rsid w:val="000C52C1"/>
    <w:rsid w:val="000D7006"/>
    <w:rsid w:val="000E39FE"/>
    <w:rsid w:val="000F5E56"/>
    <w:rsid w:val="00124341"/>
    <w:rsid w:val="001362EE"/>
    <w:rsid w:val="001367D4"/>
    <w:rsid w:val="00141F21"/>
    <w:rsid w:val="00152C98"/>
    <w:rsid w:val="001647D5"/>
    <w:rsid w:val="001753D4"/>
    <w:rsid w:val="001832A6"/>
    <w:rsid w:val="001879B8"/>
    <w:rsid w:val="001923CB"/>
    <w:rsid w:val="001971BB"/>
    <w:rsid w:val="001B3A19"/>
    <w:rsid w:val="001C2D1B"/>
    <w:rsid w:val="001C7FF7"/>
    <w:rsid w:val="001F46E6"/>
    <w:rsid w:val="001F7A6B"/>
    <w:rsid w:val="0021217E"/>
    <w:rsid w:val="002531D4"/>
    <w:rsid w:val="002634C4"/>
    <w:rsid w:val="002762AA"/>
    <w:rsid w:val="00281763"/>
    <w:rsid w:val="002928D3"/>
    <w:rsid w:val="002A06CB"/>
    <w:rsid w:val="002C41B4"/>
    <w:rsid w:val="002D6521"/>
    <w:rsid w:val="002E249E"/>
    <w:rsid w:val="002F0DE4"/>
    <w:rsid w:val="002F1FE6"/>
    <w:rsid w:val="002F2B7E"/>
    <w:rsid w:val="002F4E68"/>
    <w:rsid w:val="00312F7F"/>
    <w:rsid w:val="003266D2"/>
    <w:rsid w:val="00343095"/>
    <w:rsid w:val="00347C04"/>
    <w:rsid w:val="00361450"/>
    <w:rsid w:val="003673CF"/>
    <w:rsid w:val="003824EA"/>
    <w:rsid w:val="003845C1"/>
    <w:rsid w:val="00384D56"/>
    <w:rsid w:val="00387DEE"/>
    <w:rsid w:val="003A33DB"/>
    <w:rsid w:val="003A6F89"/>
    <w:rsid w:val="003B38C1"/>
    <w:rsid w:val="004141DF"/>
    <w:rsid w:val="00423E3E"/>
    <w:rsid w:val="004263E5"/>
    <w:rsid w:val="00427AF4"/>
    <w:rsid w:val="0043788E"/>
    <w:rsid w:val="004647DA"/>
    <w:rsid w:val="00466CD2"/>
    <w:rsid w:val="00474062"/>
    <w:rsid w:val="00477D6B"/>
    <w:rsid w:val="004937CF"/>
    <w:rsid w:val="004976F3"/>
    <w:rsid w:val="004A0B4E"/>
    <w:rsid w:val="004A476F"/>
    <w:rsid w:val="004B0E67"/>
    <w:rsid w:val="005019FF"/>
    <w:rsid w:val="0050440A"/>
    <w:rsid w:val="00515E24"/>
    <w:rsid w:val="0052248F"/>
    <w:rsid w:val="0053057A"/>
    <w:rsid w:val="00532EBD"/>
    <w:rsid w:val="00560A29"/>
    <w:rsid w:val="0056254B"/>
    <w:rsid w:val="005678F1"/>
    <w:rsid w:val="00590E83"/>
    <w:rsid w:val="00596EE4"/>
    <w:rsid w:val="005A7CBF"/>
    <w:rsid w:val="005B2F3A"/>
    <w:rsid w:val="005C113E"/>
    <w:rsid w:val="005C6649"/>
    <w:rsid w:val="00602F1D"/>
    <w:rsid w:val="00605827"/>
    <w:rsid w:val="00640D93"/>
    <w:rsid w:val="00642D44"/>
    <w:rsid w:val="00646050"/>
    <w:rsid w:val="006466A5"/>
    <w:rsid w:val="00655AE1"/>
    <w:rsid w:val="00667BB7"/>
    <w:rsid w:val="006713CA"/>
    <w:rsid w:val="00676C5C"/>
    <w:rsid w:val="0068293A"/>
    <w:rsid w:val="006A4B4F"/>
    <w:rsid w:val="006B768F"/>
    <w:rsid w:val="006D6DF6"/>
    <w:rsid w:val="006E692A"/>
    <w:rsid w:val="006F2EF8"/>
    <w:rsid w:val="006F3FD6"/>
    <w:rsid w:val="00720C84"/>
    <w:rsid w:val="00737ABE"/>
    <w:rsid w:val="00762E57"/>
    <w:rsid w:val="00771B48"/>
    <w:rsid w:val="00774093"/>
    <w:rsid w:val="007771C9"/>
    <w:rsid w:val="0079469E"/>
    <w:rsid w:val="007B0D23"/>
    <w:rsid w:val="007B3BE7"/>
    <w:rsid w:val="007C121E"/>
    <w:rsid w:val="007D1613"/>
    <w:rsid w:val="007E017B"/>
    <w:rsid w:val="007E15F6"/>
    <w:rsid w:val="007E4C0E"/>
    <w:rsid w:val="0082050F"/>
    <w:rsid w:val="00831F5C"/>
    <w:rsid w:val="00843781"/>
    <w:rsid w:val="0084453C"/>
    <w:rsid w:val="0084496E"/>
    <w:rsid w:val="00864F25"/>
    <w:rsid w:val="008B2CC1"/>
    <w:rsid w:val="008B60B2"/>
    <w:rsid w:val="008B66FE"/>
    <w:rsid w:val="008C5201"/>
    <w:rsid w:val="008D4E62"/>
    <w:rsid w:val="008D7009"/>
    <w:rsid w:val="0090731E"/>
    <w:rsid w:val="00916EE2"/>
    <w:rsid w:val="00940A18"/>
    <w:rsid w:val="00944215"/>
    <w:rsid w:val="00963082"/>
    <w:rsid w:val="00966A22"/>
    <w:rsid w:val="0096722F"/>
    <w:rsid w:val="00971882"/>
    <w:rsid w:val="00980843"/>
    <w:rsid w:val="00981161"/>
    <w:rsid w:val="0098551F"/>
    <w:rsid w:val="009A045E"/>
    <w:rsid w:val="009E2791"/>
    <w:rsid w:val="009E3F6F"/>
    <w:rsid w:val="009F0555"/>
    <w:rsid w:val="009F499F"/>
    <w:rsid w:val="00A16D02"/>
    <w:rsid w:val="00A3550A"/>
    <w:rsid w:val="00A42DAF"/>
    <w:rsid w:val="00A45BD8"/>
    <w:rsid w:val="00A53FAD"/>
    <w:rsid w:val="00A869B7"/>
    <w:rsid w:val="00A92138"/>
    <w:rsid w:val="00A93FEE"/>
    <w:rsid w:val="00AA5355"/>
    <w:rsid w:val="00AC205C"/>
    <w:rsid w:val="00AC2159"/>
    <w:rsid w:val="00AE0E7A"/>
    <w:rsid w:val="00AF0A6B"/>
    <w:rsid w:val="00B05A69"/>
    <w:rsid w:val="00B14099"/>
    <w:rsid w:val="00B1631C"/>
    <w:rsid w:val="00B324A8"/>
    <w:rsid w:val="00B42CA0"/>
    <w:rsid w:val="00B45495"/>
    <w:rsid w:val="00B6308A"/>
    <w:rsid w:val="00B66D45"/>
    <w:rsid w:val="00B8422D"/>
    <w:rsid w:val="00B9734B"/>
    <w:rsid w:val="00B97350"/>
    <w:rsid w:val="00BA30E2"/>
    <w:rsid w:val="00BB6482"/>
    <w:rsid w:val="00BF1AEE"/>
    <w:rsid w:val="00C018D6"/>
    <w:rsid w:val="00C11BFE"/>
    <w:rsid w:val="00C17C4C"/>
    <w:rsid w:val="00C32249"/>
    <w:rsid w:val="00C44B9B"/>
    <w:rsid w:val="00C46B20"/>
    <w:rsid w:val="00C5068F"/>
    <w:rsid w:val="00C66B38"/>
    <w:rsid w:val="00C70119"/>
    <w:rsid w:val="00C70AB2"/>
    <w:rsid w:val="00C71271"/>
    <w:rsid w:val="00C8405E"/>
    <w:rsid w:val="00C86D74"/>
    <w:rsid w:val="00C87D82"/>
    <w:rsid w:val="00C91AF8"/>
    <w:rsid w:val="00C97369"/>
    <w:rsid w:val="00CA26C5"/>
    <w:rsid w:val="00CC1AC6"/>
    <w:rsid w:val="00CC2F5B"/>
    <w:rsid w:val="00CD02C6"/>
    <w:rsid w:val="00CD04F1"/>
    <w:rsid w:val="00D04957"/>
    <w:rsid w:val="00D123DE"/>
    <w:rsid w:val="00D17C05"/>
    <w:rsid w:val="00D17DE1"/>
    <w:rsid w:val="00D232EC"/>
    <w:rsid w:val="00D257F6"/>
    <w:rsid w:val="00D33424"/>
    <w:rsid w:val="00D36CD6"/>
    <w:rsid w:val="00D45252"/>
    <w:rsid w:val="00D70F1C"/>
    <w:rsid w:val="00D71B4D"/>
    <w:rsid w:val="00D830F1"/>
    <w:rsid w:val="00D87274"/>
    <w:rsid w:val="00D93D55"/>
    <w:rsid w:val="00DA71C9"/>
    <w:rsid w:val="00DB0850"/>
    <w:rsid w:val="00DB4901"/>
    <w:rsid w:val="00DC1C42"/>
    <w:rsid w:val="00DC7314"/>
    <w:rsid w:val="00DD7E4E"/>
    <w:rsid w:val="00DE01CA"/>
    <w:rsid w:val="00DE7F0A"/>
    <w:rsid w:val="00E03714"/>
    <w:rsid w:val="00E1308E"/>
    <w:rsid w:val="00E15015"/>
    <w:rsid w:val="00E30674"/>
    <w:rsid w:val="00E335FE"/>
    <w:rsid w:val="00E5578A"/>
    <w:rsid w:val="00E62C4F"/>
    <w:rsid w:val="00E96CD1"/>
    <w:rsid w:val="00EA137E"/>
    <w:rsid w:val="00EC4E49"/>
    <w:rsid w:val="00ED77FB"/>
    <w:rsid w:val="00EE13EE"/>
    <w:rsid w:val="00EE45FA"/>
    <w:rsid w:val="00EE5463"/>
    <w:rsid w:val="00EE6491"/>
    <w:rsid w:val="00EF7C5B"/>
    <w:rsid w:val="00F0045D"/>
    <w:rsid w:val="00F02DDF"/>
    <w:rsid w:val="00F21683"/>
    <w:rsid w:val="00F21ACB"/>
    <w:rsid w:val="00F22038"/>
    <w:rsid w:val="00F23626"/>
    <w:rsid w:val="00F2735A"/>
    <w:rsid w:val="00F36A0C"/>
    <w:rsid w:val="00F42153"/>
    <w:rsid w:val="00F45CC2"/>
    <w:rsid w:val="00F47B4D"/>
    <w:rsid w:val="00F6364C"/>
    <w:rsid w:val="00F66152"/>
    <w:rsid w:val="00F97563"/>
    <w:rsid w:val="00FB422E"/>
    <w:rsid w:val="00FB5124"/>
    <w:rsid w:val="00FC0FDF"/>
    <w:rsid w:val="00FC37D2"/>
    <w:rsid w:val="00FC5538"/>
    <w:rsid w:val="00FC6E2F"/>
    <w:rsid w:val="00FD2015"/>
    <w:rsid w:val="00FE3B94"/>
    <w:rsid w:val="00FF0310"/>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B0579D"/>
  <w15:docId w15:val="{99ACE85F-0071-400B-855F-BAE4F1FE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A8"/>
    <w:rPr>
      <w:rFonts w:ascii="Arial" w:eastAsia="SimSun" w:hAnsi="Arial" w:cs="Arial"/>
      <w:sz w:val="22"/>
      <w:lang w:val="fr-CH" w:eastAsia="zh-CN"/>
    </w:rPr>
  </w:style>
  <w:style w:type="paragraph" w:styleId="Heading1">
    <w:name w:val="heading 1"/>
    <w:basedOn w:val="Normal"/>
    <w:next w:val="Normal"/>
    <w:qFormat/>
    <w:rsid w:val="00B324A8"/>
    <w:pPr>
      <w:keepNext/>
      <w:spacing w:before="240" w:after="60"/>
      <w:outlineLvl w:val="0"/>
    </w:pPr>
    <w:rPr>
      <w:b/>
      <w:bCs/>
      <w:caps/>
      <w:kern w:val="32"/>
      <w:szCs w:val="32"/>
    </w:rPr>
  </w:style>
  <w:style w:type="paragraph" w:styleId="Heading2">
    <w:name w:val="heading 2"/>
    <w:basedOn w:val="Normal"/>
    <w:next w:val="Normal"/>
    <w:link w:val="Heading2Char"/>
    <w:qFormat/>
    <w:rsid w:val="00B324A8"/>
    <w:pPr>
      <w:keepNext/>
      <w:spacing w:before="240" w:after="60"/>
      <w:outlineLvl w:val="1"/>
    </w:pPr>
    <w:rPr>
      <w:bCs/>
      <w:iCs/>
      <w:caps/>
      <w:szCs w:val="28"/>
    </w:rPr>
  </w:style>
  <w:style w:type="paragraph" w:styleId="Heading3">
    <w:name w:val="heading 3"/>
    <w:basedOn w:val="Normal"/>
    <w:next w:val="Normal"/>
    <w:qFormat/>
    <w:rsid w:val="00B324A8"/>
    <w:pPr>
      <w:keepNext/>
      <w:spacing w:before="240" w:after="60"/>
      <w:outlineLvl w:val="2"/>
    </w:pPr>
    <w:rPr>
      <w:bCs/>
      <w:szCs w:val="26"/>
      <w:u w:val="single"/>
    </w:rPr>
  </w:style>
  <w:style w:type="paragraph" w:styleId="Heading4">
    <w:name w:val="heading 4"/>
    <w:basedOn w:val="Normal"/>
    <w:next w:val="Normal"/>
    <w:qFormat/>
    <w:rsid w:val="00B324A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324A8"/>
    <w:pPr>
      <w:ind w:left="5534"/>
    </w:pPr>
    <w:rPr>
      <w:lang w:val="en-US"/>
    </w:rPr>
  </w:style>
  <w:style w:type="paragraph" w:styleId="BodyText">
    <w:name w:val="Body Text"/>
    <w:basedOn w:val="Normal"/>
    <w:link w:val="BodyTextChar"/>
    <w:rsid w:val="00B324A8"/>
    <w:pPr>
      <w:spacing w:after="220"/>
    </w:pPr>
  </w:style>
  <w:style w:type="paragraph" w:styleId="Caption">
    <w:name w:val="caption"/>
    <w:basedOn w:val="Normal"/>
    <w:next w:val="Normal"/>
    <w:qFormat/>
    <w:rsid w:val="00B324A8"/>
    <w:rPr>
      <w:b/>
      <w:bCs/>
      <w:sz w:val="18"/>
    </w:rPr>
  </w:style>
  <w:style w:type="paragraph" w:styleId="CommentText">
    <w:name w:val="annotation text"/>
    <w:basedOn w:val="Normal"/>
    <w:link w:val="CommentTextChar"/>
    <w:semiHidden/>
    <w:rsid w:val="00B324A8"/>
    <w:rPr>
      <w:sz w:val="18"/>
    </w:rPr>
  </w:style>
  <w:style w:type="paragraph" w:styleId="EndnoteText">
    <w:name w:val="endnote text"/>
    <w:basedOn w:val="Normal"/>
    <w:semiHidden/>
    <w:rsid w:val="00B324A8"/>
    <w:rPr>
      <w:sz w:val="18"/>
    </w:rPr>
  </w:style>
  <w:style w:type="paragraph" w:styleId="Footer">
    <w:name w:val="footer"/>
    <w:basedOn w:val="Normal"/>
    <w:semiHidden/>
    <w:rsid w:val="00B324A8"/>
    <w:pPr>
      <w:tabs>
        <w:tab w:val="center" w:pos="4320"/>
        <w:tab w:val="right" w:pos="8640"/>
      </w:tabs>
    </w:pPr>
  </w:style>
  <w:style w:type="paragraph" w:styleId="FootnoteText">
    <w:name w:val="footnote text"/>
    <w:basedOn w:val="Normal"/>
    <w:link w:val="FootnoteTextChar"/>
    <w:semiHidden/>
    <w:rsid w:val="00B324A8"/>
    <w:rPr>
      <w:sz w:val="18"/>
    </w:rPr>
  </w:style>
  <w:style w:type="paragraph" w:styleId="Header">
    <w:name w:val="header"/>
    <w:basedOn w:val="Normal"/>
    <w:link w:val="HeaderChar"/>
    <w:rsid w:val="00B324A8"/>
    <w:pPr>
      <w:tabs>
        <w:tab w:val="center" w:pos="4536"/>
        <w:tab w:val="right" w:pos="9072"/>
      </w:tabs>
    </w:pPr>
  </w:style>
  <w:style w:type="paragraph" w:styleId="ListNumber">
    <w:name w:val="List Number"/>
    <w:basedOn w:val="Normal"/>
    <w:semiHidden/>
    <w:rsid w:val="00B324A8"/>
    <w:pPr>
      <w:numPr>
        <w:numId w:val="14"/>
      </w:numPr>
    </w:pPr>
  </w:style>
  <w:style w:type="paragraph" w:customStyle="1" w:styleId="ONUME">
    <w:name w:val="ONUM E"/>
    <w:basedOn w:val="BodyText"/>
    <w:link w:val="ONUMEChar"/>
    <w:rsid w:val="00B324A8"/>
    <w:pPr>
      <w:numPr>
        <w:numId w:val="15"/>
      </w:numPr>
    </w:pPr>
  </w:style>
  <w:style w:type="paragraph" w:customStyle="1" w:styleId="ONUMFS">
    <w:name w:val="ONUM FS"/>
    <w:basedOn w:val="BodyText"/>
    <w:rsid w:val="00B324A8"/>
    <w:pPr>
      <w:numPr>
        <w:numId w:val="16"/>
      </w:numPr>
    </w:pPr>
  </w:style>
  <w:style w:type="paragraph" w:styleId="Salutation">
    <w:name w:val="Salutation"/>
    <w:basedOn w:val="Normal"/>
    <w:next w:val="Normal"/>
    <w:semiHidden/>
    <w:rsid w:val="00B324A8"/>
  </w:style>
  <w:style w:type="paragraph" w:styleId="Signature">
    <w:name w:val="Signature"/>
    <w:basedOn w:val="Normal"/>
    <w:semiHidden/>
    <w:rsid w:val="00B324A8"/>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semiHidden/>
    <w:rsid w:val="00596EE4"/>
    <w:rPr>
      <w:rFonts w:ascii="Arial" w:eastAsia="SimSun" w:hAnsi="Arial" w:cs="Arial"/>
      <w:sz w:val="18"/>
      <w:lang w:val="fr-CH"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val="fr-CH"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rsid w:val="00EA137E"/>
    <w:rPr>
      <w:rFonts w:ascii="Arial" w:eastAsia="SimSun" w:hAnsi="Arial" w:cs="Arial"/>
      <w:sz w:val="22"/>
      <w:lang w:val="fr-CH" w:eastAsia="zh-CN"/>
    </w:rPr>
  </w:style>
  <w:style w:type="paragraph" w:styleId="ListParagraph">
    <w:name w:val="List Paragraph"/>
    <w:basedOn w:val="Normal"/>
    <w:uiPriority w:val="34"/>
    <w:qFormat/>
    <w:rsid w:val="00B324A8"/>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val="fr-CH"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val="fr-CH" w:eastAsia="zh-CN"/>
    </w:rPr>
  </w:style>
  <w:style w:type="character" w:customStyle="1" w:styleId="BodyTextChar">
    <w:name w:val="Body Text Char"/>
    <w:basedOn w:val="DefaultParagraphFont"/>
    <w:link w:val="BodyText"/>
    <w:rsid w:val="001F7A6B"/>
    <w:rPr>
      <w:rFonts w:ascii="Arial" w:eastAsia="SimSun" w:hAnsi="Arial" w:cs="Arial"/>
      <w:sz w:val="22"/>
      <w:lang w:val="fr-CH" w:eastAsia="zh-CN"/>
    </w:rPr>
  </w:style>
  <w:style w:type="character" w:styleId="FollowedHyperlink">
    <w:name w:val="FollowedHyperlink"/>
    <w:basedOn w:val="DefaultParagraphFont"/>
    <w:semiHidden/>
    <w:unhideWhenUsed/>
    <w:rsid w:val="00D17DE1"/>
    <w:rPr>
      <w:color w:val="800080" w:themeColor="followedHyperlink"/>
      <w:u w:val="single"/>
    </w:rPr>
  </w:style>
  <w:style w:type="character" w:customStyle="1" w:styleId="Heading2Char">
    <w:name w:val="Heading 2 Char"/>
    <w:basedOn w:val="DefaultParagraphFont"/>
    <w:link w:val="Heading2"/>
    <w:rsid w:val="00AA5355"/>
    <w:rPr>
      <w:rFonts w:ascii="Arial" w:eastAsia="SimSun" w:hAnsi="Arial" w:cs="Arial"/>
      <w:bCs/>
      <w:iCs/>
      <w:caps/>
      <w:sz w:val="22"/>
      <w:szCs w:val="28"/>
      <w:lang w:val="fr-CH" w:eastAsia="zh-CN"/>
    </w:rPr>
  </w:style>
  <w:style w:type="paragraph" w:customStyle="1" w:styleId="Meetingplacedate">
    <w:name w:val="Meeting place &amp; date"/>
    <w:basedOn w:val="Normal"/>
    <w:next w:val="Normal"/>
    <w:rsid w:val="00B324A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324A8"/>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edocs/mdocs/classifications/en/cws_6/cws_6_13-annex1.xls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0489-FCC4-4D90-B3C7-9BDDB59A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CWS/6/13 (in French)</vt:lpstr>
    </vt:vector>
  </TitlesOfParts>
  <Company>WIPO</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CWS/6/13 (in French)</dc:title>
  <dc:subject>PROGRAMME DE MISE EN ŒUVRE DE LA NORME ST.27 DE L’OMPI PAR LES OFFICES DE PROPRIETE INTELLECTUELLE</dc:subject>
  <dc:creator>WIPO</dc:creator>
  <cp:keywords>CWS</cp:keywords>
  <cp:lastModifiedBy>DRAKE Sophie</cp:lastModifiedBy>
  <cp:revision>10</cp:revision>
  <cp:lastPrinted>2018-09-12T12:43:00Z</cp:lastPrinted>
  <dcterms:created xsi:type="dcterms:W3CDTF">2018-09-20T12:50:00Z</dcterms:created>
  <dcterms:modified xsi:type="dcterms:W3CDTF">2018-09-26T10:32:00Z</dcterms:modified>
  <cp:category>CWS (in French)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1254281593</vt:i4>
  </property>
</Properties>
</file>