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B4BBE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B4BBE" w:rsidRDefault="00EC4E49" w:rsidP="007B4BBE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B4BBE" w:rsidRDefault="00F21B34" w:rsidP="007B4BBE">
            <w:pPr>
              <w:rPr>
                <w:lang w:val="es-ES_tradnl"/>
              </w:rPr>
            </w:pPr>
            <w:r w:rsidRPr="007B4BBE">
              <w:rPr>
                <w:noProof/>
                <w:color w:val="808080"/>
                <w:lang w:val="es-CL" w:eastAsia="es-CL"/>
              </w:rPr>
              <w:drawing>
                <wp:inline distT="0" distB="0" distL="0" distR="0" wp14:anchorId="66B3529B" wp14:editId="0874EDA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B4BBE" w:rsidRDefault="00F21B34" w:rsidP="007B4BBE">
            <w:pPr>
              <w:jc w:val="right"/>
              <w:rPr>
                <w:lang w:val="es-ES_tradnl"/>
              </w:rPr>
            </w:pPr>
            <w:r w:rsidRPr="007B4BBE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7B4BB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B4BBE" w:rsidRDefault="00174929" w:rsidP="007B4BB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7B4BBE">
              <w:rPr>
                <w:rFonts w:ascii="Arial Black" w:hAnsi="Arial Black"/>
                <w:caps/>
                <w:sz w:val="15"/>
                <w:lang w:val="es-ES_tradnl"/>
              </w:rPr>
              <w:t>VA</w:t>
            </w:r>
            <w:r w:rsidR="00903948" w:rsidRPr="007B4BBE">
              <w:rPr>
                <w:rFonts w:ascii="Arial Black" w:hAnsi="Arial Black"/>
                <w:caps/>
                <w:sz w:val="15"/>
                <w:lang w:val="es-ES_tradnl"/>
              </w:rPr>
              <w:t>/CE/</w:t>
            </w:r>
            <w:r w:rsidR="00CD50B5" w:rsidRPr="007B4BBE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  <w:r w:rsidR="00903948" w:rsidRPr="007B4BBE">
              <w:rPr>
                <w:rFonts w:ascii="Arial Black" w:hAnsi="Arial Black"/>
                <w:caps/>
                <w:sz w:val="15"/>
                <w:lang w:val="es-ES_tradnl"/>
              </w:rPr>
              <w:t>/2</w:t>
            </w:r>
            <w:r w:rsidR="00F21B34" w:rsidRPr="007B4BB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8B2CC1" w:rsidRPr="007B4BB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B4BBE" w:rsidRDefault="008B2CC1" w:rsidP="007B4BB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B4BBE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21B34" w:rsidRPr="007B4BBE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Original"/>
            <w:bookmarkEnd w:id="2"/>
            <w:r w:rsidR="00F21B34" w:rsidRPr="007B4BBE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7B4BB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B4BBE" w:rsidRDefault="006754A1" w:rsidP="007B4BB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B4BBE">
              <w:rPr>
                <w:rFonts w:ascii="Arial Black" w:hAnsi="Arial Black"/>
                <w:caps/>
                <w:sz w:val="15"/>
                <w:lang w:val="es-ES_tradnl"/>
              </w:rPr>
              <w:t>fecha: 15 de marzo de 2021</w:t>
            </w:r>
          </w:p>
        </w:tc>
      </w:tr>
    </w:tbl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6754A1" w:rsidP="007B4BBE">
      <w:pPr>
        <w:rPr>
          <w:b/>
          <w:sz w:val="28"/>
          <w:szCs w:val="28"/>
          <w:lang w:val="es-ES_tradnl"/>
        </w:rPr>
      </w:pPr>
      <w:r w:rsidRPr="007B4BBE">
        <w:rPr>
          <w:b/>
          <w:sz w:val="28"/>
          <w:szCs w:val="28"/>
          <w:lang w:val="es-ES_tradnl"/>
        </w:rPr>
        <w:t>Unión Especial para la Clasificación Internacional de los elementos figurativos de las marcas (Unión de Viena)</w:t>
      </w:r>
    </w:p>
    <w:p w:rsidR="002B1710" w:rsidRPr="007B4BBE" w:rsidRDefault="002B1710" w:rsidP="007B4BBE">
      <w:pPr>
        <w:rPr>
          <w:b/>
          <w:sz w:val="28"/>
          <w:szCs w:val="28"/>
          <w:lang w:val="es-ES_tradnl"/>
        </w:rPr>
      </w:pPr>
    </w:p>
    <w:p w:rsidR="002B1710" w:rsidRPr="007B4BBE" w:rsidRDefault="006754A1" w:rsidP="007B4BBE">
      <w:pPr>
        <w:rPr>
          <w:b/>
          <w:sz w:val="28"/>
          <w:szCs w:val="28"/>
          <w:lang w:val="es-ES_tradnl"/>
        </w:rPr>
      </w:pPr>
      <w:r w:rsidRPr="007B4BBE">
        <w:rPr>
          <w:b/>
          <w:sz w:val="28"/>
          <w:szCs w:val="28"/>
          <w:lang w:val="es-ES_tradnl"/>
        </w:rPr>
        <w:t>Comité de Expertos</w:t>
      </w: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6754A1" w:rsidP="007B4BBE">
      <w:pPr>
        <w:rPr>
          <w:b/>
          <w:sz w:val="24"/>
          <w:szCs w:val="24"/>
          <w:lang w:val="es-ES_tradnl"/>
        </w:rPr>
      </w:pPr>
      <w:r w:rsidRPr="007B4BBE">
        <w:rPr>
          <w:b/>
          <w:sz w:val="24"/>
          <w:szCs w:val="24"/>
          <w:lang w:val="es-ES_tradnl"/>
        </w:rPr>
        <w:t>Octava sesión</w:t>
      </w:r>
    </w:p>
    <w:p w:rsidR="002B1710" w:rsidRPr="007B4BBE" w:rsidRDefault="006754A1" w:rsidP="007B4BBE">
      <w:pPr>
        <w:rPr>
          <w:b/>
          <w:sz w:val="24"/>
          <w:szCs w:val="24"/>
          <w:lang w:val="es-ES_tradnl"/>
        </w:rPr>
      </w:pPr>
      <w:r w:rsidRPr="007B4BBE">
        <w:rPr>
          <w:b/>
          <w:sz w:val="24"/>
          <w:szCs w:val="24"/>
          <w:lang w:val="es-ES_tradnl"/>
        </w:rPr>
        <w:t>Ginebra, 1 a 3 de febrero de 2021</w:t>
      </w: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6754A1" w:rsidP="007B4BBE">
      <w:pPr>
        <w:rPr>
          <w:caps/>
          <w:sz w:val="24"/>
          <w:lang w:val="es-ES_tradnl"/>
        </w:rPr>
      </w:pPr>
      <w:bookmarkStart w:id="3" w:name="TitleOfDoc"/>
      <w:bookmarkEnd w:id="3"/>
      <w:r w:rsidRPr="007B4BBE">
        <w:rPr>
          <w:caps/>
          <w:sz w:val="24"/>
          <w:lang w:val="es-ES_tradnl"/>
        </w:rPr>
        <w:t>Informe</w:t>
      </w: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6754A1" w:rsidP="007B4BBE">
      <w:pPr>
        <w:rPr>
          <w:i/>
          <w:lang w:val="es-ES_tradnl"/>
        </w:rPr>
      </w:pPr>
      <w:bookmarkStart w:id="4" w:name="Prepared"/>
      <w:bookmarkEnd w:id="4"/>
      <w:r w:rsidRPr="007B4BBE">
        <w:rPr>
          <w:i/>
          <w:lang w:val="es-ES_tradnl"/>
        </w:rPr>
        <w:t>aprobado por el Comité de Expertos</w:t>
      </w: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2B1710" w:rsidP="007B4BBE">
      <w:pPr>
        <w:rPr>
          <w:lang w:val="es-ES_tradnl"/>
        </w:rPr>
      </w:pPr>
    </w:p>
    <w:p w:rsidR="002B1710" w:rsidRPr="007B4BBE" w:rsidRDefault="006754A1" w:rsidP="007B4BBE">
      <w:pPr>
        <w:spacing w:after="240"/>
        <w:rPr>
          <w:b/>
          <w:lang w:val="es-ES_tradnl"/>
        </w:rPr>
      </w:pPr>
      <w:r w:rsidRPr="007B4BBE">
        <w:rPr>
          <w:b/>
          <w:lang w:val="es-ES_tradnl"/>
        </w:rPr>
        <w:t>INTRODUCCIÓN</w:t>
      </w:r>
    </w:p>
    <w:p w:rsidR="002B1710" w:rsidRPr="007B4BBE" w:rsidRDefault="00903948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B610B9" w:rsidRPr="007B4BBE">
        <w:rPr>
          <w:szCs w:val="22"/>
          <w:lang w:val="es-ES_tradnl"/>
        </w:rPr>
        <w:t xml:space="preserve">El Comité de Expertos de la Unión de Viena (en adelante, </w:t>
      </w:r>
      <w:r w:rsidR="00A87B44" w:rsidRPr="007B4BBE">
        <w:rPr>
          <w:szCs w:val="22"/>
          <w:lang w:val="es-ES_tradnl"/>
        </w:rPr>
        <w:t>“</w:t>
      </w:r>
      <w:r w:rsidR="00B610B9" w:rsidRPr="007B4BBE">
        <w:rPr>
          <w:szCs w:val="22"/>
          <w:lang w:val="es-ES_tradnl"/>
        </w:rPr>
        <w:t>Comité</w:t>
      </w:r>
      <w:r w:rsidR="00A87B44" w:rsidRPr="007B4BBE">
        <w:rPr>
          <w:szCs w:val="22"/>
          <w:lang w:val="es-ES_tradnl"/>
        </w:rPr>
        <w:t>”</w:t>
      </w:r>
      <w:r w:rsidR="00B610B9" w:rsidRPr="007B4BBE">
        <w:rPr>
          <w:szCs w:val="22"/>
          <w:lang w:val="es-ES_tradnl"/>
        </w:rPr>
        <w:t>) celebró su octava sesión en Ginebra del 1 al 3 de febrero de 2021.</w:t>
      </w:r>
      <w:r w:rsidR="00F21B34" w:rsidRPr="007B4BBE">
        <w:rPr>
          <w:szCs w:val="22"/>
          <w:lang w:val="es-ES_tradnl"/>
        </w:rPr>
        <w:t xml:space="preserve"> </w:t>
      </w:r>
      <w:r w:rsidR="00B610B9" w:rsidRPr="007B4BBE">
        <w:rPr>
          <w:szCs w:val="22"/>
          <w:lang w:val="es-ES_tradnl"/>
        </w:rPr>
        <w:t>Los siguientes miembros del Comité estuvieron representados en la sesión: Arabia Saudita, Austria, Malasia, México, Polonia, Reino Unido, República de Corea, Rumania, Suecia, Túnez, Turquía, Ucrania y Uruguay (13).</w:t>
      </w:r>
      <w:r w:rsidR="00F21B34" w:rsidRPr="007B4BBE">
        <w:rPr>
          <w:szCs w:val="22"/>
          <w:lang w:val="es-ES_tradnl"/>
        </w:rPr>
        <w:t xml:space="preserve"> </w:t>
      </w:r>
      <w:r w:rsidR="002232F1" w:rsidRPr="007B4BBE">
        <w:rPr>
          <w:szCs w:val="22"/>
          <w:lang w:val="es-ES_tradnl"/>
        </w:rPr>
        <w:t xml:space="preserve">Los siguientes Estados estuvieron representados por observadores: Alemania, Argelia, </w:t>
      </w:r>
      <w:proofErr w:type="spellStart"/>
      <w:r w:rsidR="002232F1" w:rsidRPr="007B4BBE">
        <w:rPr>
          <w:szCs w:val="22"/>
          <w:lang w:val="es-ES_tradnl"/>
        </w:rPr>
        <w:t>Belarús</w:t>
      </w:r>
      <w:proofErr w:type="spellEnd"/>
      <w:r w:rsidR="002232F1" w:rsidRPr="007B4BBE">
        <w:rPr>
          <w:szCs w:val="22"/>
          <w:lang w:val="es-ES_tradnl"/>
        </w:rPr>
        <w:t>, Colombia, España, Federación de Rusia, Filipinas, Lituania, Madagascar, Portugal, República Checa, Suiza y Tailandia (13).</w:t>
      </w:r>
      <w:r w:rsidR="00F21B34" w:rsidRPr="007B4BBE">
        <w:rPr>
          <w:szCs w:val="22"/>
          <w:lang w:val="es-ES_tradnl"/>
        </w:rPr>
        <w:t xml:space="preserve"> </w:t>
      </w:r>
      <w:r w:rsidR="002232F1" w:rsidRPr="007B4BBE">
        <w:rPr>
          <w:szCs w:val="22"/>
          <w:lang w:val="es-ES_tradnl"/>
        </w:rPr>
        <w:t>Participaron en la sesión, en calidad de observadores, representantes de la siguiente organización internacional intergubernamental: Unión Europea (UE).</w:t>
      </w:r>
      <w:r w:rsidR="00F21B34" w:rsidRPr="007B4BBE">
        <w:rPr>
          <w:szCs w:val="22"/>
          <w:lang w:val="es-ES_tradnl"/>
        </w:rPr>
        <w:t xml:space="preserve"> </w:t>
      </w:r>
      <w:r w:rsidR="002232F1" w:rsidRPr="007B4BBE">
        <w:rPr>
          <w:szCs w:val="22"/>
          <w:lang w:val="es-ES_tradnl"/>
        </w:rPr>
        <w:t xml:space="preserve">Asistieron a la sesión, en calidad de observadores, representantes de las siguientes organizaciones no gubernamentales: </w:t>
      </w:r>
      <w:r w:rsidR="002232F1" w:rsidRPr="007B4BBE">
        <w:rPr>
          <w:i/>
          <w:szCs w:val="22"/>
          <w:lang w:val="es-ES_tradnl"/>
        </w:rPr>
        <w:t xml:space="preserve">American Bar </w:t>
      </w:r>
      <w:proofErr w:type="spellStart"/>
      <w:r w:rsidR="002232F1" w:rsidRPr="007B4BBE">
        <w:rPr>
          <w:i/>
          <w:szCs w:val="22"/>
          <w:lang w:val="es-ES_tradnl"/>
        </w:rPr>
        <w:t>Association</w:t>
      </w:r>
      <w:proofErr w:type="spellEnd"/>
      <w:r w:rsidR="002232F1" w:rsidRPr="007B4BBE">
        <w:rPr>
          <w:i/>
          <w:szCs w:val="22"/>
          <w:lang w:val="es-ES_tradnl"/>
        </w:rPr>
        <w:t xml:space="preserve"> </w:t>
      </w:r>
      <w:r w:rsidR="002232F1" w:rsidRPr="007B4BBE">
        <w:rPr>
          <w:szCs w:val="22"/>
          <w:lang w:val="es-ES_tradnl"/>
        </w:rPr>
        <w:t>(ABA), Asociación Internacional para la Protección de la Propiedad Intelectual (AIPPI) y Asociación Internacional de Marcas (INTA).</w:t>
      </w:r>
      <w:r w:rsidR="00F21B34" w:rsidRPr="007B4BBE">
        <w:rPr>
          <w:szCs w:val="22"/>
          <w:lang w:val="es-ES_tradnl"/>
        </w:rPr>
        <w:t xml:space="preserve"> </w:t>
      </w:r>
      <w:r w:rsidR="002232F1" w:rsidRPr="007B4BBE">
        <w:rPr>
          <w:szCs w:val="22"/>
          <w:lang w:val="es-ES_tradnl"/>
        </w:rPr>
        <w:t>La lista de participantes figura en el Anexo I del presente informe.</w:t>
      </w:r>
    </w:p>
    <w:p w:rsidR="002B1710" w:rsidRPr="007B4BBE" w:rsidRDefault="00903948" w:rsidP="007B4BBE">
      <w:pPr>
        <w:spacing w:after="480"/>
        <w:rPr>
          <w:lang w:val="es-ES_tradnl"/>
        </w:rPr>
      </w:pPr>
      <w:r w:rsidRPr="007B4BBE">
        <w:rPr>
          <w:lang w:val="es-ES_tradnl"/>
        </w:rPr>
        <w:fldChar w:fldCharType="begin"/>
      </w:r>
      <w:r w:rsidRPr="007B4BBE">
        <w:rPr>
          <w:lang w:val="es-ES_tradnl"/>
        </w:rPr>
        <w:instrText xml:space="preserve"> AUTONUM </w:instrText>
      </w:r>
      <w:r w:rsidRPr="007B4BBE">
        <w:rPr>
          <w:lang w:val="es-ES_tradnl"/>
        </w:rPr>
        <w:fldChar w:fldCharType="end"/>
      </w:r>
      <w:r w:rsidRPr="007B4BBE">
        <w:rPr>
          <w:lang w:val="es-ES_tradnl"/>
        </w:rPr>
        <w:tab/>
      </w:r>
      <w:r w:rsidR="002232F1" w:rsidRPr="007B4BBE">
        <w:rPr>
          <w:lang w:val="es-ES_tradnl"/>
        </w:rPr>
        <w:t xml:space="preserve">La sesión fue inaugurada por el Sr. </w:t>
      </w:r>
      <w:proofErr w:type="spellStart"/>
      <w:r w:rsidR="002232F1" w:rsidRPr="007B4BBE">
        <w:rPr>
          <w:lang w:val="es-ES_tradnl"/>
        </w:rPr>
        <w:t>Daren</w:t>
      </w:r>
      <w:proofErr w:type="spellEnd"/>
      <w:r w:rsidR="002232F1" w:rsidRPr="007B4BBE">
        <w:rPr>
          <w:lang w:val="es-ES_tradnl"/>
        </w:rPr>
        <w:t xml:space="preserve"> </w:t>
      </w:r>
      <w:proofErr w:type="spellStart"/>
      <w:r w:rsidR="002232F1" w:rsidRPr="007B4BBE">
        <w:rPr>
          <w:lang w:val="es-ES_tradnl"/>
        </w:rPr>
        <w:t>Tang</w:t>
      </w:r>
      <w:proofErr w:type="spellEnd"/>
      <w:r w:rsidR="002232F1" w:rsidRPr="007B4BBE">
        <w:rPr>
          <w:lang w:val="es-ES_tradnl"/>
        </w:rPr>
        <w:t>, director general de la OMPI, quien dio la bienvenida a los participantes.</w:t>
      </w:r>
    </w:p>
    <w:p w:rsidR="002B1710" w:rsidRPr="007B4BBE" w:rsidRDefault="0004578B" w:rsidP="007B4BBE">
      <w:pPr>
        <w:keepNext/>
        <w:keepLines/>
        <w:spacing w:after="240"/>
        <w:rPr>
          <w:rFonts w:ascii="Arial Bold" w:hAnsi="Arial Bold" w:hint="eastAsia"/>
          <w:b/>
          <w:caps/>
          <w:lang w:val="es-ES_tradnl"/>
        </w:rPr>
      </w:pPr>
      <w:r w:rsidRPr="007B4BBE">
        <w:rPr>
          <w:rFonts w:ascii="Arial Bold" w:hAnsi="Arial Bold"/>
          <w:b/>
          <w:caps/>
          <w:lang w:val="es-ES_tradnl"/>
        </w:rPr>
        <w:lastRenderedPageBreak/>
        <w:t>Integrantes de la Mesa</w:t>
      </w:r>
    </w:p>
    <w:p w:rsidR="002B1710" w:rsidRPr="007B4BBE" w:rsidRDefault="00A713CD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04578B" w:rsidRPr="007B4BBE">
        <w:rPr>
          <w:szCs w:val="22"/>
          <w:lang w:val="es-ES_tradnl"/>
        </w:rPr>
        <w:t>El Comité eligió por unanimidad a la Sra. Natalie Morgan (Reino Unido) como presidenta.</w:t>
      </w:r>
    </w:p>
    <w:p w:rsidR="002B1710" w:rsidRPr="007B4BBE" w:rsidRDefault="00A713CD" w:rsidP="007B4BBE">
      <w:pPr>
        <w:spacing w:after="48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04578B" w:rsidRPr="007B4BBE">
        <w:rPr>
          <w:szCs w:val="22"/>
          <w:lang w:val="es-ES_tradnl"/>
        </w:rPr>
        <w:t xml:space="preserve">La Sra. Alison </w:t>
      </w:r>
      <w:proofErr w:type="spellStart"/>
      <w:r w:rsidR="0004578B" w:rsidRPr="007B4BBE">
        <w:rPr>
          <w:szCs w:val="22"/>
          <w:lang w:val="es-ES_tradnl"/>
        </w:rPr>
        <w:t>Züger</w:t>
      </w:r>
      <w:proofErr w:type="spellEnd"/>
      <w:r w:rsidR="0004578B" w:rsidRPr="007B4BBE">
        <w:rPr>
          <w:szCs w:val="22"/>
          <w:lang w:val="es-ES_tradnl"/>
        </w:rPr>
        <w:t xml:space="preserve"> (OMPI) desempeñó las funciones de secretaria de la sesión.</w:t>
      </w:r>
    </w:p>
    <w:p w:rsidR="002B1710" w:rsidRPr="007B4BBE" w:rsidRDefault="0004578B" w:rsidP="007B4BBE">
      <w:pPr>
        <w:spacing w:after="240"/>
        <w:rPr>
          <w:rFonts w:ascii="Arial Bold" w:hAnsi="Arial Bold" w:hint="eastAsia"/>
          <w:b/>
          <w:caps/>
          <w:lang w:val="es-ES_tradnl"/>
        </w:rPr>
      </w:pPr>
      <w:r w:rsidRPr="007B4BBE">
        <w:rPr>
          <w:rFonts w:ascii="Arial Bold" w:hAnsi="Arial Bold"/>
          <w:b/>
          <w:caps/>
          <w:lang w:val="es-ES_tradnl"/>
        </w:rPr>
        <w:t>Aprobación del orden del día</w:t>
      </w:r>
    </w:p>
    <w:p w:rsidR="002B1710" w:rsidRPr="007B4BBE" w:rsidRDefault="00A713CD" w:rsidP="007B4BBE">
      <w:pPr>
        <w:spacing w:after="480"/>
        <w:ind w:left="55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04578B" w:rsidRPr="007B4BBE">
        <w:rPr>
          <w:szCs w:val="22"/>
          <w:lang w:val="es-ES_tradnl"/>
        </w:rPr>
        <w:t>El Comité aprobó por unanimidad el orden del día, que figura en el Anexo II del presente informe.</w:t>
      </w:r>
    </w:p>
    <w:p w:rsidR="002B1710" w:rsidRPr="007B4BBE" w:rsidRDefault="0004578B" w:rsidP="007B4BBE">
      <w:pPr>
        <w:spacing w:after="240"/>
        <w:rPr>
          <w:rFonts w:ascii="Arial Bold" w:hAnsi="Arial Bold" w:hint="eastAsia"/>
          <w:b/>
          <w:caps/>
          <w:lang w:val="es-ES_tradnl"/>
        </w:rPr>
      </w:pPr>
      <w:r w:rsidRPr="007B4BBE">
        <w:rPr>
          <w:rFonts w:ascii="Arial Bold" w:hAnsi="Arial Bold"/>
          <w:b/>
          <w:caps/>
          <w:lang w:val="es-ES_tradnl"/>
        </w:rPr>
        <w:t>Debates, conclusiones y decisiones</w:t>
      </w:r>
    </w:p>
    <w:p w:rsidR="002B1710" w:rsidRPr="007B4BBE" w:rsidRDefault="00A713CD" w:rsidP="007B4BBE">
      <w:pPr>
        <w:spacing w:after="48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310770" w:rsidRPr="007B4BBE">
        <w:rPr>
          <w:szCs w:val="22"/>
          <w:lang w:val="es-ES_tradnl"/>
        </w:rPr>
        <w:t>Tal como lo decidieron los órganos rectores de la OMPI en su décima serie de reuniones, celebrada del 24 de septiembre al 2 de octubre de 1979 (véase el documento AB/X/32, párrafos 51 y 52), el informe de la presente sesión refleja únicamente las conclusiones del Comité (decisiones, recomendaciones, opiniones, etc.) y no refleja, en particular, las declaraciones hechas por cada participante, excepto en los casos en que se haya formulado o repetido una reserva en relación con alguna conclusión específica del Comité una vez alcanzada esa conclusión.</w:t>
      </w:r>
    </w:p>
    <w:p w:rsidR="002B1710" w:rsidRPr="007B4BBE" w:rsidRDefault="00310770" w:rsidP="007B4BBE">
      <w:pPr>
        <w:spacing w:after="240"/>
        <w:rPr>
          <w:b/>
          <w:szCs w:val="22"/>
          <w:lang w:val="es-ES_tradnl"/>
        </w:rPr>
      </w:pPr>
      <w:r w:rsidRPr="007B4BBE">
        <w:rPr>
          <w:b/>
          <w:szCs w:val="22"/>
          <w:lang w:val="es-ES_tradnl"/>
        </w:rPr>
        <w:t>ENTRADA EN VIGOR DE LAS DECISIONES DEL COMITÉ DE EXPERTOS</w:t>
      </w:r>
    </w:p>
    <w:p w:rsidR="002B1710" w:rsidRPr="007B4BBE" w:rsidRDefault="00A713CD" w:rsidP="007B4BBE">
      <w:pPr>
        <w:spacing w:after="240"/>
        <w:ind w:left="55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310770" w:rsidRPr="007B4BBE">
        <w:rPr>
          <w:szCs w:val="22"/>
          <w:lang w:val="es-ES_tradnl"/>
        </w:rPr>
        <w:t>El Comité convino en que las modificaciones y adiciones a la octava edición de la Clasificación de Viena entrarán en vigor el 1 de enero de 2023, lo que significa que, de conformidad con el artículo 6.1) del Acuerdo de Viena, la notificación relativa a las decisiones del Comité deberá ser enviada por la Oficina Internacional a más tardar el 1 de julio de 2022.</w:t>
      </w:r>
      <w:r w:rsidR="00F21B34" w:rsidRPr="007B4BBE">
        <w:rPr>
          <w:szCs w:val="22"/>
          <w:lang w:val="es-ES_tradnl"/>
        </w:rPr>
        <w:t xml:space="preserve"> </w:t>
      </w:r>
    </w:p>
    <w:p w:rsidR="002B1710" w:rsidRPr="007B4BBE" w:rsidRDefault="00990E1F" w:rsidP="007B4BBE">
      <w:pPr>
        <w:spacing w:after="240"/>
        <w:ind w:left="55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310770" w:rsidRPr="007B4BBE">
        <w:rPr>
          <w:szCs w:val="22"/>
          <w:lang w:val="es-ES_tradnl"/>
        </w:rPr>
        <w:t>El Comité tomó nota de que la Oficina Internacional publicará en Internet la nueva edición (novena) de la Clasificación de Viena, en inglés y francés.</w:t>
      </w:r>
      <w:r w:rsidR="00F21B34" w:rsidRPr="007B4BBE">
        <w:rPr>
          <w:szCs w:val="22"/>
          <w:lang w:val="es-ES_tradnl"/>
        </w:rPr>
        <w:t xml:space="preserve"> </w:t>
      </w:r>
      <w:r w:rsidR="00310770" w:rsidRPr="007B4BBE">
        <w:rPr>
          <w:szCs w:val="22"/>
          <w:lang w:val="es-ES_tradnl"/>
        </w:rPr>
        <w:t>No obstante, la nueva edición estará disponible en el foro electrónico en formato de Word y PDF.</w:t>
      </w:r>
    </w:p>
    <w:p w:rsidR="002B1710" w:rsidRPr="007B4BBE" w:rsidRDefault="005B31FF" w:rsidP="007B4BBE">
      <w:pPr>
        <w:spacing w:after="48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310770" w:rsidRPr="007B4BBE">
        <w:rPr>
          <w:szCs w:val="22"/>
          <w:lang w:val="es-ES_tradnl"/>
        </w:rPr>
        <w:t>El Comité invitó a la Oficina Internacional a que aprovechara la oportunidad de corregir cualquier error tipográfico o gramatical evidente que encontrara en el texto de la Clasificación.</w:t>
      </w:r>
    </w:p>
    <w:p w:rsidR="002B1710" w:rsidRPr="007B4BBE" w:rsidRDefault="00B5520E" w:rsidP="007B4BBE">
      <w:pPr>
        <w:spacing w:after="240"/>
        <w:rPr>
          <w:rFonts w:ascii="Arial Bold" w:hAnsi="Arial Bold" w:hint="eastAsia"/>
          <w:b/>
          <w:caps/>
          <w:szCs w:val="22"/>
          <w:lang w:val="es-ES_tradnl"/>
        </w:rPr>
      </w:pPr>
      <w:r w:rsidRPr="007B4BBE">
        <w:rPr>
          <w:rFonts w:ascii="Arial Bold" w:hAnsi="Arial Bold"/>
          <w:b/>
          <w:caps/>
          <w:szCs w:val="22"/>
          <w:lang w:val="es-ES_tradnl"/>
        </w:rPr>
        <w:t>Examen de las propuestas de introducción de modificaciones y adiciones en la octava edición de la Clasificación de Viena</w:t>
      </w:r>
    </w:p>
    <w:p w:rsidR="002B1710" w:rsidRPr="007B4BBE" w:rsidRDefault="000B2A59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B5520E" w:rsidRPr="007B4BBE">
        <w:rPr>
          <w:szCs w:val="22"/>
          <w:lang w:val="es-ES_tradnl"/>
        </w:rPr>
        <w:t xml:space="preserve">El debate se basó en el proyecto </w:t>
      </w:r>
      <w:hyperlink r:id="rId8" w:history="1">
        <w:r w:rsidR="00B5520E" w:rsidRPr="007B4BBE">
          <w:rPr>
            <w:rStyle w:val="Hyperlink"/>
            <w:lang w:val="es-ES_tradnl"/>
          </w:rPr>
          <w:t>VE082</w:t>
        </w:r>
      </w:hyperlink>
      <w:r w:rsidR="00B5520E" w:rsidRPr="007B4BBE">
        <w:rPr>
          <w:szCs w:val="22"/>
          <w:lang w:val="es-ES_tradnl"/>
        </w:rPr>
        <w:t xml:space="preserve">, </w:t>
      </w:r>
      <w:hyperlink r:id="rId9" w:history="1">
        <w:r w:rsidR="00B5520E" w:rsidRPr="007B4BBE">
          <w:rPr>
            <w:rStyle w:val="Hyperlink"/>
            <w:lang w:val="es-ES_tradnl"/>
          </w:rPr>
          <w:t>Anexo 1</w:t>
        </w:r>
      </w:hyperlink>
      <w:r w:rsidR="00B5520E" w:rsidRPr="007B4BBE">
        <w:rPr>
          <w:szCs w:val="22"/>
          <w:lang w:val="es-ES_tradnl"/>
        </w:rPr>
        <w:t>, en el que figura un cuadro recapitulativo de las propuestas de introducción de modificaciones y adiciones en la octava edición de la Clasificación de Viena.</w:t>
      </w:r>
    </w:p>
    <w:p w:rsidR="002B1710" w:rsidRPr="007B4BBE" w:rsidRDefault="00A713CD" w:rsidP="007B4BBE">
      <w:pPr>
        <w:spacing w:after="480"/>
        <w:ind w:left="55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 </w:instrText>
      </w:r>
      <w:r w:rsidRPr="007B4BBE">
        <w:rPr>
          <w:szCs w:val="22"/>
          <w:lang w:val="es-ES_tradnl"/>
        </w:rPr>
        <w:fldChar w:fldCharType="end"/>
      </w:r>
      <w:r w:rsidRPr="007B4BBE">
        <w:rPr>
          <w:szCs w:val="22"/>
          <w:lang w:val="es-ES_tradnl"/>
        </w:rPr>
        <w:tab/>
      </w:r>
      <w:r w:rsidR="00B5520E" w:rsidRPr="007B4BBE">
        <w:rPr>
          <w:szCs w:val="22"/>
          <w:lang w:val="es-ES_tradnl"/>
        </w:rPr>
        <w:t>El Comité aprobó una serie de modificaciones y adiciones, que figuran en el Anexo</w:t>
      </w:r>
      <w:r w:rsidR="00270388" w:rsidRPr="007B4BBE">
        <w:rPr>
          <w:szCs w:val="22"/>
          <w:lang w:val="es-ES_tradnl"/>
        </w:rPr>
        <w:t> </w:t>
      </w:r>
      <w:r w:rsidR="00B5520E" w:rsidRPr="007B4BBE">
        <w:rPr>
          <w:szCs w:val="22"/>
          <w:lang w:val="es-ES_tradnl"/>
        </w:rPr>
        <w:t>III del presente informe.</w:t>
      </w:r>
    </w:p>
    <w:p w:rsidR="002B1710" w:rsidRPr="007B4BBE" w:rsidRDefault="00B5520E" w:rsidP="007B4BBE">
      <w:pPr>
        <w:spacing w:after="240"/>
        <w:rPr>
          <w:rFonts w:ascii="Arial Bold" w:hAnsi="Arial Bold" w:hint="eastAsia"/>
          <w:b/>
          <w:caps/>
          <w:szCs w:val="22"/>
          <w:lang w:val="es-ES_tradnl"/>
        </w:rPr>
      </w:pPr>
      <w:r w:rsidRPr="007B4BBE">
        <w:rPr>
          <w:rFonts w:ascii="Arial Bold" w:hAnsi="Arial Bold"/>
          <w:b/>
          <w:caps/>
          <w:szCs w:val="22"/>
          <w:lang w:val="es-ES_tradnl"/>
        </w:rPr>
        <w:t>Herramientas informáticas relacionadas con la Clasificación de Viena</w:t>
      </w:r>
    </w:p>
    <w:p w:rsidR="002B1710" w:rsidRPr="007B4BBE" w:rsidRDefault="00F8782E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fldChar w:fldCharType="begin"/>
      </w:r>
      <w:r w:rsidRPr="007B4BBE">
        <w:rPr>
          <w:szCs w:val="22"/>
          <w:lang w:val="es-ES_tradnl"/>
        </w:rPr>
        <w:instrText xml:space="preserve"> AUTONUM </w:instrText>
      </w:r>
      <w:r w:rsidRPr="007B4BBE">
        <w:rPr>
          <w:szCs w:val="22"/>
          <w:lang w:val="es-ES_tradnl"/>
        </w:rPr>
        <w:fldChar w:fldCharType="end"/>
      </w:r>
      <w:r w:rsidR="00B64D90" w:rsidRPr="007B4BBE">
        <w:rPr>
          <w:szCs w:val="22"/>
          <w:lang w:val="es-ES_tradnl"/>
        </w:rPr>
        <w:tab/>
      </w:r>
      <w:r w:rsidR="006A6D6F" w:rsidRPr="007B4BBE">
        <w:rPr>
          <w:szCs w:val="22"/>
          <w:lang w:val="es-ES_tradnl"/>
        </w:rPr>
        <w:t>La Oficina Internacional presentó el Asistente de la Clasificación de Viena.</w:t>
      </w:r>
    </w:p>
    <w:p w:rsidR="002B1710" w:rsidRPr="007B4BBE" w:rsidRDefault="006A6D6F" w:rsidP="007B4BBE">
      <w:pPr>
        <w:spacing w:after="480"/>
        <w:rPr>
          <w:szCs w:val="22"/>
          <w:lang w:val="es-ES_tradnl"/>
        </w:rPr>
      </w:pPr>
      <w:r w:rsidRPr="007B4BBE">
        <w:rPr>
          <w:szCs w:val="22"/>
          <w:lang w:val="es-ES_tradnl"/>
        </w:rPr>
        <w:t>13.</w:t>
      </w:r>
      <w:r w:rsidRPr="007B4BBE">
        <w:rPr>
          <w:szCs w:val="22"/>
          <w:lang w:val="es-ES_tradnl"/>
        </w:rPr>
        <w:tab/>
        <w:t>Se invitó al Comité a tomar nota de la presentación.</w:t>
      </w:r>
    </w:p>
    <w:p w:rsidR="002B1710" w:rsidRPr="007B4BBE" w:rsidRDefault="00144AA0" w:rsidP="007B4BBE">
      <w:pPr>
        <w:keepNext/>
        <w:keepLines/>
        <w:spacing w:after="360"/>
        <w:rPr>
          <w:b/>
          <w:caps/>
          <w:szCs w:val="22"/>
          <w:lang w:val="es-ES_tradnl"/>
        </w:rPr>
      </w:pPr>
      <w:r w:rsidRPr="007B4BBE">
        <w:rPr>
          <w:b/>
          <w:caps/>
          <w:szCs w:val="22"/>
          <w:lang w:val="es-ES_tradnl"/>
        </w:rPr>
        <w:lastRenderedPageBreak/>
        <w:t>Evolución de la Clasificación de Viena</w:t>
      </w:r>
    </w:p>
    <w:p w:rsidR="002B1710" w:rsidRPr="007B4BBE" w:rsidRDefault="00144AA0" w:rsidP="007B4BBE">
      <w:pPr>
        <w:pStyle w:val="ListParagraph"/>
        <w:numPr>
          <w:ilvl w:val="0"/>
          <w:numId w:val="22"/>
        </w:numPr>
        <w:spacing w:after="240"/>
        <w:contextualSpacing w:val="0"/>
        <w:rPr>
          <w:b/>
          <w:color w:val="000000" w:themeColor="text1"/>
          <w:szCs w:val="22"/>
          <w:lang w:val="es-ES_tradnl"/>
        </w:rPr>
      </w:pPr>
      <w:r w:rsidRPr="007B4BBE">
        <w:rPr>
          <w:b/>
          <w:color w:val="000000" w:themeColor="text1"/>
          <w:szCs w:val="22"/>
          <w:lang w:val="es-ES_tradnl"/>
        </w:rPr>
        <w:t>RESULTADOS DEL CUESTIONARIO DE 2018</w:t>
      </w:r>
    </w:p>
    <w:p w:rsidR="002B1710" w:rsidRPr="007B4BBE" w:rsidRDefault="00144AA0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t>14.</w:t>
      </w:r>
      <w:r w:rsidRPr="007B4BBE">
        <w:rPr>
          <w:szCs w:val="22"/>
          <w:lang w:val="es-ES_tradnl"/>
        </w:rPr>
        <w:tab/>
        <w:t xml:space="preserve">El debate se basó en el proyecto </w:t>
      </w:r>
      <w:hyperlink r:id="rId10" w:history="1">
        <w:r w:rsidRPr="007B4BBE">
          <w:rPr>
            <w:rStyle w:val="Hyperlink"/>
            <w:lang w:val="es-ES_tradnl"/>
          </w:rPr>
          <w:t>QV001</w:t>
        </w:r>
      </w:hyperlink>
      <w:r w:rsidRPr="007B4BBE">
        <w:rPr>
          <w:szCs w:val="22"/>
          <w:lang w:val="es-ES_tradnl"/>
        </w:rPr>
        <w:t xml:space="preserve">, </w:t>
      </w:r>
      <w:hyperlink r:id="rId11" w:history="1">
        <w:r w:rsidRPr="007B4BBE">
          <w:rPr>
            <w:rStyle w:val="Hyperlink"/>
            <w:lang w:val="es-ES_tradnl"/>
          </w:rPr>
          <w:t>Anexo 7</w:t>
        </w:r>
      </w:hyperlink>
      <w:r w:rsidRPr="007B4BBE">
        <w:rPr>
          <w:szCs w:val="22"/>
          <w:lang w:val="es-ES_tradnl"/>
        </w:rPr>
        <w:t>, en el que figura el resultado del cuestionario de 2018 relativo a la evolución de la Clasificación de Viena.</w:t>
      </w:r>
    </w:p>
    <w:p w:rsidR="002B1710" w:rsidRPr="007B4BBE" w:rsidRDefault="00144AA0" w:rsidP="007B4BBE">
      <w:pPr>
        <w:spacing w:after="360"/>
        <w:ind w:left="567"/>
        <w:rPr>
          <w:szCs w:val="22"/>
          <w:lang w:val="es-ES_tradnl"/>
        </w:rPr>
      </w:pPr>
      <w:r w:rsidRPr="007B4BBE">
        <w:rPr>
          <w:szCs w:val="22"/>
          <w:lang w:val="es-ES_tradnl"/>
        </w:rPr>
        <w:t>15.</w:t>
      </w:r>
      <w:r w:rsidRPr="007B4BBE">
        <w:rPr>
          <w:szCs w:val="22"/>
          <w:lang w:val="es-ES_tradnl"/>
        </w:rPr>
        <w:tab/>
        <w:t>La presidenta invitó a los delegados a tomar nota de ese documento y a formular comentarios adicionales.</w:t>
      </w:r>
      <w:r w:rsidR="00A403E6" w:rsidRPr="007B4BBE">
        <w:rPr>
          <w:szCs w:val="22"/>
          <w:lang w:val="es-ES_tradnl"/>
        </w:rPr>
        <w:t xml:space="preserve"> </w:t>
      </w:r>
      <w:r w:rsidRPr="007B4BBE">
        <w:rPr>
          <w:szCs w:val="22"/>
          <w:lang w:val="es-ES_tradnl"/>
        </w:rPr>
        <w:t>No se recibieron comentarios adicionales.</w:t>
      </w:r>
    </w:p>
    <w:p w:rsidR="002B1710" w:rsidRPr="007B4BBE" w:rsidRDefault="00144AA0" w:rsidP="007B4BBE">
      <w:pPr>
        <w:pStyle w:val="ListParagraph"/>
        <w:numPr>
          <w:ilvl w:val="0"/>
          <w:numId w:val="22"/>
        </w:numPr>
        <w:spacing w:after="240"/>
        <w:contextualSpacing w:val="0"/>
        <w:rPr>
          <w:rFonts w:ascii="Arial Bold" w:hAnsi="Arial Bold" w:hint="eastAsia"/>
          <w:b/>
          <w:caps/>
          <w:color w:val="000000" w:themeColor="text1"/>
          <w:szCs w:val="22"/>
          <w:lang w:val="es-ES_tradnl"/>
        </w:rPr>
      </w:pPr>
      <w:r w:rsidRPr="007B4BBE">
        <w:rPr>
          <w:rFonts w:ascii="Arial Bold" w:hAnsi="Arial Bold"/>
          <w:b/>
          <w:caps/>
          <w:color w:val="000000" w:themeColor="text1"/>
          <w:szCs w:val="22"/>
          <w:lang w:val="es-ES_tradnl"/>
        </w:rPr>
        <w:t>Procedimientos relativos a la presentación de propuestas por medio del foro electrónico</w:t>
      </w:r>
    </w:p>
    <w:p w:rsidR="002B1710" w:rsidRPr="007B4BBE" w:rsidRDefault="00BD252C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t>16.</w:t>
      </w:r>
      <w:r w:rsidRPr="007B4BBE">
        <w:rPr>
          <w:szCs w:val="22"/>
          <w:lang w:val="es-ES_tradnl"/>
        </w:rPr>
        <w:tab/>
        <w:t xml:space="preserve">El debate se basó en el proyecto </w:t>
      </w:r>
      <w:hyperlink r:id="rId12" w:history="1">
        <w:r w:rsidRPr="007B4BBE">
          <w:rPr>
            <w:rStyle w:val="Hyperlink"/>
            <w:lang w:val="es-ES_tradnl"/>
          </w:rPr>
          <w:t>VE082</w:t>
        </w:r>
      </w:hyperlink>
      <w:r w:rsidRPr="007B4BBE">
        <w:rPr>
          <w:szCs w:val="22"/>
          <w:lang w:val="es-ES_tradnl"/>
        </w:rPr>
        <w:t xml:space="preserve">, </w:t>
      </w:r>
      <w:hyperlink r:id="rId13" w:history="1">
        <w:r w:rsidRPr="007B4BBE">
          <w:rPr>
            <w:rStyle w:val="Hyperlink"/>
            <w:lang w:val="es-ES_tradnl"/>
          </w:rPr>
          <w:t>Anexo 2</w:t>
        </w:r>
      </w:hyperlink>
      <w:r w:rsidRPr="007B4BBE">
        <w:rPr>
          <w:szCs w:val="22"/>
          <w:lang w:val="es-ES_tradnl"/>
        </w:rPr>
        <w:t>, en el que figura una propuesta de la Oficina Internacional relativa al procedimiento de presentación de propuestas de modificación de la Clasificación y a la adopción de decisiones por medios electrónicos.</w:t>
      </w:r>
      <w:r w:rsidR="00D70035" w:rsidRPr="007B4BBE">
        <w:rPr>
          <w:szCs w:val="22"/>
          <w:lang w:val="es-ES_tradnl"/>
        </w:rPr>
        <w:t xml:space="preserve"> </w:t>
      </w:r>
    </w:p>
    <w:p w:rsidR="002B1710" w:rsidRPr="007B4BBE" w:rsidRDefault="00BD252C" w:rsidP="007B4BBE">
      <w:pPr>
        <w:spacing w:after="240"/>
        <w:ind w:left="567"/>
        <w:rPr>
          <w:szCs w:val="22"/>
          <w:lang w:val="es-ES_tradnl"/>
        </w:rPr>
      </w:pPr>
      <w:r w:rsidRPr="007B4BBE">
        <w:rPr>
          <w:szCs w:val="22"/>
          <w:lang w:val="es-ES_tradnl"/>
        </w:rPr>
        <w:t>17.</w:t>
      </w:r>
      <w:r w:rsidRPr="007B4BBE">
        <w:rPr>
          <w:szCs w:val="22"/>
          <w:lang w:val="es-ES_tradnl"/>
        </w:rPr>
        <w:tab/>
        <w:t>El Comité convino en el siguiente procedimiento:</w:t>
      </w:r>
    </w:p>
    <w:p w:rsidR="002B1710" w:rsidRPr="007B4BBE" w:rsidRDefault="003F1072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0" w:hanging="562"/>
        <w:rPr>
          <w:szCs w:val="22"/>
          <w:lang w:val="es-ES_tradnl"/>
        </w:rPr>
      </w:pPr>
      <w:r w:rsidRPr="007B4BBE">
        <w:rPr>
          <w:szCs w:val="22"/>
          <w:lang w:val="es-ES_tradnl"/>
        </w:rPr>
        <w:t>La Oficina Internacional enviará una circular en la que se invitará a las Oficinas de PI de los Estados miembros de la Unión de Viena a presentar propuestas de modificación de la Clasificación en el foro electrónico.</w:t>
      </w:r>
      <w:r w:rsidR="00F21B34" w:rsidRPr="007B4BBE">
        <w:rPr>
          <w:szCs w:val="22"/>
          <w:lang w:val="es-ES_tradnl"/>
        </w:rPr>
        <w:t xml:space="preserve"> </w:t>
      </w:r>
      <w:r w:rsidRPr="007B4BBE">
        <w:rPr>
          <w:szCs w:val="22"/>
          <w:lang w:val="es-ES_tradnl"/>
        </w:rPr>
        <w:t>El plazo para la presentación de propuestas se establecerá en cuatro a cinco meses antes de la fecha de la sesión.</w:t>
      </w:r>
    </w:p>
    <w:p w:rsidR="002B1710" w:rsidRPr="007B4BBE" w:rsidRDefault="003F1072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0" w:hanging="562"/>
        <w:rPr>
          <w:szCs w:val="22"/>
          <w:lang w:val="es-ES_tradnl"/>
        </w:rPr>
      </w:pPr>
      <w:r w:rsidRPr="007B4BBE">
        <w:rPr>
          <w:szCs w:val="22"/>
          <w:lang w:val="es-ES_tradnl"/>
        </w:rPr>
        <w:t>Una vez que todas las propuestas hayan sido publicadas en el foro electrónico, la Oficina Internacional creará proyectos individuales para cada Oficina que haya presentado propuestas.</w:t>
      </w:r>
    </w:p>
    <w:p w:rsidR="002B1710" w:rsidRPr="007B4BBE" w:rsidRDefault="003F1072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0" w:hanging="562"/>
        <w:rPr>
          <w:szCs w:val="22"/>
          <w:lang w:val="es-ES_tradnl"/>
        </w:rPr>
      </w:pPr>
      <w:r w:rsidRPr="007B4BBE">
        <w:rPr>
          <w:szCs w:val="22"/>
          <w:lang w:val="es-ES_tradnl"/>
        </w:rPr>
        <w:t>El plazo para la presentación de propuestas estará seguido de un período de cuatro semanas en el que los miembros de la Unión de Viena y la Oficina Internacional podrán formular comentarios sobre las propuestas presentadas.</w:t>
      </w:r>
    </w:p>
    <w:p w:rsidR="002B1710" w:rsidRPr="007B4BBE" w:rsidRDefault="003F1072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0" w:hanging="562"/>
        <w:rPr>
          <w:szCs w:val="22"/>
          <w:lang w:val="es-ES_tradnl"/>
        </w:rPr>
      </w:pPr>
      <w:r w:rsidRPr="007B4BBE">
        <w:rPr>
          <w:szCs w:val="22"/>
          <w:lang w:val="es-ES_tradnl"/>
        </w:rPr>
        <w:t>Las Oficinas que formulen propuestas dispondrán de un plazo de dos semanas para responder a los comentarios.</w:t>
      </w:r>
      <w:r w:rsidR="00D70035" w:rsidRPr="007B4BBE">
        <w:rPr>
          <w:szCs w:val="22"/>
          <w:lang w:val="es-ES_tradnl"/>
        </w:rPr>
        <w:t xml:space="preserve"> </w:t>
      </w:r>
      <w:r w:rsidR="002B1710" w:rsidRPr="007B4BBE">
        <w:rPr>
          <w:szCs w:val="22"/>
          <w:lang w:val="es-ES_tradnl"/>
        </w:rPr>
        <w:t>Durante ese plazo, las Oficinas que presenten propuestas podrán modificar o retirar cualquiera de ellas como consecuencia de las observaciones recibidas de otras Oficinas, explicar o justificar sus propuestas o simplemente no reaccionar, en cuyo caso la Oficina Internacional considerará que se mantiene</w:t>
      </w:r>
      <w:r w:rsidR="00270388" w:rsidRPr="007B4BBE">
        <w:rPr>
          <w:szCs w:val="22"/>
          <w:lang w:val="es-ES_tradnl"/>
        </w:rPr>
        <w:t>n</w:t>
      </w:r>
      <w:r w:rsidR="002B1710" w:rsidRPr="007B4BBE">
        <w:rPr>
          <w:szCs w:val="22"/>
          <w:lang w:val="es-ES_tradnl"/>
        </w:rPr>
        <w:t xml:space="preserve"> la</w:t>
      </w:r>
      <w:r w:rsidR="00270388" w:rsidRPr="007B4BBE">
        <w:rPr>
          <w:szCs w:val="22"/>
          <w:lang w:val="es-ES_tradnl"/>
        </w:rPr>
        <w:t>s</w:t>
      </w:r>
      <w:r w:rsidR="002B1710" w:rsidRPr="007B4BBE">
        <w:rPr>
          <w:szCs w:val="22"/>
          <w:lang w:val="es-ES_tradnl"/>
        </w:rPr>
        <w:t xml:space="preserve"> propuesta</w:t>
      </w:r>
      <w:r w:rsidR="00270388" w:rsidRPr="007B4BBE">
        <w:rPr>
          <w:szCs w:val="22"/>
          <w:lang w:val="es-ES_tradnl"/>
        </w:rPr>
        <w:t>s</w:t>
      </w:r>
      <w:r w:rsidR="002B1710" w:rsidRPr="007B4BBE">
        <w:rPr>
          <w:szCs w:val="22"/>
          <w:lang w:val="es-ES_tradnl"/>
        </w:rPr>
        <w:t xml:space="preserve"> original</w:t>
      </w:r>
      <w:r w:rsidR="00270388" w:rsidRPr="007B4BBE">
        <w:rPr>
          <w:szCs w:val="22"/>
          <w:lang w:val="es-ES_tradnl"/>
        </w:rPr>
        <w:t>es</w:t>
      </w:r>
      <w:r w:rsidR="002B1710" w:rsidRPr="007B4BBE">
        <w:rPr>
          <w:szCs w:val="22"/>
          <w:lang w:val="es-ES_tradnl"/>
        </w:rPr>
        <w:t>.</w:t>
      </w:r>
      <w:r w:rsidR="00D70035" w:rsidRPr="007B4BBE">
        <w:rPr>
          <w:szCs w:val="22"/>
          <w:lang w:val="es-ES_tradnl"/>
        </w:rPr>
        <w:t xml:space="preserve"> </w:t>
      </w:r>
      <w:r w:rsidR="007652F0" w:rsidRPr="007B4BBE">
        <w:rPr>
          <w:szCs w:val="22"/>
          <w:lang w:val="es-ES_tradnl"/>
        </w:rPr>
        <w:t>Cabe señalar que durante ese período no será posible presentar nuevas propuestas, es decir, propuestas que no guard</w:t>
      </w:r>
      <w:r w:rsidR="00270388" w:rsidRPr="007B4BBE">
        <w:rPr>
          <w:szCs w:val="22"/>
          <w:lang w:val="es-ES_tradnl"/>
        </w:rPr>
        <w:t>e</w:t>
      </w:r>
      <w:r w:rsidR="007652F0" w:rsidRPr="007B4BBE">
        <w:rPr>
          <w:szCs w:val="22"/>
          <w:lang w:val="es-ES_tradnl"/>
        </w:rPr>
        <w:t>n relación con las originales.</w:t>
      </w:r>
    </w:p>
    <w:p w:rsidR="002B1710" w:rsidRPr="007B4BBE" w:rsidRDefault="007652F0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0" w:hanging="562"/>
        <w:rPr>
          <w:szCs w:val="22"/>
          <w:lang w:val="es-ES_tradnl"/>
        </w:rPr>
      </w:pPr>
      <w:r w:rsidRPr="007B4BBE">
        <w:rPr>
          <w:szCs w:val="22"/>
          <w:lang w:val="es-ES_tradnl"/>
        </w:rPr>
        <w:t>Una vez transcurrido el plazo de dos semanas mencionado en el párrafo anterior, todas las propuestas, en su forma original si se mantienen, o en su forma modificada si son modificadas por la Oficina en cuestión, se incluirán en los documentos de trabajo definitivos de la sesión y serán traducidas por la Oficina Internacional al inglés o al francés, según el idioma original de la propuesta.</w:t>
      </w:r>
      <w:r w:rsidR="00D70035" w:rsidRPr="007B4BBE">
        <w:rPr>
          <w:szCs w:val="22"/>
          <w:lang w:val="es-ES_tradnl"/>
        </w:rPr>
        <w:t xml:space="preserve"> </w:t>
      </w:r>
      <w:r w:rsidRPr="007B4BBE">
        <w:rPr>
          <w:szCs w:val="22"/>
          <w:lang w:val="es-ES_tradnl"/>
        </w:rPr>
        <w:t xml:space="preserve">De conformidad con el párrafo 5 del artículo 5 del </w:t>
      </w:r>
      <w:hyperlink r:id="rId14" w:history="1">
        <w:r w:rsidRPr="007B4BBE">
          <w:rPr>
            <w:rStyle w:val="Hyperlink"/>
            <w:lang w:val="es-ES_tradnl"/>
          </w:rPr>
          <w:t>Acuerdo de Viena</w:t>
        </w:r>
      </w:hyperlink>
      <w:r w:rsidRPr="007B4BBE">
        <w:rPr>
          <w:szCs w:val="22"/>
          <w:lang w:val="es-ES_tradnl"/>
        </w:rPr>
        <w:t>, los documentos de trabajo definitivos de la sesión debe</w:t>
      </w:r>
      <w:r w:rsidR="009F747D" w:rsidRPr="007B4BBE">
        <w:rPr>
          <w:szCs w:val="22"/>
          <w:lang w:val="es-ES_tradnl"/>
        </w:rPr>
        <w:t>rá</w:t>
      </w:r>
      <w:r w:rsidRPr="007B4BBE">
        <w:rPr>
          <w:szCs w:val="22"/>
          <w:lang w:val="es-ES_tradnl"/>
        </w:rPr>
        <w:t>n estar disponibles dos meses antes de la sesión.</w:t>
      </w:r>
    </w:p>
    <w:p w:rsidR="002B1710" w:rsidRPr="007B4BBE" w:rsidRDefault="007652F0" w:rsidP="007B4BBE">
      <w:pPr>
        <w:numPr>
          <w:ilvl w:val="1"/>
          <w:numId w:val="23"/>
        </w:numPr>
        <w:tabs>
          <w:tab w:val="clear" w:pos="1134"/>
          <w:tab w:val="num" w:pos="1701"/>
        </w:tabs>
        <w:spacing w:after="240"/>
        <w:ind w:left="1701" w:hanging="567"/>
        <w:rPr>
          <w:szCs w:val="22"/>
          <w:lang w:val="es-ES_tradnl"/>
        </w:rPr>
      </w:pPr>
      <w:r w:rsidRPr="007B4BBE">
        <w:rPr>
          <w:szCs w:val="22"/>
          <w:lang w:val="es-ES_tradnl"/>
        </w:rPr>
        <w:t xml:space="preserve">Ejemplo de calendario básico de una sesión del Comité de Expertos </w:t>
      </w:r>
      <w:r w:rsidR="009F747D" w:rsidRPr="007B4BBE">
        <w:rPr>
          <w:szCs w:val="22"/>
          <w:lang w:val="es-ES_tradnl"/>
        </w:rPr>
        <w:t xml:space="preserve">que se celebraría </w:t>
      </w:r>
      <w:r w:rsidRPr="007B4BBE">
        <w:rPr>
          <w:szCs w:val="22"/>
          <w:lang w:val="es-ES_tradnl"/>
        </w:rPr>
        <w:t>a partir del lunes 11 de noviembre de 2024:</w:t>
      </w:r>
    </w:p>
    <w:p w:rsidR="002B1710" w:rsidRPr="007B4BBE" w:rsidRDefault="007652F0" w:rsidP="007B4BBE">
      <w:pPr>
        <w:spacing w:after="120"/>
        <w:ind w:left="1701"/>
        <w:rPr>
          <w:szCs w:val="22"/>
          <w:lang w:val="es-ES_tradnl"/>
        </w:rPr>
      </w:pPr>
      <w:r w:rsidRPr="007B4BBE">
        <w:rPr>
          <w:szCs w:val="22"/>
          <w:lang w:val="es-ES_tradnl"/>
        </w:rPr>
        <w:lastRenderedPageBreak/>
        <w:t>Plazo para la presentación de propuestas en el foro electrónico: 30 de junio de 2024</w:t>
      </w:r>
    </w:p>
    <w:p w:rsidR="002B1710" w:rsidRPr="007B4BBE" w:rsidRDefault="007652F0" w:rsidP="007B4BBE">
      <w:pPr>
        <w:spacing w:after="120"/>
        <w:ind w:left="1701"/>
        <w:rPr>
          <w:szCs w:val="22"/>
          <w:lang w:val="es-ES_tradnl"/>
        </w:rPr>
      </w:pPr>
      <w:r w:rsidRPr="007B4BBE">
        <w:rPr>
          <w:szCs w:val="22"/>
          <w:lang w:val="es-ES_tradnl"/>
        </w:rPr>
        <w:t>Plazo para formular comentarios: 1 a 31 de julio de 2024</w:t>
      </w:r>
    </w:p>
    <w:p w:rsidR="002B1710" w:rsidRPr="007B4BBE" w:rsidRDefault="007652F0" w:rsidP="007B4BBE">
      <w:pPr>
        <w:spacing w:after="120"/>
        <w:ind w:left="1701"/>
        <w:rPr>
          <w:szCs w:val="22"/>
          <w:lang w:val="es-ES_tradnl"/>
        </w:rPr>
      </w:pPr>
      <w:r w:rsidRPr="007B4BBE">
        <w:rPr>
          <w:szCs w:val="22"/>
          <w:lang w:val="es-ES_tradnl"/>
        </w:rPr>
        <w:t>Plazo para reaccionar a los comentarios: 1 a 15 de agosto de 2024</w:t>
      </w:r>
    </w:p>
    <w:p w:rsidR="002B1710" w:rsidRPr="007B4BBE" w:rsidRDefault="007652F0" w:rsidP="007B4BBE">
      <w:pPr>
        <w:spacing w:after="120"/>
        <w:ind w:left="1701"/>
        <w:rPr>
          <w:szCs w:val="22"/>
          <w:lang w:val="es-ES_tradnl"/>
        </w:rPr>
      </w:pPr>
      <w:r w:rsidRPr="007B4BBE">
        <w:rPr>
          <w:szCs w:val="22"/>
          <w:lang w:val="es-ES_tradnl"/>
        </w:rPr>
        <w:t>Plazo para traducir las propuestas y preparar los documentos de trabajo finales: 16 de agosto a 6 de septiembre de 2024</w:t>
      </w:r>
    </w:p>
    <w:p w:rsidR="002B1710" w:rsidRPr="007B4BBE" w:rsidRDefault="007652F0" w:rsidP="007B4BBE">
      <w:pPr>
        <w:spacing w:after="360"/>
        <w:ind w:left="1701"/>
        <w:rPr>
          <w:szCs w:val="22"/>
          <w:lang w:val="es-ES_tradnl"/>
        </w:rPr>
      </w:pPr>
      <w:r w:rsidRPr="007B4BBE">
        <w:rPr>
          <w:szCs w:val="22"/>
          <w:lang w:val="es-ES_tradnl"/>
        </w:rPr>
        <w:t>Plazo para la publicación de los documentos de trabajo definitivos en el foro electrónico: 11 de septiembre de 2024</w:t>
      </w:r>
    </w:p>
    <w:p w:rsidR="002B1710" w:rsidRPr="007B4BBE" w:rsidRDefault="007652F0" w:rsidP="007B4BBE">
      <w:pPr>
        <w:pStyle w:val="ListParagraph"/>
        <w:numPr>
          <w:ilvl w:val="0"/>
          <w:numId w:val="22"/>
        </w:numPr>
        <w:spacing w:after="240"/>
        <w:contextualSpacing w:val="0"/>
        <w:rPr>
          <w:rFonts w:ascii="Arial Bold" w:hAnsi="Arial Bold" w:hint="eastAsia"/>
          <w:b/>
          <w:caps/>
          <w:color w:val="000000" w:themeColor="text1"/>
          <w:szCs w:val="22"/>
          <w:lang w:val="es-ES_tradnl"/>
        </w:rPr>
      </w:pPr>
      <w:r w:rsidRPr="007B4BBE">
        <w:rPr>
          <w:rFonts w:ascii="Arial Bold" w:hAnsi="Arial Bold"/>
          <w:b/>
          <w:caps/>
          <w:color w:val="000000" w:themeColor="text1"/>
          <w:szCs w:val="22"/>
          <w:lang w:val="es-ES_tradnl"/>
        </w:rPr>
        <w:t>Frecuencia de las sesiones del Comité de Expertos</w:t>
      </w:r>
    </w:p>
    <w:p w:rsidR="002B1710" w:rsidRPr="007B4BBE" w:rsidRDefault="007652F0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t>18.</w:t>
      </w:r>
      <w:r w:rsidRPr="007B4BBE">
        <w:rPr>
          <w:szCs w:val="22"/>
          <w:lang w:val="es-ES_tradnl"/>
        </w:rPr>
        <w:tab/>
        <w:t xml:space="preserve">El debate se basó en el proyecto </w:t>
      </w:r>
      <w:hyperlink r:id="rId15" w:history="1">
        <w:r w:rsidRPr="007B4BBE">
          <w:rPr>
            <w:rStyle w:val="Hyperlink"/>
            <w:lang w:val="es-ES_tradnl"/>
          </w:rPr>
          <w:t>VE082</w:t>
        </w:r>
      </w:hyperlink>
      <w:r w:rsidRPr="007B4BBE">
        <w:rPr>
          <w:szCs w:val="22"/>
          <w:lang w:val="es-ES_tradnl"/>
        </w:rPr>
        <w:t xml:space="preserve">, </w:t>
      </w:r>
      <w:hyperlink r:id="rId16" w:history="1">
        <w:r w:rsidRPr="007B4BBE">
          <w:rPr>
            <w:rStyle w:val="Hyperlink"/>
            <w:lang w:val="es-ES_tradnl"/>
          </w:rPr>
          <w:t>Anexo 3</w:t>
        </w:r>
      </w:hyperlink>
      <w:r w:rsidRPr="007B4BBE">
        <w:rPr>
          <w:szCs w:val="22"/>
          <w:lang w:val="es-ES_tradnl"/>
        </w:rPr>
        <w:t>, relativo a la periodicidad de las sesiones del Comité de Expertos.</w:t>
      </w:r>
    </w:p>
    <w:p w:rsidR="002B1710" w:rsidRPr="007B4BBE" w:rsidRDefault="006824AC" w:rsidP="007B4BBE">
      <w:pPr>
        <w:spacing w:after="480"/>
        <w:ind w:left="567"/>
        <w:rPr>
          <w:szCs w:val="22"/>
          <w:lang w:val="es-ES_tradnl"/>
        </w:rPr>
      </w:pPr>
      <w:r w:rsidRPr="007B4BBE">
        <w:rPr>
          <w:szCs w:val="22"/>
          <w:lang w:val="es-ES_tradnl"/>
        </w:rPr>
        <w:t>19.</w:t>
      </w:r>
      <w:r w:rsidRPr="007B4BBE">
        <w:rPr>
          <w:szCs w:val="22"/>
          <w:lang w:val="es-ES_tradnl"/>
        </w:rPr>
        <w:tab/>
        <w:t>El Comité acordó celebrar su próxima sesión, en principio, en un plazo de tres años, dejando abierta la posibilidad de modificar la periodicidad de las sesiones si fuera necesario.</w:t>
      </w:r>
    </w:p>
    <w:p w:rsidR="002B1710" w:rsidRPr="007B4BBE" w:rsidRDefault="006824AC" w:rsidP="007B4BBE">
      <w:pPr>
        <w:spacing w:after="240"/>
        <w:rPr>
          <w:b/>
          <w:caps/>
          <w:szCs w:val="22"/>
          <w:lang w:val="es-ES_tradnl"/>
        </w:rPr>
      </w:pPr>
      <w:r w:rsidRPr="007B4BBE">
        <w:rPr>
          <w:b/>
          <w:caps/>
          <w:szCs w:val="22"/>
          <w:lang w:val="es-ES_tradnl"/>
        </w:rPr>
        <w:t>Próxima sesión del Comité de Expertos</w:t>
      </w:r>
    </w:p>
    <w:p w:rsidR="002B1710" w:rsidRPr="007B4BBE" w:rsidRDefault="006824AC" w:rsidP="007B4BBE">
      <w:pPr>
        <w:spacing w:after="480"/>
        <w:ind w:left="550"/>
        <w:rPr>
          <w:szCs w:val="22"/>
          <w:lang w:val="es-ES_tradnl"/>
        </w:rPr>
      </w:pPr>
      <w:r w:rsidRPr="007B4BBE">
        <w:rPr>
          <w:szCs w:val="22"/>
          <w:lang w:val="es-ES_tradnl"/>
        </w:rPr>
        <w:t>20.</w:t>
      </w:r>
      <w:r w:rsidRPr="007B4BBE">
        <w:rPr>
          <w:szCs w:val="22"/>
          <w:lang w:val="es-ES_tradnl"/>
        </w:rPr>
        <w:tab/>
        <w:t>El Comité acordó que la próxima (novena) sesión se celebraría durante el segundo semestre de 2024.</w:t>
      </w:r>
    </w:p>
    <w:p w:rsidR="002B1710" w:rsidRPr="007B4BBE" w:rsidRDefault="006824AC" w:rsidP="007B4BBE">
      <w:pPr>
        <w:spacing w:after="240"/>
        <w:rPr>
          <w:b/>
          <w:caps/>
          <w:szCs w:val="22"/>
          <w:lang w:val="es-ES_tradnl"/>
        </w:rPr>
      </w:pPr>
      <w:r w:rsidRPr="007B4BBE">
        <w:rPr>
          <w:b/>
          <w:caps/>
          <w:szCs w:val="22"/>
          <w:lang w:val="es-ES_tradnl"/>
        </w:rPr>
        <w:t>Clausura de la sesión</w:t>
      </w:r>
    </w:p>
    <w:p w:rsidR="002B1710" w:rsidRPr="007B4BBE" w:rsidRDefault="006824AC" w:rsidP="007B4BBE">
      <w:pPr>
        <w:spacing w:after="240"/>
        <w:rPr>
          <w:szCs w:val="22"/>
          <w:lang w:val="es-ES_tradnl"/>
        </w:rPr>
      </w:pPr>
      <w:r w:rsidRPr="007B4BBE">
        <w:rPr>
          <w:szCs w:val="22"/>
          <w:lang w:val="es-ES_tradnl"/>
        </w:rPr>
        <w:t>21.</w:t>
      </w:r>
      <w:r w:rsidRPr="007B4BBE">
        <w:rPr>
          <w:szCs w:val="22"/>
          <w:lang w:val="es-ES_tradnl"/>
        </w:rPr>
        <w:tab/>
        <w:t>La presidenta clausuró la sesión.</w:t>
      </w:r>
    </w:p>
    <w:p w:rsidR="002B1710" w:rsidRPr="007B4BBE" w:rsidRDefault="006824AC" w:rsidP="007B4BBE">
      <w:pPr>
        <w:pStyle w:val="Endofdocument"/>
        <w:spacing w:after="600" w:line="240" w:lineRule="auto"/>
        <w:ind w:right="-142"/>
        <w:contextualSpacing w:val="0"/>
        <w:rPr>
          <w:i/>
          <w:sz w:val="22"/>
          <w:szCs w:val="22"/>
          <w:lang w:val="es-ES_tradnl"/>
        </w:rPr>
      </w:pPr>
      <w:r w:rsidRPr="007B4BBE">
        <w:rPr>
          <w:i/>
          <w:sz w:val="22"/>
          <w:szCs w:val="22"/>
          <w:lang w:val="es-ES_tradnl"/>
        </w:rPr>
        <w:t>22.</w:t>
      </w:r>
      <w:r w:rsidRPr="007B4BBE">
        <w:rPr>
          <w:i/>
          <w:sz w:val="22"/>
          <w:szCs w:val="22"/>
          <w:lang w:val="es-ES_tradnl"/>
        </w:rPr>
        <w:tab/>
        <w:t>El Comité de Expertos aprobó por unanimidad el presente informe, por medios electrónicos, el 15 de marzo de 2021.</w:t>
      </w:r>
    </w:p>
    <w:p w:rsidR="00A713CD" w:rsidRPr="007B4BBE" w:rsidRDefault="006824AC" w:rsidP="007B4BBE">
      <w:pPr>
        <w:pStyle w:val="Endofdocument"/>
        <w:spacing w:line="240" w:lineRule="auto"/>
        <w:contextualSpacing w:val="0"/>
        <w:rPr>
          <w:sz w:val="22"/>
          <w:szCs w:val="22"/>
          <w:lang w:val="es-ES_tradnl"/>
        </w:rPr>
      </w:pPr>
      <w:r w:rsidRPr="007B4BBE">
        <w:rPr>
          <w:sz w:val="22"/>
          <w:szCs w:val="22"/>
          <w:lang w:val="es-ES_tradnl"/>
        </w:rPr>
        <w:t>[Siguen los Anexos]</w:t>
      </w:r>
    </w:p>
    <w:sectPr w:rsidR="00A713CD" w:rsidRPr="007B4BBE" w:rsidSect="00F031EB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3F" w:rsidRDefault="00A95D3F">
      <w:r>
        <w:separator/>
      </w:r>
    </w:p>
  </w:endnote>
  <w:endnote w:type="continuationSeparator" w:id="0">
    <w:p w:rsidR="00A95D3F" w:rsidRDefault="00A95D3F" w:rsidP="003B38C1">
      <w:r>
        <w:separator/>
      </w:r>
    </w:p>
    <w:p w:rsidR="00A95D3F" w:rsidRPr="003B38C1" w:rsidRDefault="00A95D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5D3F" w:rsidRPr="003B38C1" w:rsidRDefault="00A95D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B" w:rsidRDefault="00F031EB" w:rsidP="00F031E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EB" w:rsidRDefault="00F031EB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F031EB" w:rsidRDefault="00F031EB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5B" w:rsidRDefault="00CD215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EB" w:rsidRDefault="00F031EB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F031EB" w:rsidRDefault="00F031EB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84" w:rsidRDefault="00CD215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70252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02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EB" w:rsidRDefault="00F031EB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5.55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F031EB" w:rsidRDefault="00F031EB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3F" w:rsidRDefault="00A95D3F">
      <w:r>
        <w:separator/>
      </w:r>
    </w:p>
  </w:footnote>
  <w:footnote w:type="continuationSeparator" w:id="0">
    <w:p w:rsidR="00A95D3F" w:rsidRDefault="00A95D3F" w:rsidP="008B60B2">
      <w:r>
        <w:separator/>
      </w:r>
    </w:p>
    <w:p w:rsidR="00A95D3F" w:rsidRPr="00ED77FB" w:rsidRDefault="00A95D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5D3F" w:rsidRPr="00ED77FB" w:rsidRDefault="00A95D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EB" w:rsidRPr="007B4BBE" w:rsidRDefault="00F031EB" w:rsidP="00F031EB">
    <w:pPr>
      <w:jc w:val="right"/>
      <w:rPr>
        <w:lang w:val="es-ES_tradnl"/>
      </w:rPr>
    </w:pPr>
    <w:r w:rsidRPr="007B4BBE">
      <w:rPr>
        <w:lang w:val="es-ES_tradnl"/>
      </w:rPr>
      <w:t>VA/CE/</w:t>
    </w:r>
    <w:r w:rsidR="00157D85" w:rsidRPr="007B4BBE">
      <w:rPr>
        <w:lang w:val="es-ES_tradnl"/>
      </w:rPr>
      <w:t>8</w:t>
    </w:r>
    <w:r w:rsidRPr="007B4BBE">
      <w:rPr>
        <w:lang w:val="es-ES_tradnl"/>
      </w:rPr>
      <w:t>/2</w:t>
    </w:r>
  </w:p>
  <w:p w:rsidR="00F031EB" w:rsidRPr="007B4BBE" w:rsidRDefault="00F031EB" w:rsidP="00F031EB">
    <w:pPr>
      <w:jc w:val="right"/>
      <w:rPr>
        <w:lang w:val="es-ES_tradnl"/>
      </w:rPr>
    </w:pPr>
    <w:r w:rsidRPr="007B4BBE">
      <w:rPr>
        <w:lang w:val="es-ES_tradnl"/>
      </w:rPr>
      <w:t>p</w:t>
    </w:r>
    <w:r w:rsidR="006824AC" w:rsidRPr="007B4BBE">
      <w:rPr>
        <w:lang w:val="es-ES_tradnl"/>
      </w:rPr>
      <w:t>ágina</w:t>
    </w:r>
    <w:r w:rsidRPr="007B4BBE">
      <w:rPr>
        <w:lang w:val="es-ES_tradnl"/>
      </w:rPr>
      <w:t xml:space="preserve"> </w:t>
    </w:r>
    <w:r w:rsidRPr="007B4BBE">
      <w:rPr>
        <w:lang w:val="es-ES_tradnl"/>
      </w:rPr>
      <w:fldChar w:fldCharType="begin"/>
    </w:r>
    <w:r w:rsidRPr="007B4BBE">
      <w:rPr>
        <w:lang w:val="es-ES_tradnl"/>
      </w:rPr>
      <w:instrText xml:space="preserve"> PAGE  \* MERGEFORMAT </w:instrText>
    </w:r>
    <w:r w:rsidRPr="007B4BBE">
      <w:rPr>
        <w:lang w:val="es-ES_tradnl"/>
      </w:rPr>
      <w:fldChar w:fldCharType="separate"/>
    </w:r>
    <w:r w:rsidR="00FE3CC8">
      <w:rPr>
        <w:noProof/>
        <w:lang w:val="es-ES_tradnl"/>
      </w:rPr>
      <w:t>4</w:t>
    </w:r>
    <w:r w:rsidRPr="007B4BBE">
      <w:rPr>
        <w:lang w:val="es-ES_tradnl"/>
      </w:rPr>
      <w:fldChar w:fldCharType="end"/>
    </w:r>
  </w:p>
  <w:p w:rsidR="00F031EB" w:rsidRPr="007B4BBE" w:rsidRDefault="00F031EB" w:rsidP="00F031EB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EC" w:rsidRDefault="00500016" w:rsidP="00477D6B">
    <w:pPr>
      <w:jc w:val="right"/>
    </w:pPr>
    <w:r>
      <w:t>VA</w:t>
    </w:r>
    <w:r w:rsidR="001D3AEC">
      <w:t>/CE/</w:t>
    </w:r>
    <w:r w:rsidR="00157D85">
      <w:t>8</w:t>
    </w:r>
    <w:r w:rsidR="001D3AEC">
      <w:t>/2</w:t>
    </w:r>
  </w:p>
  <w:p w:rsidR="001D3AEC" w:rsidRDefault="006824AC" w:rsidP="006824AC">
    <w:pPr>
      <w:jc w:val="right"/>
    </w:pPr>
    <w:r w:rsidRPr="006824AC">
      <w:rPr>
        <w:lang w:val="es-ES_tradnl"/>
      </w:rPr>
      <w:t>página</w:t>
    </w:r>
    <w:r w:rsidR="001D3AEC">
      <w:t xml:space="preserve"> </w:t>
    </w:r>
    <w:r w:rsidR="001D3AEC">
      <w:fldChar w:fldCharType="begin"/>
    </w:r>
    <w:r w:rsidR="001D3AEC">
      <w:instrText xml:space="preserve"> PAGE  \* MERGEFORMAT </w:instrText>
    </w:r>
    <w:r w:rsidR="001D3AEC">
      <w:fldChar w:fldCharType="separate"/>
    </w:r>
    <w:r w:rsidR="00FE3CC8">
      <w:rPr>
        <w:noProof/>
      </w:rPr>
      <w:t>3</w:t>
    </w:r>
    <w:r w:rsidR="001D3AEC">
      <w:fldChar w:fldCharType="end"/>
    </w:r>
  </w:p>
  <w:p w:rsidR="001D3AEC" w:rsidRDefault="001D3AE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CE15FD1"/>
    <w:multiLevelType w:val="hybridMultilevel"/>
    <w:tmpl w:val="F10C230E"/>
    <w:lvl w:ilvl="0" w:tplc="2AFC8ACE">
      <w:start w:val="1"/>
      <w:numFmt w:val="lowerLetter"/>
      <w:lvlText w:val="%1)"/>
      <w:lvlJc w:val="left"/>
      <w:pPr>
        <w:ind w:left="564" w:hanging="564"/>
      </w:pPr>
      <w:rPr>
        <w:rFonts w:hint="default"/>
        <w:caps w:val="0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E90676"/>
    <w:multiLevelType w:val="multilevel"/>
    <w:tmpl w:val="B224AD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  <w:num w:numId="18">
    <w:abstractNumId w:val="18"/>
  </w:num>
  <w:num w:numId="19">
    <w:abstractNumId w:val="6"/>
  </w:num>
  <w:num w:numId="20">
    <w:abstractNumId w:val="17"/>
  </w:num>
  <w:num w:numId="21">
    <w:abstractNumId w:val="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60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GRTKF\G Instruments|TextBase TMs\WorkspaceSTS\GRTKF\GRTKF|TextBase TMs\WorkspaceSTS\Development\Dev_Agenda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03948"/>
    <w:rsid w:val="000042C0"/>
    <w:rsid w:val="00010926"/>
    <w:rsid w:val="00013EC7"/>
    <w:rsid w:val="000331EA"/>
    <w:rsid w:val="0003545C"/>
    <w:rsid w:val="000357E2"/>
    <w:rsid w:val="00036158"/>
    <w:rsid w:val="00043CAA"/>
    <w:rsid w:val="0004578B"/>
    <w:rsid w:val="0005216A"/>
    <w:rsid w:val="00053159"/>
    <w:rsid w:val="00053AC0"/>
    <w:rsid w:val="00061740"/>
    <w:rsid w:val="00065568"/>
    <w:rsid w:val="000655CA"/>
    <w:rsid w:val="0006682D"/>
    <w:rsid w:val="00067CFD"/>
    <w:rsid w:val="00070B55"/>
    <w:rsid w:val="00071219"/>
    <w:rsid w:val="00072FD5"/>
    <w:rsid w:val="00075432"/>
    <w:rsid w:val="00075FA3"/>
    <w:rsid w:val="000809E9"/>
    <w:rsid w:val="00081689"/>
    <w:rsid w:val="0009471F"/>
    <w:rsid w:val="000968ED"/>
    <w:rsid w:val="000A1326"/>
    <w:rsid w:val="000B0218"/>
    <w:rsid w:val="000B17A4"/>
    <w:rsid w:val="000B2A59"/>
    <w:rsid w:val="000B3B6D"/>
    <w:rsid w:val="000C09A7"/>
    <w:rsid w:val="000C379F"/>
    <w:rsid w:val="000C3ED8"/>
    <w:rsid w:val="000D4407"/>
    <w:rsid w:val="000E0B4B"/>
    <w:rsid w:val="000E6B59"/>
    <w:rsid w:val="000F5E56"/>
    <w:rsid w:val="000F5F7F"/>
    <w:rsid w:val="000F6681"/>
    <w:rsid w:val="00124221"/>
    <w:rsid w:val="00125B5F"/>
    <w:rsid w:val="0013284B"/>
    <w:rsid w:val="00133089"/>
    <w:rsid w:val="001362EE"/>
    <w:rsid w:val="001415D6"/>
    <w:rsid w:val="00142529"/>
    <w:rsid w:val="00143158"/>
    <w:rsid w:val="001442B8"/>
    <w:rsid w:val="00144AA0"/>
    <w:rsid w:val="00146386"/>
    <w:rsid w:val="0015216F"/>
    <w:rsid w:val="00157411"/>
    <w:rsid w:val="00157D85"/>
    <w:rsid w:val="001601F2"/>
    <w:rsid w:val="00166C1E"/>
    <w:rsid w:val="00174929"/>
    <w:rsid w:val="00177F5C"/>
    <w:rsid w:val="001832A6"/>
    <w:rsid w:val="001952B5"/>
    <w:rsid w:val="001A2FA2"/>
    <w:rsid w:val="001C3FE2"/>
    <w:rsid w:val="001C613E"/>
    <w:rsid w:val="001C6DCF"/>
    <w:rsid w:val="001D09F1"/>
    <w:rsid w:val="001D3AEC"/>
    <w:rsid w:val="001F5067"/>
    <w:rsid w:val="00201F06"/>
    <w:rsid w:val="002058F9"/>
    <w:rsid w:val="00207F22"/>
    <w:rsid w:val="00211569"/>
    <w:rsid w:val="00214A27"/>
    <w:rsid w:val="002150AF"/>
    <w:rsid w:val="002158A0"/>
    <w:rsid w:val="00215AB6"/>
    <w:rsid w:val="00216D12"/>
    <w:rsid w:val="00217251"/>
    <w:rsid w:val="0022236E"/>
    <w:rsid w:val="002232F1"/>
    <w:rsid w:val="00237ED6"/>
    <w:rsid w:val="00240733"/>
    <w:rsid w:val="0024387E"/>
    <w:rsid w:val="00253D78"/>
    <w:rsid w:val="00260ECD"/>
    <w:rsid w:val="002634C4"/>
    <w:rsid w:val="00265674"/>
    <w:rsid w:val="00270388"/>
    <w:rsid w:val="002734E5"/>
    <w:rsid w:val="00280DA0"/>
    <w:rsid w:val="00282D4F"/>
    <w:rsid w:val="002928D3"/>
    <w:rsid w:val="00292D0A"/>
    <w:rsid w:val="002B1710"/>
    <w:rsid w:val="002B2E43"/>
    <w:rsid w:val="002C3AD2"/>
    <w:rsid w:val="002D108C"/>
    <w:rsid w:val="002D1A71"/>
    <w:rsid w:val="002D7CB3"/>
    <w:rsid w:val="002E0C5B"/>
    <w:rsid w:val="002F105C"/>
    <w:rsid w:val="002F1B2D"/>
    <w:rsid w:val="002F1F45"/>
    <w:rsid w:val="002F1FE6"/>
    <w:rsid w:val="002F4E68"/>
    <w:rsid w:val="003037A0"/>
    <w:rsid w:val="003043F9"/>
    <w:rsid w:val="00305576"/>
    <w:rsid w:val="00310770"/>
    <w:rsid w:val="00312F7F"/>
    <w:rsid w:val="003216E2"/>
    <w:rsid w:val="00322243"/>
    <w:rsid w:val="00323D0C"/>
    <w:rsid w:val="00325E22"/>
    <w:rsid w:val="00343F38"/>
    <w:rsid w:val="00347976"/>
    <w:rsid w:val="00357A6C"/>
    <w:rsid w:val="00361450"/>
    <w:rsid w:val="00365019"/>
    <w:rsid w:val="003673CF"/>
    <w:rsid w:val="00372F0F"/>
    <w:rsid w:val="003845C1"/>
    <w:rsid w:val="00384A7D"/>
    <w:rsid w:val="00386522"/>
    <w:rsid w:val="00391F16"/>
    <w:rsid w:val="003A18EE"/>
    <w:rsid w:val="003A6F89"/>
    <w:rsid w:val="003A78DB"/>
    <w:rsid w:val="003B38C1"/>
    <w:rsid w:val="003B4C19"/>
    <w:rsid w:val="003C1466"/>
    <w:rsid w:val="003C4968"/>
    <w:rsid w:val="003C6E56"/>
    <w:rsid w:val="003D09CB"/>
    <w:rsid w:val="003E7882"/>
    <w:rsid w:val="003F1072"/>
    <w:rsid w:val="003F76F6"/>
    <w:rsid w:val="00401E0C"/>
    <w:rsid w:val="004079F5"/>
    <w:rsid w:val="004161CE"/>
    <w:rsid w:val="00421B99"/>
    <w:rsid w:val="0042289E"/>
    <w:rsid w:val="00423E3E"/>
    <w:rsid w:val="00426D41"/>
    <w:rsid w:val="00427AF4"/>
    <w:rsid w:val="0043532C"/>
    <w:rsid w:val="00437A9A"/>
    <w:rsid w:val="0044050B"/>
    <w:rsid w:val="00440C1C"/>
    <w:rsid w:val="00440C6E"/>
    <w:rsid w:val="0044138C"/>
    <w:rsid w:val="004428E9"/>
    <w:rsid w:val="00455221"/>
    <w:rsid w:val="004641EB"/>
    <w:rsid w:val="004647DA"/>
    <w:rsid w:val="004719A2"/>
    <w:rsid w:val="00473064"/>
    <w:rsid w:val="00474062"/>
    <w:rsid w:val="00475C75"/>
    <w:rsid w:val="00477D6B"/>
    <w:rsid w:val="00481560"/>
    <w:rsid w:val="004A3EF8"/>
    <w:rsid w:val="004A44A6"/>
    <w:rsid w:val="004A6335"/>
    <w:rsid w:val="004B0C63"/>
    <w:rsid w:val="004B6DD2"/>
    <w:rsid w:val="004C6FDF"/>
    <w:rsid w:val="004D663B"/>
    <w:rsid w:val="004D7984"/>
    <w:rsid w:val="004D7A10"/>
    <w:rsid w:val="004E44EE"/>
    <w:rsid w:val="004E5B65"/>
    <w:rsid w:val="004F1789"/>
    <w:rsid w:val="004F31B1"/>
    <w:rsid w:val="004F4DDA"/>
    <w:rsid w:val="004F4E42"/>
    <w:rsid w:val="00500016"/>
    <w:rsid w:val="005019FF"/>
    <w:rsid w:val="005048D2"/>
    <w:rsid w:val="00511E07"/>
    <w:rsid w:val="005120B9"/>
    <w:rsid w:val="005225BE"/>
    <w:rsid w:val="00524741"/>
    <w:rsid w:val="00526E59"/>
    <w:rsid w:val="0053057A"/>
    <w:rsid w:val="005315FF"/>
    <w:rsid w:val="0053203A"/>
    <w:rsid w:val="0053735C"/>
    <w:rsid w:val="00540FE1"/>
    <w:rsid w:val="00554081"/>
    <w:rsid w:val="0055507D"/>
    <w:rsid w:val="00560A29"/>
    <w:rsid w:val="0056102E"/>
    <w:rsid w:val="005615BC"/>
    <w:rsid w:val="0057033B"/>
    <w:rsid w:val="00574D82"/>
    <w:rsid w:val="005907C3"/>
    <w:rsid w:val="005A2AE7"/>
    <w:rsid w:val="005A33B2"/>
    <w:rsid w:val="005A49F5"/>
    <w:rsid w:val="005A6A3A"/>
    <w:rsid w:val="005A7034"/>
    <w:rsid w:val="005A73A4"/>
    <w:rsid w:val="005B243C"/>
    <w:rsid w:val="005B31FF"/>
    <w:rsid w:val="005B41AE"/>
    <w:rsid w:val="005B6775"/>
    <w:rsid w:val="005C474D"/>
    <w:rsid w:val="005C6649"/>
    <w:rsid w:val="005D1B88"/>
    <w:rsid w:val="005D544B"/>
    <w:rsid w:val="005E0B25"/>
    <w:rsid w:val="005E45A3"/>
    <w:rsid w:val="006007B1"/>
    <w:rsid w:val="006010CC"/>
    <w:rsid w:val="0060247D"/>
    <w:rsid w:val="006044B5"/>
    <w:rsid w:val="00604B40"/>
    <w:rsid w:val="00605827"/>
    <w:rsid w:val="00605C52"/>
    <w:rsid w:val="00607AD0"/>
    <w:rsid w:val="00613CC1"/>
    <w:rsid w:val="00615D3B"/>
    <w:rsid w:val="00616F1F"/>
    <w:rsid w:val="006239AB"/>
    <w:rsid w:val="00625DED"/>
    <w:rsid w:val="00630DDD"/>
    <w:rsid w:val="00634066"/>
    <w:rsid w:val="006349B5"/>
    <w:rsid w:val="00636735"/>
    <w:rsid w:val="00641CAE"/>
    <w:rsid w:val="00642DB5"/>
    <w:rsid w:val="00646050"/>
    <w:rsid w:val="00660DBE"/>
    <w:rsid w:val="00670E0E"/>
    <w:rsid w:val="006713CA"/>
    <w:rsid w:val="00672E13"/>
    <w:rsid w:val="00674127"/>
    <w:rsid w:val="006754A1"/>
    <w:rsid w:val="00676C5C"/>
    <w:rsid w:val="006824AC"/>
    <w:rsid w:val="006872E7"/>
    <w:rsid w:val="00692644"/>
    <w:rsid w:val="006972D1"/>
    <w:rsid w:val="006A1678"/>
    <w:rsid w:val="006A2DC5"/>
    <w:rsid w:val="006A3AB5"/>
    <w:rsid w:val="006A5D2B"/>
    <w:rsid w:val="006A6D6F"/>
    <w:rsid w:val="006A79DE"/>
    <w:rsid w:val="006B0768"/>
    <w:rsid w:val="006B4E62"/>
    <w:rsid w:val="006B6BBE"/>
    <w:rsid w:val="006C65C2"/>
    <w:rsid w:val="006D0970"/>
    <w:rsid w:val="006D0C92"/>
    <w:rsid w:val="006F648A"/>
    <w:rsid w:val="006F7852"/>
    <w:rsid w:val="00701028"/>
    <w:rsid w:val="00706D44"/>
    <w:rsid w:val="007152C8"/>
    <w:rsid w:val="00723632"/>
    <w:rsid w:val="0073171D"/>
    <w:rsid w:val="00731A0E"/>
    <w:rsid w:val="00734B29"/>
    <w:rsid w:val="00740079"/>
    <w:rsid w:val="007479AA"/>
    <w:rsid w:val="007524BB"/>
    <w:rsid w:val="0075297A"/>
    <w:rsid w:val="007652F0"/>
    <w:rsid w:val="00765AF5"/>
    <w:rsid w:val="00765DD5"/>
    <w:rsid w:val="007710CF"/>
    <w:rsid w:val="007723C2"/>
    <w:rsid w:val="007734DC"/>
    <w:rsid w:val="007770EB"/>
    <w:rsid w:val="00781D8C"/>
    <w:rsid w:val="00792EF8"/>
    <w:rsid w:val="0079314A"/>
    <w:rsid w:val="007954E3"/>
    <w:rsid w:val="007A5731"/>
    <w:rsid w:val="007B336B"/>
    <w:rsid w:val="007B4BBE"/>
    <w:rsid w:val="007C14A2"/>
    <w:rsid w:val="007C6A00"/>
    <w:rsid w:val="007D1613"/>
    <w:rsid w:val="007D2B95"/>
    <w:rsid w:val="007D556A"/>
    <w:rsid w:val="007D6F6F"/>
    <w:rsid w:val="007E1926"/>
    <w:rsid w:val="007E359B"/>
    <w:rsid w:val="007E64C9"/>
    <w:rsid w:val="007E6A54"/>
    <w:rsid w:val="007F2833"/>
    <w:rsid w:val="007F6873"/>
    <w:rsid w:val="007F7BBA"/>
    <w:rsid w:val="00800240"/>
    <w:rsid w:val="00801CE5"/>
    <w:rsid w:val="00804A8F"/>
    <w:rsid w:val="008123A6"/>
    <w:rsid w:val="0081654E"/>
    <w:rsid w:val="0082026C"/>
    <w:rsid w:val="008319CD"/>
    <w:rsid w:val="0083567C"/>
    <w:rsid w:val="00847393"/>
    <w:rsid w:val="00851211"/>
    <w:rsid w:val="0085615A"/>
    <w:rsid w:val="00861690"/>
    <w:rsid w:val="00861755"/>
    <w:rsid w:val="0086280F"/>
    <w:rsid w:val="00881649"/>
    <w:rsid w:val="00891401"/>
    <w:rsid w:val="008A02A1"/>
    <w:rsid w:val="008A18AD"/>
    <w:rsid w:val="008A4ADC"/>
    <w:rsid w:val="008A4B7A"/>
    <w:rsid w:val="008A6683"/>
    <w:rsid w:val="008A697D"/>
    <w:rsid w:val="008B0A99"/>
    <w:rsid w:val="008B2CC1"/>
    <w:rsid w:val="008B3FF0"/>
    <w:rsid w:val="008B60B2"/>
    <w:rsid w:val="008B64D5"/>
    <w:rsid w:val="008B7732"/>
    <w:rsid w:val="008C459C"/>
    <w:rsid w:val="008D1172"/>
    <w:rsid w:val="008D28A4"/>
    <w:rsid w:val="008D592C"/>
    <w:rsid w:val="008F3443"/>
    <w:rsid w:val="00903948"/>
    <w:rsid w:val="00906201"/>
    <w:rsid w:val="00906833"/>
    <w:rsid w:val="00906F0A"/>
    <w:rsid w:val="0090731E"/>
    <w:rsid w:val="00912519"/>
    <w:rsid w:val="00914E84"/>
    <w:rsid w:val="00916EE2"/>
    <w:rsid w:val="00922A7E"/>
    <w:rsid w:val="009302D2"/>
    <w:rsid w:val="00936953"/>
    <w:rsid w:val="00943F12"/>
    <w:rsid w:val="009555B8"/>
    <w:rsid w:val="009664C4"/>
    <w:rsid w:val="00966A22"/>
    <w:rsid w:val="00966D91"/>
    <w:rsid w:val="0096722F"/>
    <w:rsid w:val="00967C1B"/>
    <w:rsid w:val="00967F93"/>
    <w:rsid w:val="00970337"/>
    <w:rsid w:val="00973B20"/>
    <w:rsid w:val="009769B8"/>
    <w:rsid w:val="009805E7"/>
    <w:rsid w:val="00980843"/>
    <w:rsid w:val="0098383C"/>
    <w:rsid w:val="00990E1F"/>
    <w:rsid w:val="009C3441"/>
    <w:rsid w:val="009C5832"/>
    <w:rsid w:val="009C5957"/>
    <w:rsid w:val="009D28D3"/>
    <w:rsid w:val="009D309C"/>
    <w:rsid w:val="009D525C"/>
    <w:rsid w:val="009D7B8B"/>
    <w:rsid w:val="009E2791"/>
    <w:rsid w:val="009E2E24"/>
    <w:rsid w:val="009E3F6F"/>
    <w:rsid w:val="009E6309"/>
    <w:rsid w:val="009F499F"/>
    <w:rsid w:val="009F4E4F"/>
    <w:rsid w:val="009F747D"/>
    <w:rsid w:val="00A00194"/>
    <w:rsid w:val="00A012EF"/>
    <w:rsid w:val="00A02569"/>
    <w:rsid w:val="00A06D9C"/>
    <w:rsid w:val="00A31713"/>
    <w:rsid w:val="00A31A10"/>
    <w:rsid w:val="00A368D6"/>
    <w:rsid w:val="00A403E6"/>
    <w:rsid w:val="00A42DAF"/>
    <w:rsid w:val="00A45BD8"/>
    <w:rsid w:val="00A46BBD"/>
    <w:rsid w:val="00A5005A"/>
    <w:rsid w:val="00A532CC"/>
    <w:rsid w:val="00A67C75"/>
    <w:rsid w:val="00A713CD"/>
    <w:rsid w:val="00A71C57"/>
    <w:rsid w:val="00A74CD2"/>
    <w:rsid w:val="00A76D84"/>
    <w:rsid w:val="00A869B7"/>
    <w:rsid w:val="00A87B44"/>
    <w:rsid w:val="00A914CE"/>
    <w:rsid w:val="00A958C2"/>
    <w:rsid w:val="00A95D3F"/>
    <w:rsid w:val="00AA16B2"/>
    <w:rsid w:val="00AA2FE6"/>
    <w:rsid w:val="00AA47D6"/>
    <w:rsid w:val="00AB7DFA"/>
    <w:rsid w:val="00AC205C"/>
    <w:rsid w:val="00AD08D7"/>
    <w:rsid w:val="00AD2B42"/>
    <w:rsid w:val="00AD364F"/>
    <w:rsid w:val="00AE0A62"/>
    <w:rsid w:val="00AF0A6B"/>
    <w:rsid w:val="00AF24F5"/>
    <w:rsid w:val="00AF5416"/>
    <w:rsid w:val="00B05A69"/>
    <w:rsid w:val="00B1174E"/>
    <w:rsid w:val="00B12EE7"/>
    <w:rsid w:val="00B2357F"/>
    <w:rsid w:val="00B263AE"/>
    <w:rsid w:val="00B43A5B"/>
    <w:rsid w:val="00B525BE"/>
    <w:rsid w:val="00B5520E"/>
    <w:rsid w:val="00B6007D"/>
    <w:rsid w:val="00B610B9"/>
    <w:rsid w:val="00B64D90"/>
    <w:rsid w:val="00B65E38"/>
    <w:rsid w:val="00B70D21"/>
    <w:rsid w:val="00B745D5"/>
    <w:rsid w:val="00B94C4C"/>
    <w:rsid w:val="00B9734B"/>
    <w:rsid w:val="00BA219A"/>
    <w:rsid w:val="00BA3626"/>
    <w:rsid w:val="00BA3DA1"/>
    <w:rsid w:val="00BB335E"/>
    <w:rsid w:val="00BB34EE"/>
    <w:rsid w:val="00BC2792"/>
    <w:rsid w:val="00BC3E96"/>
    <w:rsid w:val="00BC4E28"/>
    <w:rsid w:val="00BD1850"/>
    <w:rsid w:val="00BD252C"/>
    <w:rsid w:val="00BD5FCE"/>
    <w:rsid w:val="00BD77D0"/>
    <w:rsid w:val="00BF182E"/>
    <w:rsid w:val="00C01FBE"/>
    <w:rsid w:val="00C0589C"/>
    <w:rsid w:val="00C11536"/>
    <w:rsid w:val="00C11BFE"/>
    <w:rsid w:val="00C1395E"/>
    <w:rsid w:val="00C13BB7"/>
    <w:rsid w:val="00C15035"/>
    <w:rsid w:val="00C1671A"/>
    <w:rsid w:val="00C211FB"/>
    <w:rsid w:val="00C21420"/>
    <w:rsid w:val="00C21A06"/>
    <w:rsid w:val="00C30E5D"/>
    <w:rsid w:val="00C53344"/>
    <w:rsid w:val="00C54D52"/>
    <w:rsid w:val="00C5665B"/>
    <w:rsid w:val="00C80DAB"/>
    <w:rsid w:val="00C84120"/>
    <w:rsid w:val="00C85A08"/>
    <w:rsid w:val="00C9450A"/>
    <w:rsid w:val="00C95D3D"/>
    <w:rsid w:val="00CB45C7"/>
    <w:rsid w:val="00CB4622"/>
    <w:rsid w:val="00CC1122"/>
    <w:rsid w:val="00CC1C6C"/>
    <w:rsid w:val="00CD0473"/>
    <w:rsid w:val="00CD215B"/>
    <w:rsid w:val="00CD2CD0"/>
    <w:rsid w:val="00CD50B5"/>
    <w:rsid w:val="00D01710"/>
    <w:rsid w:val="00D02941"/>
    <w:rsid w:val="00D054A0"/>
    <w:rsid w:val="00D05B35"/>
    <w:rsid w:val="00D05EC4"/>
    <w:rsid w:val="00D122D6"/>
    <w:rsid w:val="00D202FA"/>
    <w:rsid w:val="00D330C3"/>
    <w:rsid w:val="00D40043"/>
    <w:rsid w:val="00D40A5D"/>
    <w:rsid w:val="00D45252"/>
    <w:rsid w:val="00D468F7"/>
    <w:rsid w:val="00D50B4B"/>
    <w:rsid w:val="00D54A8B"/>
    <w:rsid w:val="00D578B1"/>
    <w:rsid w:val="00D70035"/>
    <w:rsid w:val="00D71B4D"/>
    <w:rsid w:val="00D7309B"/>
    <w:rsid w:val="00D84BC3"/>
    <w:rsid w:val="00D93490"/>
    <w:rsid w:val="00D93A49"/>
    <w:rsid w:val="00D93D55"/>
    <w:rsid w:val="00DC0574"/>
    <w:rsid w:val="00DC74CF"/>
    <w:rsid w:val="00DD5390"/>
    <w:rsid w:val="00DE6807"/>
    <w:rsid w:val="00DF0DEC"/>
    <w:rsid w:val="00DF49FB"/>
    <w:rsid w:val="00E014D5"/>
    <w:rsid w:val="00E019B9"/>
    <w:rsid w:val="00E02F88"/>
    <w:rsid w:val="00E10E40"/>
    <w:rsid w:val="00E10E7D"/>
    <w:rsid w:val="00E11891"/>
    <w:rsid w:val="00E14C20"/>
    <w:rsid w:val="00E159B4"/>
    <w:rsid w:val="00E32FA2"/>
    <w:rsid w:val="00E335FE"/>
    <w:rsid w:val="00E44FD5"/>
    <w:rsid w:val="00E51987"/>
    <w:rsid w:val="00E530F6"/>
    <w:rsid w:val="00E60711"/>
    <w:rsid w:val="00E7035E"/>
    <w:rsid w:val="00E70B77"/>
    <w:rsid w:val="00E76B13"/>
    <w:rsid w:val="00E806B0"/>
    <w:rsid w:val="00E80D18"/>
    <w:rsid w:val="00E829F1"/>
    <w:rsid w:val="00E82FA4"/>
    <w:rsid w:val="00E90CE1"/>
    <w:rsid w:val="00EA4A7C"/>
    <w:rsid w:val="00EA5B87"/>
    <w:rsid w:val="00EB42E6"/>
    <w:rsid w:val="00EB4E3A"/>
    <w:rsid w:val="00EB67E1"/>
    <w:rsid w:val="00EC3AA3"/>
    <w:rsid w:val="00EC4E49"/>
    <w:rsid w:val="00EC5760"/>
    <w:rsid w:val="00EC5B5E"/>
    <w:rsid w:val="00EC7A93"/>
    <w:rsid w:val="00ED0B84"/>
    <w:rsid w:val="00ED0FB6"/>
    <w:rsid w:val="00ED5562"/>
    <w:rsid w:val="00ED77FB"/>
    <w:rsid w:val="00EE45FA"/>
    <w:rsid w:val="00EE4EA9"/>
    <w:rsid w:val="00EE6700"/>
    <w:rsid w:val="00EF47DE"/>
    <w:rsid w:val="00EF66E0"/>
    <w:rsid w:val="00F031EB"/>
    <w:rsid w:val="00F0680F"/>
    <w:rsid w:val="00F13111"/>
    <w:rsid w:val="00F16651"/>
    <w:rsid w:val="00F17AC9"/>
    <w:rsid w:val="00F21B34"/>
    <w:rsid w:val="00F25101"/>
    <w:rsid w:val="00F30C54"/>
    <w:rsid w:val="00F37B4F"/>
    <w:rsid w:val="00F431A2"/>
    <w:rsid w:val="00F440BA"/>
    <w:rsid w:val="00F54C6B"/>
    <w:rsid w:val="00F60A73"/>
    <w:rsid w:val="00F6604D"/>
    <w:rsid w:val="00F66152"/>
    <w:rsid w:val="00F67C70"/>
    <w:rsid w:val="00F72481"/>
    <w:rsid w:val="00F7375F"/>
    <w:rsid w:val="00F73A9F"/>
    <w:rsid w:val="00F84CC3"/>
    <w:rsid w:val="00F864DB"/>
    <w:rsid w:val="00F8782E"/>
    <w:rsid w:val="00F90FAF"/>
    <w:rsid w:val="00F934B8"/>
    <w:rsid w:val="00FA4709"/>
    <w:rsid w:val="00FB0290"/>
    <w:rsid w:val="00FB26A8"/>
    <w:rsid w:val="00FB4662"/>
    <w:rsid w:val="00FC1F6C"/>
    <w:rsid w:val="00FD25D7"/>
    <w:rsid w:val="00FE0144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/>
    <o:shapelayout v:ext="edit">
      <o:idmap v:ext="edit" data="1"/>
    </o:shapelayout>
  </w:shapeDefaults>
  <w:decimalSymbol w:val="."/>
  <w:listSeparator w:val=","/>
  <w15:docId w15:val="{6B5A9E89-AFB1-4B8D-BCF2-23207D8C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customStyle="1" w:styleId="CharCharCharChar">
    <w:name w:val="Char Char Char Char"/>
    <w:basedOn w:val="Normal"/>
    <w:rsid w:val="0017492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512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0B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VE082" TargetMode="External"/><Relationship Id="rId13" Type="http://schemas.openxmlformats.org/officeDocument/2006/relationships/hyperlink" Target="https://www3.wipo.int/classifications/vienna/vclef/public/en/project/VE082/annex/2/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vienna/vclef/public/en/project/VE08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vienna/vclef/public/en/project/VE082/annex/3/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vienna/vclef/public/en/project/QV001/annex/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vienna/vclef/public/en/project/VE0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vienna/vclef/public/en/project/QV00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/annex/1/pdf" TargetMode="External"/><Relationship Id="rId14" Type="http://schemas.openxmlformats.org/officeDocument/2006/relationships/hyperlink" Target="https://wipolex.wipo.int/en/treaties/textdetails/127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6613</Characters>
  <Application>Microsoft Office Word</Application>
  <DocSecurity>4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Draft Report</vt:lpstr>
    </vt:vector>
  </TitlesOfParts>
  <Company>WIPO</Company>
  <LinksUpToDate>false</LinksUpToDate>
  <CharactersWithSpaces>7831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Draft Report</dc:title>
  <dc:subject>Draft Report</dc:subject>
  <dc:creator>Carminati</dc:creator>
  <cp:keywords>FOR OFFICIAL USE ONLY</cp:keywords>
  <cp:lastModifiedBy>CARMINATI Christine</cp:lastModifiedBy>
  <cp:revision>2</cp:revision>
  <cp:lastPrinted>2016-10-25T10:42:00Z</cp:lastPrinted>
  <dcterms:created xsi:type="dcterms:W3CDTF">2021-03-22T16:40:00Z</dcterms:created>
  <dcterms:modified xsi:type="dcterms:W3CDTF">2021-03-22T16:40:00Z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8f144c85-20cd-4b5d-a749-58e4aef07940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