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338C2" w:rsidRPr="009B1437" w14:paraId="626B4066" w14:textId="77777777" w:rsidTr="0088395E">
        <w:tc>
          <w:tcPr>
            <w:tcW w:w="4513" w:type="dxa"/>
            <w:tcBorders>
              <w:bottom w:val="single" w:sz="4" w:space="0" w:color="auto"/>
            </w:tcBorders>
            <w:tcMar>
              <w:bottom w:w="170" w:type="dxa"/>
            </w:tcMar>
          </w:tcPr>
          <w:p w14:paraId="43129ED2" w14:textId="77777777" w:rsidR="00E504E5" w:rsidRPr="009B1437" w:rsidRDefault="00E504E5" w:rsidP="00AB613D"/>
        </w:tc>
        <w:tc>
          <w:tcPr>
            <w:tcW w:w="4337" w:type="dxa"/>
            <w:tcBorders>
              <w:bottom w:val="single" w:sz="4" w:space="0" w:color="auto"/>
            </w:tcBorders>
            <w:tcMar>
              <w:left w:w="0" w:type="dxa"/>
              <w:right w:w="0" w:type="dxa"/>
            </w:tcMar>
          </w:tcPr>
          <w:p w14:paraId="3C63C40B" w14:textId="77777777" w:rsidR="00E504E5" w:rsidRPr="009B1437" w:rsidRDefault="001F7FFB" w:rsidP="00AB613D">
            <w:r w:rsidRPr="009B1437">
              <w:rPr>
                <w:noProof/>
                <w:lang w:val="en-US" w:eastAsia="en-US"/>
              </w:rPr>
              <w:drawing>
                <wp:inline distT="0" distB="0" distL="0" distR="0" wp14:anchorId="172E7C1E" wp14:editId="6D5C53E0">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A64A719" w14:textId="77777777" w:rsidR="00E504E5" w:rsidRPr="009B1437" w:rsidRDefault="00E504E5" w:rsidP="00AB613D">
            <w:pPr>
              <w:jc w:val="right"/>
            </w:pPr>
            <w:r w:rsidRPr="009B1437">
              <w:rPr>
                <w:b/>
                <w:sz w:val="40"/>
                <w:szCs w:val="40"/>
              </w:rPr>
              <w:t>S</w:t>
            </w:r>
          </w:p>
        </w:tc>
      </w:tr>
      <w:tr w:rsidR="00E338C2" w:rsidRPr="009B1437" w14:paraId="5758AC4F" w14:textId="77777777" w:rsidTr="00EF78A9">
        <w:trPr>
          <w:trHeight w:hRule="exact" w:val="357"/>
        </w:trPr>
        <w:tc>
          <w:tcPr>
            <w:tcW w:w="9356" w:type="dxa"/>
            <w:gridSpan w:val="3"/>
            <w:tcBorders>
              <w:top w:val="single" w:sz="4" w:space="0" w:color="auto"/>
            </w:tcBorders>
            <w:tcMar>
              <w:top w:w="170" w:type="dxa"/>
              <w:left w:w="0" w:type="dxa"/>
              <w:right w:w="0" w:type="dxa"/>
            </w:tcMar>
            <w:vAlign w:val="bottom"/>
          </w:tcPr>
          <w:p w14:paraId="47926C7C" w14:textId="7ABBFA70" w:rsidR="008B2CC1" w:rsidRPr="009B1437" w:rsidRDefault="00DB1D01" w:rsidP="002348B0">
            <w:pPr>
              <w:jc w:val="right"/>
              <w:rPr>
                <w:rFonts w:ascii="Arial Black" w:hAnsi="Arial Black"/>
                <w:caps/>
                <w:sz w:val="15"/>
              </w:rPr>
            </w:pPr>
            <w:r w:rsidRPr="009B1437">
              <w:rPr>
                <w:rFonts w:ascii="Arial Black" w:hAnsi="Arial Black"/>
                <w:caps/>
                <w:sz w:val="15"/>
              </w:rPr>
              <w:t>CWS/6</w:t>
            </w:r>
            <w:r w:rsidR="001F7FFB" w:rsidRPr="009B1437">
              <w:rPr>
                <w:rFonts w:ascii="Arial Black" w:hAnsi="Arial Black"/>
                <w:caps/>
                <w:sz w:val="15"/>
              </w:rPr>
              <w:t>/</w:t>
            </w:r>
            <w:bookmarkStart w:id="0" w:name="Code"/>
            <w:bookmarkEnd w:id="0"/>
            <w:r w:rsidR="002348B0" w:rsidRPr="009B1437">
              <w:rPr>
                <w:rFonts w:ascii="Arial Black" w:hAnsi="Arial Black"/>
                <w:caps/>
                <w:sz w:val="15"/>
              </w:rPr>
              <w:t>2</w:t>
            </w:r>
          </w:p>
        </w:tc>
      </w:tr>
      <w:tr w:rsidR="00E338C2" w:rsidRPr="009B1437" w14:paraId="7E332C06" w14:textId="77777777" w:rsidTr="00AB613D">
        <w:trPr>
          <w:trHeight w:hRule="exact" w:val="170"/>
        </w:trPr>
        <w:tc>
          <w:tcPr>
            <w:tcW w:w="9356" w:type="dxa"/>
            <w:gridSpan w:val="3"/>
            <w:noWrap/>
            <w:tcMar>
              <w:left w:w="0" w:type="dxa"/>
              <w:right w:w="0" w:type="dxa"/>
            </w:tcMar>
            <w:vAlign w:val="bottom"/>
          </w:tcPr>
          <w:p w14:paraId="7FD735AD" w14:textId="7CF8D870" w:rsidR="008B2CC1" w:rsidRPr="009B1437" w:rsidRDefault="008B2CC1" w:rsidP="00DB1D01">
            <w:pPr>
              <w:jc w:val="right"/>
              <w:rPr>
                <w:rFonts w:ascii="Arial Black" w:hAnsi="Arial Black"/>
                <w:caps/>
                <w:sz w:val="15"/>
              </w:rPr>
            </w:pPr>
            <w:r w:rsidRPr="009B1437">
              <w:rPr>
                <w:rFonts w:ascii="Arial Black" w:hAnsi="Arial Black"/>
                <w:caps/>
                <w:sz w:val="15"/>
              </w:rPr>
              <w:t>ORIGINAL:</w:t>
            </w:r>
            <w:r w:rsidR="009A20CD" w:rsidRPr="009B1437">
              <w:rPr>
                <w:rFonts w:ascii="Arial Black" w:hAnsi="Arial Black"/>
                <w:caps/>
                <w:sz w:val="15"/>
              </w:rPr>
              <w:t xml:space="preserve"> </w:t>
            </w:r>
            <w:bookmarkStart w:id="1" w:name="Original"/>
            <w:bookmarkEnd w:id="1"/>
            <w:r w:rsidR="008C73C9" w:rsidRPr="009B1437">
              <w:rPr>
                <w:rFonts w:ascii="Arial Black" w:hAnsi="Arial Black"/>
                <w:caps/>
                <w:sz w:val="15"/>
              </w:rPr>
              <w:t>INGLÉS</w:t>
            </w:r>
            <w:r w:rsidRPr="009B1437">
              <w:rPr>
                <w:rFonts w:ascii="Arial Black" w:hAnsi="Arial Black"/>
                <w:caps/>
                <w:sz w:val="15"/>
              </w:rPr>
              <w:t xml:space="preserve"> </w:t>
            </w:r>
          </w:p>
        </w:tc>
      </w:tr>
      <w:tr w:rsidR="00723A2E" w:rsidRPr="009B1437" w14:paraId="3049231C" w14:textId="77777777" w:rsidTr="00AB613D">
        <w:trPr>
          <w:trHeight w:hRule="exact" w:val="198"/>
        </w:trPr>
        <w:tc>
          <w:tcPr>
            <w:tcW w:w="9356" w:type="dxa"/>
            <w:gridSpan w:val="3"/>
            <w:tcMar>
              <w:left w:w="0" w:type="dxa"/>
              <w:right w:w="0" w:type="dxa"/>
            </w:tcMar>
            <w:vAlign w:val="bottom"/>
          </w:tcPr>
          <w:p w14:paraId="0C2CDDE4" w14:textId="797AD461" w:rsidR="008B2CC1" w:rsidRPr="009B1437" w:rsidRDefault="00675021" w:rsidP="00950FF1">
            <w:pPr>
              <w:jc w:val="right"/>
              <w:rPr>
                <w:rFonts w:ascii="Arial Black" w:hAnsi="Arial Black"/>
                <w:caps/>
                <w:sz w:val="15"/>
              </w:rPr>
            </w:pPr>
            <w:r w:rsidRPr="009B1437">
              <w:rPr>
                <w:rFonts w:ascii="Arial Black" w:hAnsi="Arial Black"/>
                <w:caps/>
                <w:sz w:val="15"/>
              </w:rPr>
              <w:t>fecha</w:t>
            </w:r>
            <w:r w:rsidR="008B2CC1" w:rsidRPr="009B1437">
              <w:rPr>
                <w:rFonts w:ascii="Arial Black" w:hAnsi="Arial Black"/>
                <w:caps/>
                <w:sz w:val="15"/>
              </w:rPr>
              <w:t>:</w:t>
            </w:r>
            <w:r w:rsidR="009A20CD" w:rsidRPr="009B1437">
              <w:rPr>
                <w:rFonts w:ascii="Arial Black" w:hAnsi="Arial Black"/>
                <w:caps/>
                <w:sz w:val="15"/>
              </w:rPr>
              <w:t xml:space="preserve"> </w:t>
            </w:r>
            <w:bookmarkStart w:id="2" w:name="Date"/>
            <w:bookmarkEnd w:id="2"/>
            <w:r w:rsidR="00DB1D01" w:rsidRPr="009B1437">
              <w:rPr>
                <w:rFonts w:ascii="Arial Black" w:hAnsi="Arial Black"/>
                <w:caps/>
                <w:sz w:val="15"/>
              </w:rPr>
              <w:t>6 de septiembre</w:t>
            </w:r>
            <w:r w:rsidR="008C73C9" w:rsidRPr="009B1437">
              <w:rPr>
                <w:rFonts w:ascii="Arial Black" w:hAnsi="Arial Black"/>
                <w:caps/>
                <w:sz w:val="15"/>
              </w:rPr>
              <w:t xml:space="preserve"> </w:t>
            </w:r>
            <w:r w:rsidR="00DB1D01" w:rsidRPr="009B1437">
              <w:rPr>
                <w:rFonts w:ascii="Arial Black" w:hAnsi="Arial Black"/>
                <w:caps/>
                <w:sz w:val="15"/>
              </w:rPr>
              <w:t>de</w:t>
            </w:r>
            <w:r w:rsidR="008C73C9" w:rsidRPr="009B1437">
              <w:rPr>
                <w:rFonts w:ascii="Arial Black" w:hAnsi="Arial Black"/>
                <w:caps/>
                <w:sz w:val="15"/>
              </w:rPr>
              <w:t xml:space="preserve"> 201</w:t>
            </w:r>
            <w:r w:rsidR="00950FF1" w:rsidRPr="009B1437">
              <w:rPr>
                <w:rFonts w:ascii="Arial Black" w:hAnsi="Arial Black"/>
                <w:caps/>
                <w:sz w:val="15"/>
              </w:rPr>
              <w:t>8</w:t>
            </w:r>
            <w:r w:rsidR="008B2CC1" w:rsidRPr="009B1437">
              <w:rPr>
                <w:rFonts w:ascii="Arial Black" w:hAnsi="Arial Black"/>
                <w:caps/>
                <w:sz w:val="15"/>
              </w:rPr>
              <w:t xml:space="preserve"> </w:t>
            </w:r>
          </w:p>
        </w:tc>
      </w:tr>
    </w:tbl>
    <w:p w14:paraId="00D4B441" w14:textId="77777777" w:rsidR="004F35AA" w:rsidRPr="009B1437" w:rsidRDefault="004F35AA" w:rsidP="008B2CC1"/>
    <w:p w14:paraId="7B13D53C" w14:textId="77777777" w:rsidR="004F35AA" w:rsidRPr="009B1437" w:rsidRDefault="004F35AA" w:rsidP="008B2CC1"/>
    <w:p w14:paraId="42E864C5" w14:textId="77777777" w:rsidR="004F35AA" w:rsidRPr="009B1437" w:rsidRDefault="004F35AA" w:rsidP="008B2CC1"/>
    <w:p w14:paraId="686EB640" w14:textId="77777777" w:rsidR="004F35AA" w:rsidRPr="009B1437" w:rsidRDefault="004F35AA" w:rsidP="008B2CC1"/>
    <w:p w14:paraId="7A52A989" w14:textId="77777777" w:rsidR="004F35AA" w:rsidRPr="009B1437" w:rsidRDefault="004F35AA" w:rsidP="008B2CC1"/>
    <w:p w14:paraId="503EE960" w14:textId="77777777" w:rsidR="004F35AA" w:rsidRPr="009B1437" w:rsidRDefault="001F7FFB" w:rsidP="00B67CDC">
      <w:pPr>
        <w:rPr>
          <w:b/>
          <w:sz w:val="28"/>
          <w:szCs w:val="28"/>
        </w:rPr>
      </w:pPr>
      <w:r w:rsidRPr="009B1437">
        <w:rPr>
          <w:b/>
          <w:sz w:val="28"/>
          <w:szCs w:val="28"/>
        </w:rPr>
        <w:t>Comité de Normas Técnicas de la OMPI (CWS)</w:t>
      </w:r>
    </w:p>
    <w:p w14:paraId="188BE46A" w14:textId="77777777" w:rsidR="004F35AA" w:rsidRPr="009B1437" w:rsidRDefault="004F35AA" w:rsidP="003845C1"/>
    <w:p w14:paraId="49C6767F" w14:textId="77777777" w:rsidR="004F35AA" w:rsidRPr="009B1437" w:rsidRDefault="004F35AA" w:rsidP="003845C1"/>
    <w:p w14:paraId="5DBCC49F" w14:textId="2B8503FB" w:rsidR="004F35AA" w:rsidRPr="009B1437" w:rsidRDefault="00DB1D01" w:rsidP="001F7FFB">
      <w:pPr>
        <w:rPr>
          <w:b/>
          <w:sz w:val="24"/>
          <w:szCs w:val="24"/>
        </w:rPr>
      </w:pPr>
      <w:r w:rsidRPr="009B1437">
        <w:rPr>
          <w:b/>
          <w:sz w:val="24"/>
          <w:szCs w:val="24"/>
        </w:rPr>
        <w:t>Sex</w:t>
      </w:r>
      <w:r w:rsidR="001F7FFB" w:rsidRPr="009B1437">
        <w:rPr>
          <w:b/>
          <w:sz w:val="24"/>
          <w:szCs w:val="24"/>
        </w:rPr>
        <w:t>ta sesión</w:t>
      </w:r>
    </w:p>
    <w:p w14:paraId="2DCFE37A" w14:textId="51A25290" w:rsidR="004F35AA" w:rsidRPr="009B1437" w:rsidRDefault="00716DB4" w:rsidP="001F7FFB">
      <w:pPr>
        <w:rPr>
          <w:b/>
          <w:sz w:val="24"/>
          <w:szCs w:val="24"/>
        </w:rPr>
      </w:pPr>
      <w:r w:rsidRPr="009B1437">
        <w:rPr>
          <w:b/>
          <w:sz w:val="24"/>
          <w:szCs w:val="24"/>
        </w:rPr>
        <w:t xml:space="preserve">Ginebra, </w:t>
      </w:r>
      <w:r w:rsidR="00DB1D01" w:rsidRPr="009B1437">
        <w:rPr>
          <w:b/>
          <w:sz w:val="24"/>
          <w:szCs w:val="24"/>
        </w:rPr>
        <w:t>15</w:t>
      </w:r>
      <w:r w:rsidRPr="009B1437">
        <w:rPr>
          <w:b/>
          <w:sz w:val="24"/>
          <w:szCs w:val="24"/>
        </w:rPr>
        <w:t xml:space="preserve"> </w:t>
      </w:r>
      <w:r w:rsidR="00DB1D01" w:rsidRPr="009B1437">
        <w:rPr>
          <w:b/>
          <w:sz w:val="24"/>
          <w:szCs w:val="24"/>
        </w:rPr>
        <w:t xml:space="preserve">a 19 </w:t>
      </w:r>
      <w:r w:rsidRPr="009B1437">
        <w:rPr>
          <w:b/>
          <w:sz w:val="24"/>
          <w:szCs w:val="24"/>
        </w:rPr>
        <w:t>de o</w:t>
      </w:r>
      <w:r w:rsidR="00DB1D01" w:rsidRPr="009B1437">
        <w:rPr>
          <w:b/>
          <w:sz w:val="24"/>
          <w:szCs w:val="24"/>
        </w:rPr>
        <w:t>ctubre</w:t>
      </w:r>
      <w:r w:rsidRPr="009B1437">
        <w:rPr>
          <w:b/>
          <w:sz w:val="24"/>
          <w:szCs w:val="24"/>
        </w:rPr>
        <w:t xml:space="preserve"> de 201</w:t>
      </w:r>
      <w:r w:rsidR="00DB1D01" w:rsidRPr="009B1437">
        <w:rPr>
          <w:b/>
          <w:sz w:val="24"/>
          <w:szCs w:val="24"/>
        </w:rPr>
        <w:t>8</w:t>
      </w:r>
    </w:p>
    <w:p w14:paraId="1B567F63" w14:textId="77777777" w:rsidR="004F35AA" w:rsidRPr="009B1437" w:rsidRDefault="004F35AA" w:rsidP="008B2CC1"/>
    <w:p w14:paraId="6061B80E" w14:textId="77777777" w:rsidR="004F35AA" w:rsidRPr="009B1437" w:rsidRDefault="004F35AA" w:rsidP="008B2CC1"/>
    <w:p w14:paraId="1FDEC8AE" w14:textId="77777777" w:rsidR="004F35AA" w:rsidRPr="009B1437" w:rsidRDefault="004F35AA" w:rsidP="008B2CC1"/>
    <w:p w14:paraId="40C57BA6" w14:textId="77777777" w:rsidR="004F35AA" w:rsidRPr="009B1437" w:rsidRDefault="00884E59" w:rsidP="002348B0">
      <w:pPr>
        <w:rPr>
          <w:caps/>
          <w:sz w:val="24"/>
          <w:szCs w:val="24"/>
        </w:rPr>
      </w:pPr>
      <w:bookmarkStart w:id="3" w:name="TitleOfDoc"/>
      <w:bookmarkStart w:id="4" w:name="_GoBack"/>
      <w:bookmarkEnd w:id="3"/>
      <w:r w:rsidRPr="009B1437">
        <w:rPr>
          <w:sz w:val="24"/>
          <w:szCs w:val="24"/>
        </w:rPr>
        <w:t>INFORME DE LA ENCUESTA SOBRE EL USO DE LAS NORMAS TÉCNICAS DE LA OMPI</w:t>
      </w:r>
    </w:p>
    <w:bookmarkEnd w:id="4"/>
    <w:p w14:paraId="7325713C" w14:textId="77777777" w:rsidR="004F35AA" w:rsidRPr="009B1437" w:rsidRDefault="004F35AA" w:rsidP="002348B0">
      <w:pPr>
        <w:rPr>
          <w:caps/>
        </w:rPr>
      </w:pPr>
    </w:p>
    <w:p w14:paraId="7E75F425" w14:textId="77777777" w:rsidR="004F35AA" w:rsidRPr="009B1437" w:rsidRDefault="004F35AA" w:rsidP="004F35AA">
      <w:pPr>
        <w:rPr>
          <w:i/>
        </w:rPr>
      </w:pPr>
      <w:r w:rsidRPr="009B1437">
        <w:rPr>
          <w:i/>
        </w:rPr>
        <w:t>Documento preparado por la Secretaría</w:t>
      </w:r>
    </w:p>
    <w:p w14:paraId="0E241845" w14:textId="77777777" w:rsidR="004F35AA" w:rsidRPr="009B1437" w:rsidRDefault="004F35AA" w:rsidP="002348B0"/>
    <w:p w14:paraId="06B7986A" w14:textId="77777777" w:rsidR="004F35AA" w:rsidRPr="009B1437" w:rsidRDefault="004F35AA" w:rsidP="002348B0"/>
    <w:p w14:paraId="4C5EBC73" w14:textId="77777777" w:rsidR="004F35AA" w:rsidRPr="009B1437" w:rsidRDefault="004F35AA" w:rsidP="002348B0"/>
    <w:p w14:paraId="69706C7B" w14:textId="77777777" w:rsidR="004F35AA" w:rsidRPr="009B1437" w:rsidRDefault="004F35AA" w:rsidP="002348B0"/>
    <w:p w14:paraId="18FE8952" w14:textId="77777777" w:rsidR="004F35AA" w:rsidRPr="009B1437" w:rsidRDefault="004E4FD2" w:rsidP="00DB1D01">
      <w:pPr>
        <w:pStyle w:val="Heading2"/>
        <w:spacing w:before="0" w:after="120"/>
        <w:rPr>
          <w:caps w:val="0"/>
        </w:rPr>
      </w:pPr>
      <w:r w:rsidRPr="009B1437">
        <w:rPr>
          <w:caps w:val="0"/>
        </w:rPr>
        <w:t>INTRODUCCIÓN</w:t>
      </w:r>
    </w:p>
    <w:p w14:paraId="4B071571" w14:textId="0F805916" w:rsidR="005D0DED" w:rsidRPr="009B1437" w:rsidRDefault="00FE1519" w:rsidP="005D0DED">
      <w:pPr>
        <w:pStyle w:val="ONUME"/>
      </w:pPr>
      <w:r w:rsidRPr="009B1437">
        <w:t>E</w:t>
      </w:r>
      <w:r w:rsidR="00202900" w:rsidRPr="009B1437">
        <w:t xml:space="preserve">n </w:t>
      </w:r>
      <w:r w:rsidR="00DB1D01" w:rsidRPr="009B1437">
        <w:t>su quin</w:t>
      </w:r>
      <w:r w:rsidR="00202900" w:rsidRPr="009B1437">
        <w:t>t</w:t>
      </w:r>
      <w:r w:rsidR="00740BF7" w:rsidRPr="009B1437">
        <w:t>a</w:t>
      </w:r>
      <w:r w:rsidR="00202900" w:rsidRPr="009B1437">
        <w:t xml:space="preserve"> </w:t>
      </w:r>
      <w:r w:rsidR="001C1756" w:rsidRPr="009B1437">
        <w:t>sesión</w:t>
      </w:r>
      <w:r w:rsidRPr="009B1437">
        <w:t xml:space="preserve">, </w:t>
      </w:r>
      <w:r w:rsidR="00202900" w:rsidRPr="009B1437">
        <w:t>celebrada en 201</w:t>
      </w:r>
      <w:r w:rsidR="00DB1D01" w:rsidRPr="009B1437">
        <w:t>7</w:t>
      </w:r>
      <w:r w:rsidR="00202900" w:rsidRPr="009B1437">
        <w:t xml:space="preserve">, </w:t>
      </w:r>
      <w:r w:rsidRPr="009B1437">
        <w:t>el Comité de Normas Técnicas de la OMPI (CWS)</w:t>
      </w:r>
      <w:r w:rsidR="00DB1D01" w:rsidRPr="009B1437">
        <w:t xml:space="preserve"> tomó nota del informe de la encuesta sobre el uso de las normas técnicas de la OMPI, </w:t>
      </w:r>
      <w:r w:rsidR="00E1052B" w:rsidRPr="009B1437">
        <w:t>así como de</w:t>
      </w:r>
      <w:r w:rsidR="00DB1D01" w:rsidRPr="009B1437">
        <w:t xml:space="preserve"> la reseña con las respuestas recibidas de 31 </w:t>
      </w:r>
      <w:r w:rsidR="00E1052B" w:rsidRPr="009B1437">
        <w:t xml:space="preserve">Oficinas </w:t>
      </w:r>
      <w:r w:rsidR="00DB1D01" w:rsidRPr="009B1437">
        <w:t>de propiedad industrial (O</w:t>
      </w:r>
      <w:r w:rsidR="00E1052B" w:rsidRPr="009B1437">
        <w:t xml:space="preserve">ficinas de </w:t>
      </w:r>
      <w:r w:rsidR="00DB1D01" w:rsidRPr="009B1437">
        <w:t>PI). El CWS</w:t>
      </w:r>
      <w:r w:rsidR="00202900" w:rsidRPr="009B1437">
        <w:t xml:space="preserve"> </w:t>
      </w:r>
      <w:r w:rsidR="00E1052B" w:rsidRPr="009B1437">
        <w:t>pidi</w:t>
      </w:r>
      <w:r w:rsidR="00FD480C" w:rsidRPr="009B1437">
        <w:t>ó</w:t>
      </w:r>
      <w:r w:rsidR="00202900" w:rsidRPr="009B1437">
        <w:t xml:space="preserve"> a la Oficina Internacional que</w:t>
      </w:r>
      <w:r w:rsidR="00DB1D01" w:rsidRPr="009B1437">
        <w:t xml:space="preserve"> </w:t>
      </w:r>
      <w:r w:rsidR="002C2E8F" w:rsidRPr="009B1437">
        <w:t xml:space="preserve">se esfuerce aún más por brindar una asistencia técnica a los Estados miembros y </w:t>
      </w:r>
      <w:r w:rsidR="00E1052B" w:rsidRPr="009B1437">
        <w:t xml:space="preserve">que </w:t>
      </w:r>
      <w:r w:rsidR="002C2E8F" w:rsidRPr="009B1437">
        <w:t>efect</w:t>
      </w:r>
      <w:r w:rsidR="00E1052B" w:rsidRPr="009B1437">
        <w:t>úe un seguimiento de los casos mencionados</w:t>
      </w:r>
      <w:r w:rsidR="002C2E8F" w:rsidRPr="009B1437">
        <w:t xml:space="preserve"> en el párrafo 8.c) del documento CWS/5/2, así como de otros casos en el futuro </w:t>
      </w:r>
      <w:r w:rsidR="00E1052B" w:rsidRPr="009B1437">
        <w:t xml:space="preserve">para los </w:t>
      </w:r>
      <w:r w:rsidR="002C2E8F" w:rsidRPr="009B1437">
        <w:t xml:space="preserve">que </w:t>
      </w:r>
      <w:r w:rsidR="00E1052B" w:rsidRPr="009B1437">
        <w:t>sea necesario</w:t>
      </w:r>
      <w:r w:rsidR="002C2E8F" w:rsidRPr="009B1437">
        <w:t xml:space="preserve"> una toma de conciencia y asistencia técnica.  (Véanse los párrafos</w:t>
      </w:r>
      <w:r w:rsidR="00E1052B" w:rsidRPr="009B1437">
        <w:t> </w:t>
      </w:r>
      <w:r w:rsidR="002C2E8F" w:rsidRPr="009B1437">
        <w:t>13, 14 y 19 del documento CWS/5/2</w:t>
      </w:r>
      <w:r w:rsidR="00E1052B" w:rsidRPr="009B1437">
        <w:t>2</w:t>
      </w:r>
      <w:r w:rsidR="002C2E8F" w:rsidRPr="009B1437">
        <w:t xml:space="preserve">.)  </w:t>
      </w:r>
    </w:p>
    <w:p w14:paraId="7B6921A7" w14:textId="5954F608" w:rsidR="004F35AA" w:rsidRPr="009B1437" w:rsidRDefault="002C2E8F" w:rsidP="005D0DED">
      <w:pPr>
        <w:pStyle w:val="ONUME"/>
      </w:pPr>
      <w:r w:rsidRPr="009B1437">
        <w:t xml:space="preserve">A raíz de las decisiones adoptadas por el CWS en su quinta sesión, la Secretaría </w:t>
      </w:r>
      <w:r w:rsidR="005D0DED" w:rsidRPr="009B1437">
        <w:t>expidi</w:t>
      </w:r>
      <w:r w:rsidRPr="009B1437">
        <w:t>ó la circular C. CWS 89, en</w:t>
      </w:r>
      <w:r w:rsidR="00965EE0" w:rsidRPr="009B1437">
        <w:t xml:space="preserve"> forma d</w:t>
      </w:r>
      <w:r w:rsidRPr="009B1437">
        <w:t xml:space="preserve">e nota verbal con fecha 29 de noviembre de 2017, </w:t>
      </w:r>
      <w:r w:rsidR="00965EE0" w:rsidRPr="009B1437">
        <w:t>invitando</w:t>
      </w:r>
      <w:r w:rsidR="005D0DED" w:rsidRPr="009B1437">
        <w:t xml:space="preserve"> a las O</w:t>
      </w:r>
      <w:r w:rsidR="00965EE0" w:rsidRPr="009B1437">
        <w:t xml:space="preserve">ficinas de </w:t>
      </w:r>
      <w:r w:rsidR="005D0DED" w:rsidRPr="009B1437">
        <w:t xml:space="preserve">PI a enviar o modificar las respuestas a la encuesta sobre el uso de las normas técnicas de la OMPI. Además, el resultado de dicha encuesta, del que se informó en la quinta sesión del CWS, fue publicado como Parte 7.12 del </w:t>
      </w:r>
      <w:r w:rsidR="00884E59" w:rsidRPr="009B1437">
        <w:rPr>
          <w:i/>
        </w:rPr>
        <w:t>Manual de Información y Documentación de la OMPI en materia de Propiedad Industrial</w:t>
      </w:r>
      <w:r w:rsidR="00884E59" w:rsidRPr="009B1437">
        <w:t xml:space="preserve"> (</w:t>
      </w:r>
      <w:r w:rsidR="004F35AA" w:rsidRPr="009B1437">
        <w:t>Manual de la OMPI</w:t>
      </w:r>
      <w:r w:rsidR="00884E59" w:rsidRPr="009B1437">
        <w:t>)</w:t>
      </w:r>
      <w:r w:rsidR="004F35AA" w:rsidRPr="009B1437">
        <w:t>.</w:t>
      </w:r>
      <w:r w:rsidR="005D0DED" w:rsidRPr="009B1437">
        <w:t xml:space="preserve"> Asimismo, </w:t>
      </w:r>
      <w:r w:rsidR="00A41F6E" w:rsidRPr="009B1437">
        <w:t>se trasladaron las Normas de la OMPI ST.7 a ST.7/F y ST.30</w:t>
      </w:r>
      <w:r w:rsidR="001A47BF" w:rsidRPr="009B1437">
        <w:t xml:space="preserve"> a los Archivos, </w:t>
      </w:r>
      <w:r w:rsidR="00965EE0" w:rsidRPr="009B1437">
        <w:t xml:space="preserve">a los que </w:t>
      </w:r>
      <w:r w:rsidR="001A47BF" w:rsidRPr="009B1437">
        <w:t xml:space="preserve">también </w:t>
      </w:r>
      <w:r w:rsidR="00965EE0" w:rsidRPr="009B1437">
        <w:t xml:space="preserve">puede accederse </w:t>
      </w:r>
      <w:r w:rsidR="001A47BF" w:rsidRPr="009B1437">
        <w:t>desde el sitio web de la OMPI</w:t>
      </w:r>
      <w:r w:rsidR="00A41F6E" w:rsidRPr="009B1437">
        <w:t xml:space="preserve">. Por consiguiente, también se </w:t>
      </w:r>
      <w:r w:rsidR="001A47BF" w:rsidRPr="009B1437">
        <w:t xml:space="preserve">han </w:t>
      </w:r>
      <w:r w:rsidR="00A41F6E" w:rsidRPr="009B1437">
        <w:t>tra</w:t>
      </w:r>
      <w:r w:rsidR="001A47BF" w:rsidRPr="009B1437">
        <w:t>sladado</w:t>
      </w:r>
      <w:r w:rsidR="00A41F6E" w:rsidRPr="009B1437">
        <w:t xml:space="preserve"> las respuestas de las O</w:t>
      </w:r>
      <w:r w:rsidR="00965EE0" w:rsidRPr="009B1437">
        <w:t xml:space="preserve">ficinas de </w:t>
      </w:r>
      <w:r w:rsidR="00A41F6E" w:rsidRPr="009B1437">
        <w:t>PI relativas a las normas archivadas.  (Véanse los párrafos 15 a 18 del documento CWS/5/2</w:t>
      </w:r>
      <w:r w:rsidR="00965EE0" w:rsidRPr="009B1437">
        <w:t>2</w:t>
      </w:r>
      <w:r w:rsidR="00A41F6E" w:rsidRPr="009B1437">
        <w:t>.)</w:t>
      </w:r>
    </w:p>
    <w:p w14:paraId="6B4EEFC4" w14:textId="6B22F606" w:rsidR="0007617C" w:rsidRPr="009B1437" w:rsidRDefault="0007617C" w:rsidP="0007617C">
      <w:pPr>
        <w:pStyle w:val="Heading2"/>
        <w:spacing w:before="0" w:after="120"/>
        <w:rPr>
          <w:caps w:val="0"/>
        </w:rPr>
      </w:pPr>
      <w:r w:rsidRPr="009B1437">
        <w:rPr>
          <w:caps w:val="0"/>
        </w:rPr>
        <w:lastRenderedPageBreak/>
        <w:t>INFORME SOBRE LA MARCHA DE LA LABOR</w:t>
      </w:r>
    </w:p>
    <w:p w14:paraId="40BBABB2" w14:textId="5BB82CCB" w:rsidR="00202900" w:rsidRPr="009B1437" w:rsidRDefault="00320B73" w:rsidP="00740BF7">
      <w:pPr>
        <w:pStyle w:val="ONUME"/>
      </w:pPr>
      <w:r w:rsidRPr="009B1437">
        <w:t>A resultas de la circular C. CWS 89, dos O</w:t>
      </w:r>
      <w:r w:rsidR="00E32503" w:rsidRPr="009B1437">
        <w:t xml:space="preserve">ficinas de </w:t>
      </w:r>
      <w:r w:rsidRPr="009B1437">
        <w:t>PI (CA y MD) modificaron las respuestas que habían enviado, y las nueve O</w:t>
      </w:r>
      <w:r w:rsidR="00E32503" w:rsidRPr="009B1437">
        <w:t xml:space="preserve">ficinas de </w:t>
      </w:r>
      <w:r w:rsidRPr="009B1437">
        <w:t>PI siguientes presentaron sus respuestas: AR, CH, EC, EM, EP, GB, GE, IL y TH.</w:t>
      </w:r>
    </w:p>
    <w:p w14:paraId="4D179941" w14:textId="748B3888" w:rsidR="002348B0" w:rsidRPr="009B1437" w:rsidRDefault="00D61556" w:rsidP="002348B0">
      <w:pPr>
        <w:pStyle w:val="ONUME"/>
      </w:pPr>
      <w:r w:rsidRPr="009B1437">
        <w:t xml:space="preserve">Las siguientes </w:t>
      </w:r>
      <w:r w:rsidR="00E32503" w:rsidRPr="009B1437">
        <w:t>49</w:t>
      </w:r>
      <w:r w:rsidRPr="009B1437">
        <w:t xml:space="preserve"> </w:t>
      </w:r>
      <w:r w:rsidR="00E32503" w:rsidRPr="009B1437">
        <w:t xml:space="preserve">Oficinas </w:t>
      </w:r>
      <w:r w:rsidR="00847EBC" w:rsidRPr="009B1437">
        <w:t>de PI</w:t>
      </w:r>
      <w:r w:rsidRPr="009B1437">
        <w:t xml:space="preserve"> participa</w:t>
      </w:r>
      <w:r w:rsidR="00E32503" w:rsidRPr="009B1437">
        <w:t>r</w:t>
      </w:r>
      <w:r w:rsidRPr="009B1437">
        <w:t>o</w:t>
      </w:r>
      <w:r w:rsidR="00E32503" w:rsidRPr="009B1437">
        <w:t>n</w:t>
      </w:r>
      <w:r w:rsidRPr="009B1437">
        <w:t xml:space="preserve"> en la encuesta</w:t>
      </w:r>
      <w:r w:rsidR="002348B0" w:rsidRPr="009B1437">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933"/>
        <w:gridCol w:w="720"/>
        <w:gridCol w:w="2970"/>
      </w:tblGrid>
      <w:tr w:rsidR="00320B73" w:rsidRPr="00320B73" w14:paraId="1F54E09E" w14:textId="77777777" w:rsidTr="00290A71">
        <w:tc>
          <w:tcPr>
            <w:tcW w:w="648" w:type="dxa"/>
          </w:tcPr>
          <w:p w14:paraId="4C64D07B" w14:textId="77777777" w:rsidR="00320B73" w:rsidRPr="00320B73" w:rsidRDefault="00320B73" w:rsidP="00320B73">
            <w:pPr>
              <w:spacing w:after="120"/>
            </w:pPr>
            <w:r w:rsidRPr="00320B73">
              <w:t>AR</w:t>
            </w:r>
          </w:p>
          <w:p w14:paraId="529EED80" w14:textId="77777777" w:rsidR="00320B73" w:rsidRPr="00320B73" w:rsidRDefault="00320B73" w:rsidP="00320B73">
            <w:pPr>
              <w:spacing w:after="120"/>
            </w:pPr>
            <w:r w:rsidRPr="00320B73">
              <w:t>AU</w:t>
            </w:r>
          </w:p>
          <w:p w14:paraId="360A3A24" w14:textId="77777777" w:rsidR="00320B73" w:rsidRPr="00320B73" w:rsidRDefault="00320B73" w:rsidP="00320B73">
            <w:pPr>
              <w:spacing w:after="120"/>
            </w:pPr>
            <w:r w:rsidRPr="00320B73">
              <w:t>BA</w:t>
            </w:r>
          </w:p>
          <w:p w14:paraId="41654D78" w14:textId="77777777" w:rsidR="00320B73" w:rsidRPr="00320B73" w:rsidRDefault="00320B73" w:rsidP="00320B73">
            <w:pPr>
              <w:spacing w:after="120"/>
            </w:pPr>
            <w:r w:rsidRPr="00320B73">
              <w:t>BD</w:t>
            </w:r>
          </w:p>
          <w:p w14:paraId="6659DEFD" w14:textId="77777777" w:rsidR="00320B73" w:rsidRPr="00320B73" w:rsidRDefault="00320B73" w:rsidP="00320B73">
            <w:pPr>
              <w:spacing w:after="120"/>
            </w:pPr>
            <w:r w:rsidRPr="00320B73">
              <w:t>CA</w:t>
            </w:r>
          </w:p>
          <w:p w14:paraId="20CC8D6B" w14:textId="77777777" w:rsidR="00320B73" w:rsidRPr="00320B73" w:rsidRDefault="00320B73" w:rsidP="00320B73">
            <w:pPr>
              <w:spacing w:after="120"/>
            </w:pPr>
            <w:r w:rsidRPr="00320B73">
              <w:t>CH</w:t>
            </w:r>
          </w:p>
          <w:p w14:paraId="6259FEDC" w14:textId="77777777" w:rsidR="00320B73" w:rsidRPr="00320B73" w:rsidRDefault="00320B73" w:rsidP="00320B73">
            <w:pPr>
              <w:spacing w:after="120"/>
            </w:pPr>
            <w:r w:rsidRPr="00320B73">
              <w:t>CN</w:t>
            </w:r>
          </w:p>
          <w:p w14:paraId="31933895" w14:textId="77777777" w:rsidR="00320B73" w:rsidRPr="00320B73" w:rsidRDefault="00320B73" w:rsidP="00320B73">
            <w:pPr>
              <w:spacing w:after="120"/>
            </w:pPr>
            <w:r w:rsidRPr="00320B73">
              <w:t>CO</w:t>
            </w:r>
          </w:p>
          <w:p w14:paraId="77EE6CDD" w14:textId="77777777" w:rsidR="00320B73" w:rsidRPr="00320B73" w:rsidRDefault="00320B73" w:rsidP="00320B73">
            <w:pPr>
              <w:spacing w:after="120"/>
            </w:pPr>
            <w:r w:rsidRPr="00320B73">
              <w:t>CZ</w:t>
            </w:r>
          </w:p>
          <w:p w14:paraId="10D35818" w14:textId="77777777" w:rsidR="00320B73" w:rsidRPr="00320B73" w:rsidRDefault="00320B73" w:rsidP="00320B73">
            <w:pPr>
              <w:spacing w:after="120"/>
            </w:pPr>
            <w:r w:rsidRPr="00320B73">
              <w:t>DE</w:t>
            </w:r>
          </w:p>
          <w:p w14:paraId="16E7434C" w14:textId="77777777" w:rsidR="00320B73" w:rsidRPr="00320B73" w:rsidRDefault="00320B73" w:rsidP="00320B73">
            <w:pPr>
              <w:spacing w:after="120"/>
            </w:pPr>
            <w:r w:rsidRPr="00320B73">
              <w:t>EC</w:t>
            </w:r>
          </w:p>
          <w:p w14:paraId="410D8563" w14:textId="77777777" w:rsidR="00320B73" w:rsidRPr="00320B73" w:rsidRDefault="00320B73" w:rsidP="00320B73">
            <w:pPr>
              <w:spacing w:after="120"/>
            </w:pPr>
            <w:r w:rsidRPr="00320B73">
              <w:t>EM</w:t>
            </w:r>
          </w:p>
          <w:p w14:paraId="3EC30B72" w14:textId="77777777" w:rsidR="00320B73" w:rsidRPr="00320B73" w:rsidRDefault="00320B73" w:rsidP="00320B73">
            <w:pPr>
              <w:spacing w:after="120"/>
            </w:pPr>
            <w:r w:rsidRPr="00320B73">
              <w:t>EP</w:t>
            </w:r>
          </w:p>
          <w:p w14:paraId="5B9ADE24" w14:textId="77777777" w:rsidR="00320B73" w:rsidRPr="00320B73" w:rsidRDefault="00320B73" w:rsidP="00320B73">
            <w:pPr>
              <w:spacing w:after="120"/>
            </w:pPr>
            <w:r w:rsidRPr="00320B73">
              <w:t>GB</w:t>
            </w:r>
          </w:p>
          <w:p w14:paraId="5F490117" w14:textId="77777777" w:rsidR="00320B73" w:rsidRPr="00320B73" w:rsidRDefault="00320B73" w:rsidP="00320B73">
            <w:pPr>
              <w:spacing w:after="120"/>
            </w:pPr>
            <w:r w:rsidRPr="00320B73">
              <w:t>GE</w:t>
            </w:r>
          </w:p>
          <w:p w14:paraId="0EBBAC6B" w14:textId="77777777" w:rsidR="00320B73" w:rsidRPr="00320B73" w:rsidRDefault="00320B73" w:rsidP="00320B73">
            <w:pPr>
              <w:spacing w:after="120"/>
            </w:pPr>
            <w:r w:rsidRPr="00320B73">
              <w:t>HN</w:t>
            </w:r>
          </w:p>
          <w:p w14:paraId="50D24F46" w14:textId="77777777" w:rsidR="00320B73" w:rsidRPr="00320B73" w:rsidRDefault="00320B73" w:rsidP="00320B73">
            <w:pPr>
              <w:spacing w:after="120"/>
            </w:pPr>
            <w:r w:rsidRPr="00320B73">
              <w:t>HR</w:t>
            </w:r>
          </w:p>
          <w:p w14:paraId="2F38186E" w14:textId="77777777" w:rsidR="00320B73" w:rsidRPr="00320B73" w:rsidRDefault="00320B73" w:rsidP="00320B73">
            <w:pPr>
              <w:spacing w:after="120"/>
            </w:pPr>
            <w:r w:rsidRPr="00320B73">
              <w:t>HU</w:t>
            </w:r>
          </w:p>
          <w:p w14:paraId="160E124C" w14:textId="77777777" w:rsidR="00320B73" w:rsidRPr="00320B73" w:rsidRDefault="00320B73" w:rsidP="00320B73">
            <w:pPr>
              <w:spacing w:after="120"/>
            </w:pPr>
            <w:r w:rsidRPr="00320B73">
              <w:t>IL</w:t>
            </w:r>
          </w:p>
          <w:p w14:paraId="34E0BB63" w14:textId="77777777" w:rsidR="00320B73" w:rsidRPr="00320B73" w:rsidRDefault="00320B73" w:rsidP="00320B73">
            <w:pPr>
              <w:spacing w:after="120"/>
            </w:pPr>
            <w:r w:rsidRPr="00320B73">
              <w:t>IT</w:t>
            </w:r>
          </w:p>
          <w:p w14:paraId="2C818D46" w14:textId="77777777" w:rsidR="00320B73" w:rsidRPr="00320B73" w:rsidRDefault="00320B73" w:rsidP="00320B73">
            <w:pPr>
              <w:spacing w:after="120"/>
            </w:pPr>
          </w:p>
        </w:tc>
        <w:tc>
          <w:tcPr>
            <w:tcW w:w="3933" w:type="dxa"/>
          </w:tcPr>
          <w:p w14:paraId="011574C6" w14:textId="77777777" w:rsidR="00320B73" w:rsidRPr="00320B73" w:rsidRDefault="00320B73" w:rsidP="00320B73">
            <w:pPr>
              <w:spacing w:after="120"/>
            </w:pPr>
            <w:r w:rsidRPr="00320B73">
              <w:t>Argentina</w:t>
            </w:r>
          </w:p>
          <w:p w14:paraId="2F2D8834" w14:textId="77777777" w:rsidR="00320B73" w:rsidRPr="00320B73" w:rsidRDefault="00320B73" w:rsidP="00320B73">
            <w:pPr>
              <w:spacing w:after="120"/>
            </w:pPr>
            <w:r w:rsidRPr="00320B73">
              <w:t>Australia</w:t>
            </w:r>
          </w:p>
          <w:p w14:paraId="00CEF62E" w14:textId="450FF05A" w:rsidR="00320B73" w:rsidRPr="00320B73" w:rsidRDefault="00320B73" w:rsidP="00320B73">
            <w:pPr>
              <w:spacing w:after="120"/>
            </w:pPr>
            <w:r w:rsidRPr="00320B73">
              <w:t xml:space="preserve">Bosnia </w:t>
            </w:r>
            <w:r w:rsidRPr="009B1437">
              <w:t>y</w:t>
            </w:r>
            <w:r w:rsidRPr="00320B73">
              <w:t xml:space="preserve"> Herzegovina</w:t>
            </w:r>
          </w:p>
          <w:p w14:paraId="1EC70609" w14:textId="77777777" w:rsidR="00320B73" w:rsidRPr="00320B73" w:rsidRDefault="00320B73" w:rsidP="00320B73">
            <w:pPr>
              <w:spacing w:after="120"/>
            </w:pPr>
            <w:r w:rsidRPr="00320B73">
              <w:t>Bangladesh</w:t>
            </w:r>
          </w:p>
          <w:p w14:paraId="543F55C2" w14:textId="3F32E9A3" w:rsidR="00320B73" w:rsidRPr="00320B73" w:rsidRDefault="00320B73" w:rsidP="00320B73">
            <w:pPr>
              <w:spacing w:after="120"/>
            </w:pPr>
            <w:r w:rsidRPr="009B1437">
              <w:t>Canadá</w:t>
            </w:r>
          </w:p>
          <w:p w14:paraId="1CC9CFF1" w14:textId="71B5504A" w:rsidR="00320B73" w:rsidRPr="00320B73" w:rsidRDefault="00320B73" w:rsidP="00320B73">
            <w:pPr>
              <w:spacing w:after="120"/>
            </w:pPr>
            <w:r w:rsidRPr="00320B73">
              <w:t>S</w:t>
            </w:r>
            <w:r w:rsidRPr="009B1437">
              <w:t>u</w:t>
            </w:r>
            <w:r w:rsidRPr="00320B73">
              <w:t>iza</w:t>
            </w:r>
          </w:p>
          <w:p w14:paraId="053B0993" w14:textId="77777777" w:rsidR="00320B73" w:rsidRPr="00320B73" w:rsidRDefault="00320B73" w:rsidP="00320B73">
            <w:pPr>
              <w:spacing w:after="120"/>
            </w:pPr>
            <w:r w:rsidRPr="00320B73">
              <w:t>China</w:t>
            </w:r>
          </w:p>
          <w:p w14:paraId="44EB08A5" w14:textId="77777777" w:rsidR="00320B73" w:rsidRPr="00320B73" w:rsidRDefault="00320B73" w:rsidP="00320B73">
            <w:pPr>
              <w:spacing w:after="120"/>
            </w:pPr>
            <w:r w:rsidRPr="00320B73">
              <w:t>Colombia</w:t>
            </w:r>
          </w:p>
          <w:p w14:paraId="07B77D48" w14:textId="79DC775B" w:rsidR="00320B73" w:rsidRPr="00320B73" w:rsidRDefault="00320B73" w:rsidP="00320B73">
            <w:pPr>
              <w:spacing w:after="120"/>
            </w:pPr>
            <w:r w:rsidRPr="00320B73">
              <w:t>C</w:t>
            </w:r>
            <w:r w:rsidRPr="009B1437">
              <w:t>hequ</w:t>
            </w:r>
            <w:r w:rsidRPr="00320B73">
              <w:t>ia</w:t>
            </w:r>
          </w:p>
          <w:p w14:paraId="254DF6BE" w14:textId="625AA2D9" w:rsidR="00320B73" w:rsidRPr="00320B73" w:rsidRDefault="00320B73" w:rsidP="00320B73">
            <w:pPr>
              <w:spacing w:after="120"/>
            </w:pPr>
            <w:r w:rsidRPr="009B1437">
              <w:t>Alemania</w:t>
            </w:r>
          </w:p>
          <w:p w14:paraId="3AFFAAB8" w14:textId="77777777" w:rsidR="00320B73" w:rsidRPr="00320B73" w:rsidRDefault="00320B73" w:rsidP="00320B73">
            <w:pPr>
              <w:spacing w:after="120"/>
            </w:pPr>
            <w:r w:rsidRPr="00320B73">
              <w:t>Ecuador</w:t>
            </w:r>
          </w:p>
          <w:p w14:paraId="7D452A8F" w14:textId="77777777" w:rsidR="00320B73" w:rsidRPr="00320B73" w:rsidRDefault="00320B73" w:rsidP="00320B73">
            <w:pPr>
              <w:spacing w:after="120"/>
            </w:pPr>
            <w:r w:rsidRPr="00320B73">
              <w:t>EUIPO</w:t>
            </w:r>
          </w:p>
          <w:p w14:paraId="617EA85B" w14:textId="6A32BE6C" w:rsidR="00320B73" w:rsidRPr="00320B73" w:rsidRDefault="00320B73" w:rsidP="00320B73">
            <w:pPr>
              <w:spacing w:after="120"/>
            </w:pPr>
            <w:r w:rsidRPr="009B1437">
              <w:t xml:space="preserve">Oficina </w:t>
            </w:r>
            <w:r w:rsidRPr="00320B73">
              <w:t>Europea</w:t>
            </w:r>
            <w:r w:rsidRPr="009B1437">
              <w:t xml:space="preserve"> de</w:t>
            </w:r>
            <w:r w:rsidRPr="00320B73">
              <w:t xml:space="preserve"> Patente</w:t>
            </w:r>
            <w:r w:rsidRPr="009B1437">
              <w:t>s</w:t>
            </w:r>
          </w:p>
          <w:p w14:paraId="530DA75D" w14:textId="05511258" w:rsidR="00320B73" w:rsidRPr="00320B73" w:rsidRDefault="00320B73" w:rsidP="00320B73">
            <w:pPr>
              <w:spacing w:after="120"/>
            </w:pPr>
            <w:r w:rsidRPr="009B1437">
              <w:t>Reino Unido</w:t>
            </w:r>
          </w:p>
          <w:p w14:paraId="4DDA81BC" w14:textId="77777777" w:rsidR="00320B73" w:rsidRPr="00320B73" w:rsidRDefault="00320B73" w:rsidP="00320B73">
            <w:pPr>
              <w:spacing w:after="120"/>
            </w:pPr>
            <w:r w:rsidRPr="00320B73">
              <w:t>Georgia</w:t>
            </w:r>
          </w:p>
          <w:p w14:paraId="52AFF92A" w14:textId="77777777" w:rsidR="00320B73" w:rsidRPr="00320B73" w:rsidRDefault="00320B73" w:rsidP="00320B73">
            <w:pPr>
              <w:spacing w:after="120"/>
            </w:pPr>
            <w:r w:rsidRPr="00320B73">
              <w:t>Honduras</w:t>
            </w:r>
          </w:p>
          <w:p w14:paraId="43F6A15D" w14:textId="1FCE496F" w:rsidR="00320B73" w:rsidRPr="00320B73" w:rsidRDefault="00320B73" w:rsidP="00320B73">
            <w:pPr>
              <w:spacing w:after="120"/>
            </w:pPr>
            <w:r w:rsidRPr="009B1437">
              <w:t>Croac</w:t>
            </w:r>
            <w:r w:rsidRPr="00320B73">
              <w:t>ia</w:t>
            </w:r>
          </w:p>
          <w:p w14:paraId="67995635" w14:textId="7ABBC807" w:rsidR="00320B73" w:rsidRPr="00320B73" w:rsidRDefault="00320B73" w:rsidP="00320B73">
            <w:pPr>
              <w:spacing w:after="120"/>
            </w:pPr>
            <w:r w:rsidRPr="00320B73">
              <w:t>Hungr</w:t>
            </w:r>
            <w:r w:rsidRPr="009B1437">
              <w:t>ía</w:t>
            </w:r>
          </w:p>
          <w:p w14:paraId="008D1EE7" w14:textId="77777777" w:rsidR="00320B73" w:rsidRPr="00320B73" w:rsidRDefault="00320B73" w:rsidP="00320B73">
            <w:pPr>
              <w:spacing w:after="120"/>
            </w:pPr>
            <w:r w:rsidRPr="00320B73">
              <w:t>Israel</w:t>
            </w:r>
          </w:p>
          <w:p w14:paraId="40E729C2" w14:textId="5C2878B8" w:rsidR="00320B73" w:rsidRPr="00320B73" w:rsidRDefault="00320B73" w:rsidP="00320B73">
            <w:pPr>
              <w:spacing w:after="120"/>
            </w:pPr>
            <w:r w:rsidRPr="009B1437">
              <w:t>Italia</w:t>
            </w:r>
          </w:p>
          <w:p w14:paraId="7F39C6E6" w14:textId="77777777" w:rsidR="00320B73" w:rsidRPr="00320B73" w:rsidRDefault="00320B73" w:rsidP="00320B73">
            <w:pPr>
              <w:spacing w:after="120"/>
            </w:pPr>
          </w:p>
        </w:tc>
        <w:tc>
          <w:tcPr>
            <w:tcW w:w="720" w:type="dxa"/>
          </w:tcPr>
          <w:p w14:paraId="66905F89" w14:textId="77777777" w:rsidR="00320B73" w:rsidRPr="00320B73" w:rsidRDefault="00320B73" w:rsidP="00320B73">
            <w:pPr>
              <w:spacing w:after="120"/>
            </w:pPr>
            <w:r w:rsidRPr="00320B73">
              <w:t>JP</w:t>
            </w:r>
          </w:p>
          <w:p w14:paraId="4BADFFE2" w14:textId="77777777" w:rsidR="00320B73" w:rsidRPr="00320B73" w:rsidRDefault="00320B73" w:rsidP="00320B73">
            <w:pPr>
              <w:spacing w:after="120"/>
            </w:pPr>
            <w:r w:rsidRPr="00320B73">
              <w:t>KG</w:t>
            </w:r>
          </w:p>
          <w:p w14:paraId="6D3E5744" w14:textId="77777777" w:rsidR="00320B73" w:rsidRPr="00320B73" w:rsidRDefault="00320B73" w:rsidP="00320B73">
            <w:pPr>
              <w:spacing w:after="120"/>
            </w:pPr>
            <w:r w:rsidRPr="00320B73">
              <w:t>KR</w:t>
            </w:r>
          </w:p>
          <w:p w14:paraId="0BA6C790" w14:textId="77777777" w:rsidR="00320B73" w:rsidRPr="00320B73" w:rsidRDefault="00320B73" w:rsidP="00320B73">
            <w:pPr>
              <w:spacing w:after="120"/>
            </w:pPr>
            <w:r w:rsidRPr="00320B73">
              <w:t>LT</w:t>
            </w:r>
          </w:p>
          <w:p w14:paraId="18429C88" w14:textId="77777777" w:rsidR="00320B73" w:rsidRPr="00320B73" w:rsidRDefault="00320B73" w:rsidP="00320B73">
            <w:pPr>
              <w:spacing w:after="120"/>
            </w:pPr>
            <w:r w:rsidRPr="00320B73">
              <w:t>MD</w:t>
            </w:r>
          </w:p>
          <w:p w14:paraId="4E7BD03E" w14:textId="77777777" w:rsidR="00320B73" w:rsidRPr="00320B73" w:rsidRDefault="00320B73" w:rsidP="00320B73">
            <w:pPr>
              <w:spacing w:after="120"/>
            </w:pPr>
            <w:r w:rsidRPr="00320B73">
              <w:t>MX</w:t>
            </w:r>
          </w:p>
          <w:p w14:paraId="7EF0B542" w14:textId="77777777" w:rsidR="00320B73" w:rsidRPr="00320B73" w:rsidRDefault="00320B73" w:rsidP="00320B73">
            <w:pPr>
              <w:spacing w:after="120"/>
            </w:pPr>
            <w:r w:rsidRPr="00320B73">
              <w:t>OM</w:t>
            </w:r>
          </w:p>
          <w:p w14:paraId="7366A3E7" w14:textId="77777777" w:rsidR="00320B73" w:rsidRPr="00320B73" w:rsidRDefault="00320B73" w:rsidP="00320B73">
            <w:pPr>
              <w:spacing w:after="120"/>
            </w:pPr>
            <w:r w:rsidRPr="00320B73">
              <w:t>RU</w:t>
            </w:r>
          </w:p>
          <w:p w14:paraId="43AAC995" w14:textId="77777777" w:rsidR="00320B73" w:rsidRPr="00320B73" w:rsidRDefault="00320B73" w:rsidP="00320B73">
            <w:pPr>
              <w:spacing w:after="120"/>
            </w:pPr>
            <w:r w:rsidRPr="00320B73">
              <w:t>SA</w:t>
            </w:r>
          </w:p>
          <w:p w14:paraId="0A042BEE" w14:textId="77777777" w:rsidR="00320B73" w:rsidRPr="00320B73" w:rsidRDefault="00320B73" w:rsidP="00320B73">
            <w:pPr>
              <w:spacing w:after="120"/>
            </w:pPr>
            <w:r w:rsidRPr="00320B73">
              <w:t>SE</w:t>
            </w:r>
          </w:p>
          <w:p w14:paraId="5D15F1EC" w14:textId="77777777" w:rsidR="00320B73" w:rsidRPr="00320B73" w:rsidRDefault="00320B73" w:rsidP="00320B73">
            <w:pPr>
              <w:spacing w:after="120"/>
            </w:pPr>
            <w:r w:rsidRPr="00320B73">
              <w:t>SK</w:t>
            </w:r>
          </w:p>
          <w:p w14:paraId="2DEEC7DF" w14:textId="77777777" w:rsidR="00320B73" w:rsidRPr="00320B73" w:rsidRDefault="00320B73" w:rsidP="00320B73">
            <w:pPr>
              <w:spacing w:after="120"/>
            </w:pPr>
            <w:r w:rsidRPr="00320B73">
              <w:t>SV</w:t>
            </w:r>
          </w:p>
          <w:p w14:paraId="3C768762" w14:textId="77777777" w:rsidR="00320B73" w:rsidRPr="00320B73" w:rsidRDefault="00320B73" w:rsidP="00320B73">
            <w:pPr>
              <w:spacing w:after="120"/>
            </w:pPr>
            <w:r w:rsidRPr="00320B73">
              <w:t>TH</w:t>
            </w:r>
          </w:p>
          <w:p w14:paraId="2A349E7C" w14:textId="77777777" w:rsidR="00320B73" w:rsidRPr="00320B73" w:rsidRDefault="00320B73" w:rsidP="00320B73">
            <w:pPr>
              <w:spacing w:after="120"/>
            </w:pPr>
            <w:r w:rsidRPr="00320B73">
              <w:t>TN</w:t>
            </w:r>
          </w:p>
          <w:p w14:paraId="3FB0B365" w14:textId="77777777" w:rsidR="00320B73" w:rsidRPr="00320B73" w:rsidRDefault="00320B73" w:rsidP="00320B73">
            <w:pPr>
              <w:spacing w:after="120"/>
            </w:pPr>
            <w:r w:rsidRPr="00320B73">
              <w:t>TT</w:t>
            </w:r>
          </w:p>
          <w:p w14:paraId="78DEF3F1" w14:textId="77777777" w:rsidR="00320B73" w:rsidRPr="00320B73" w:rsidRDefault="00320B73" w:rsidP="00320B73">
            <w:pPr>
              <w:spacing w:after="120"/>
            </w:pPr>
            <w:r w:rsidRPr="00320B73">
              <w:t>UA</w:t>
            </w:r>
          </w:p>
          <w:p w14:paraId="1C4164FB" w14:textId="77777777" w:rsidR="00320B73" w:rsidRPr="00320B73" w:rsidRDefault="00320B73" w:rsidP="00320B73">
            <w:pPr>
              <w:spacing w:after="120"/>
            </w:pPr>
            <w:r w:rsidRPr="00320B73">
              <w:t>UG</w:t>
            </w:r>
          </w:p>
          <w:p w14:paraId="13CBB166" w14:textId="77777777" w:rsidR="00320B73" w:rsidRPr="00320B73" w:rsidRDefault="00320B73" w:rsidP="00320B73">
            <w:pPr>
              <w:spacing w:after="120"/>
            </w:pPr>
            <w:r w:rsidRPr="00320B73">
              <w:t>US</w:t>
            </w:r>
          </w:p>
          <w:p w14:paraId="08616316" w14:textId="77777777" w:rsidR="00320B73" w:rsidRPr="00320B73" w:rsidRDefault="00320B73" w:rsidP="00320B73">
            <w:pPr>
              <w:spacing w:after="120"/>
            </w:pPr>
            <w:r w:rsidRPr="00320B73">
              <w:t>ZA</w:t>
            </w:r>
          </w:p>
        </w:tc>
        <w:tc>
          <w:tcPr>
            <w:tcW w:w="2970" w:type="dxa"/>
          </w:tcPr>
          <w:p w14:paraId="1B22EBFB" w14:textId="5616A2B3" w:rsidR="00320B73" w:rsidRPr="00320B73" w:rsidRDefault="00320B73" w:rsidP="00320B73">
            <w:pPr>
              <w:spacing w:after="120"/>
            </w:pPr>
            <w:r w:rsidRPr="009B1437">
              <w:t>Japó</w:t>
            </w:r>
            <w:r w:rsidRPr="00320B73">
              <w:t>n</w:t>
            </w:r>
          </w:p>
          <w:p w14:paraId="25C3BD60" w14:textId="76FD703A" w:rsidR="00320B73" w:rsidRPr="00320B73" w:rsidRDefault="00320B73" w:rsidP="00320B73">
            <w:pPr>
              <w:spacing w:after="120"/>
            </w:pPr>
            <w:r w:rsidRPr="00320B73">
              <w:t>K</w:t>
            </w:r>
            <w:r w:rsidRPr="009B1437">
              <w:t>i</w:t>
            </w:r>
            <w:r w:rsidRPr="00320B73">
              <w:t>rg</w:t>
            </w:r>
            <w:r w:rsidRPr="009B1437">
              <w:t>uis</w:t>
            </w:r>
            <w:r w:rsidRPr="00320B73">
              <w:t>t</w:t>
            </w:r>
            <w:r w:rsidRPr="009B1437">
              <w:t>á</w:t>
            </w:r>
            <w:r w:rsidRPr="00320B73">
              <w:t>n</w:t>
            </w:r>
          </w:p>
          <w:p w14:paraId="6144C066" w14:textId="1AF32247" w:rsidR="00320B73" w:rsidRPr="00320B73" w:rsidRDefault="00320B73" w:rsidP="00320B73">
            <w:pPr>
              <w:spacing w:after="120"/>
            </w:pPr>
            <w:r w:rsidRPr="009B1437">
              <w:t>Repú</w:t>
            </w:r>
            <w:r w:rsidRPr="00320B73">
              <w:t>blic</w:t>
            </w:r>
            <w:r w:rsidRPr="009B1437">
              <w:t>a de</w:t>
            </w:r>
            <w:r w:rsidRPr="00320B73">
              <w:t xml:space="preserve"> </w:t>
            </w:r>
            <w:r w:rsidRPr="009B1437">
              <w:t>C</w:t>
            </w:r>
            <w:r w:rsidRPr="00320B73">
              <w:t>orea</w:t>
            </w:r>
          </w:p>
          <w:p w14:paraId="2595EF8F" w14:textId="710E0F24" w:rsidR="00320B73" w:rsidRPr="00320B73" w:rsidRDefault="00320B73" w:rsidP="00320B73">
            <w:pPr>
              <w:spacing w:after="120"/>
            </w:pPr>
            <w:r w:rsidRPr="009B1437">
              <w:t>Lit</w:t>
            </w:r>
            <w:r w:rsidRPr="00320B73">
              <w:t>uania</w:t>
            </w:r>
          </w:p>
          <w:p w14:paraId="04140703" w14:textId="2307A76D" w:rsidR="00320B73" w:rsidRPr="00320B73" w:rsidRDefault="00320B73" w:rsidP="00320B73">
            <w:pPr>
              <w:spacing w:after="120"/>
            </w:pPr>
            <w:r w:rsidRPr="009B1437">
              <w:t>Repú</w:t>
            </w:r>
            <w:r w:rsidRPr="00320B73">
              <w:t>blic</w:t>
            </w:r>
            <w:r w:rsidRPr="009B1437">
              <w:t>a</w:t>
            </w:r>
            <w:r w:rsidRPr="00320B73">
              <w:t xml:space="preserve"> </w:t>
            </w:r>
            <w:r w:rsidRPr="009B1437">
              <w:t>de</w:t>
            </w:r>
            <w:r w:rsidRPr="00320B73">
              <w:t xml:space="preserve"> Moldova</w:t>
            </w:r>
          </w:p>
          <w:p w14:paraId="0F5DAB33" w14:textId="4EB9FB6C" w:rsidR="00320B73" w:rsidRPr="00320B73" w:rsidRDefault="00320B73" w:rsidP="00320B73">
            <w:pPr>
              <w:spacing w:after="120"/>
            </w:pPr>
            <w:r w:rsidRPr="009B1437">
              <w:t>Mé</w:t>
            </w:r>
            <w:r w:rsidRPr="00320B73">
              <w:t>xico</w:t>
            </w:r>
          </w:p>
          <w:p w14:paraId="177D8458" w14:textId="25A07596" w:rsidR="00320B73" w:rsidRPr="00320B73" w:rsidRDefault="00320B73" w:rsidP="00320B73">
            <w:pPr>
              <w:spacing w:after="120"/>
            </w:pPr>
            <w:r w:rsidRPr="00320B73">
              <w:t>Om</w:t>
            </w:r>
            <w:r w:rsidRPr="009B1437">
              <w:t>á</w:t>
            </w:r>
            <w:r w:rsidRPr="00320B73">
              <w:t>n</w:t>
            </w:r>
          </w:p>
          <w:p w14:paraId="454ADC04" w14:textId="68326759" w:rsidR="00320B73" w:rsidRPr="00320B73" w:rsidRDefault="00320B73" w:rsidP="00320B73">
            <w:pPr>
              <w:spacing w:after="120"/>
            </w:pPr>
            <w:r w:rsidRPr="009B1437">
              <w:t xml:space="preserve">Federación de </w:t>
            </w:r>
            <w:r w:rsidRPr="00320B73">
              <w:t>Rusia</w:t>
            </w:r>
          </w:p>
          <w:p w14:paraId="63E75A32" w14:textId="3250608A" w:rsidR="00320B73" w:rsidRPr="00320B73" w:rsidRDefault="00320B73" w:rsidP="00320B73">
            <w:pPr>
              <w:spacing w:after="120"/>
            </w:pPr>
            <w:r w:rsidRPr="00320B73">
              <w:t>Arabia</w:t>
            </w:r>
            <w:r w:rsidRPr="009B1437">
              <w:t xml:space="preserve"> Saudita</w:t>
            </w:r>
          </w:p>
          <w:p w14:paraId="3D7C1AB6" w14:textId="30806A73" w:rsidR="00320B73" w:rsidRPr="00320B73" w:rsidRDefault="00320B73" w:rsidP="00320B73">
            <w:pPr>
              <w:spacing w:after="120"/>
            </w:pPr>
            <w:r w:rsidRPr="009B1437">
              <w:t>Suecia</w:t>
            </w:r>
          </w:p>
          <w:p w14:paraId="5D199D32" w14:textId="4AF5AD01" w:rsidR="00320B73" w:rsidRPr="00320B73" w:rsidRDefault="00320B73" w:rsidP="00320B73">
            <w:pPr>
              <w:spacing w:after="120"/>
            </w:pPr>
            <w:r w:rsidRPr="009B1437">
              <w:t>Es</w:t>
            </w:r>
            <w:r w:rsidRPr="00320B73">
              <w:t>lova</w:t>
            </w:r>
            <w:r w:rsidRPr="009B1437">
              <w:t>qu</w:t>
            </w:r>
            <w:r w:rsidRPr="00320B73">
              <w:t>ia</w:t>
            </w:r>
          </w:p>
          <w:p w14:paraId="3AB06247" w14:textId="77777777" w:rsidR="00320B73" w:rsidRPr="00320B73" w:rsidRDefault="00320B73" w:rsidP="00320B73">
            <w:pPr>
              <w:spacing w:after="120"/>
            </w:pPr>
            <w:r w:rsidRPr="00320B73">
              <w:t>El Salvador</w:t>
            </w:r>
          </w:p>
          <w:p w14:paraId="1BB712D7" w14:textId="2B65B1D3" w:rsidR="00320B73" w:rsidRPr="00320B73" w:rsidRDefault="00320B73" w:rsidP="00320B73">
            <w:pPr>
              <w:spacing w:after="120"/>
            </w:pPr>
            <w:r w:rsidRPr="00320B73">
              <w:t>Tailand</w:t>
            </w:r>
            <w:r w:rsidRPr="009B1437">
              <w:t>ia</w:t>
            </w:r>
          </w:p>
          <w:p w14:paraId="595A7BCD" w14:textId="694F2E23" w:rsidR="00320B73" w:rsidRPr="00320B73" w:rsidRDefault="00320B73" w:rsidP="00320B73">
            <w:pPr>
              <w:spacing w:after="120"/>
            </w:pPr>
            <w:r w:rsidRPr="009B1437">
              <w:t>Túnez</w:t>
            </w:r>
          </w:p>
          <w:p w14:paraId="7F4C3C10" w14:textId="79F08B23" w:rsidR="00320B73" w:rsidRPr="00320B73" w:rsidRDefault="00320B73" w:rsidP="00320B73">
            <w:pPr>
              <w:spacing w:after="120"/>
            </w:pPr>
            <w:r w:rsidRPr="00320B73">
              <w:t xml:space="preserve">Trinidad </w:t>
            </w:r>
            <w:r w:rsidRPr="009B1437">
              <w:t>y</w:t>
            </w:r>
            <w:r w:rsidRPr="00320B73">
              <w:t xml:space="preserve"> T</w:t>
            </w:r>
            <w:r w:rsidRPr="009B1437">
              <w:t>a</w:t>
            </w:r>
            <w:r w:rsidRPr="00320B73">
              <w:t>bago</w:t>
            </w:r>
          </w:p>
          <w:p w14:paraId="2AA934CA" w14:textId="1420C32D" w:rsidR="00320B73" w:rsidRPr="00320B73" w:rsidRDefault="00320B73" w:rsidP="00320B73">
            <w:pPr>
              <w:spacing w:after="120"/>
            </w:pPr>
            <w:r w:rsidRPr="00320B73">
              <w:t>U</w:t>
            </w:r>
            <w:r w:rsidRPr="009B1437">
              <w:t>c</w:t>
            </w:r>
            <w:r w:rsidRPr="00320B73">
              <w:t>ran</w:t>
            </w:r>
            <w:r w:rsidRPr="009B1437">
              <w:t>ia</w:t>
            </w:r>
          </w:p>
          <w:p w14:paraId="385AF057" w14:textId="77777777" w:rsidR="00320B73" w:rsidRPr="00320B73" w:rsidRDefault="00320B73" w:rsidP="00320B73">
            <w:pPr>
              <w:spacing w:after="120"/>
            </w:pPr>
            <w:r w:rsidRPr="00320B73">
              <w:t>Uganda</w:t>
            </w:r>
          </w:p>
          <w:p w14:paraId="13C313F9" w14:textId="133C739B" w:rsidR="00320B73" w:rsidRPr="00320B73" w:rsidRDefault="00320B73" w:rsidP="00320B73">
            <w:pPr>
              <w:spacing w:after="120"/>
            </w:pPr>
            <w:r w:rsidRPr="009B1437">
              <w:t>Estados Unidos de América</w:t>
            </w:r>
          </w:p>
          <w:p w14:paraId="3DE1ED2E" w14:textId="60DA744C" w:rsidR="00320B73" w:rsidRPr="00320B73" w:rsidRDefault="00320B73" w:rsidP="00320B73">
            <w:pPr>
              <w:spacing w:after="120"/>
            </w:pPr>
            <w:r w:rsidRPr="009B1437">
              <w:t>Sudá</w:t>
            </w:r>
            <w:r w:rsidRPr="00320B73">
              <w:t>frica</w:t>
            </w:r>
          </w:p>
        </w:tc>
      </w:tr>
    </w:tbl>
    <w:p w14:paraId="4DB43FB6" w14:textId="2A24660B" w:rsidR="006F1A7D" w:rsidRPr="009B1437" w:rsidRDefault="006F1A7D" w:rsidP="006F1A7D">
      <w:pPr>
        <w:pStyle w:val="ONUME"/>
      </w:pPr>
      <w:r w:rsidRPr="009B1437">
        <w:t xml:space="preserve">Las 49 respuestas a la encuesta están disponibles públicamente en la wiki “CWS Survey on the Use of WIPO Standards” en </w:t>
      </w:r>
      <w:hyperlink r:id="rId8" w:history="1">
        <w:r w:rsidRPr="009B1437">
          <w:rPr>
            <w:rStyle w:val="Hyperlink"/>
            <w:color w:val="auto"/>
          </w:rPr>
          <w:t>https://www3.wipo.int/confluence/x/OADDB</w:t>
        </w:r>
      </w:hyperlink>
      <w:r w:rsidRPr="009B1437">
        <w:t xml:space="preserve">;  los resultados de la encuesta pueden consultarse por norma técnica o por Oficina de PI.  En la página “WIPO Standards Implementation Overview” en </w:t>
      </w:r>
      <w:hyperlink r:id="rId9" w:history="1">
        <w:r w:rsidRPr="009B1437">
          <w:rPr>
            <w:rStyle w:val="Hyperlink"/>
            <w:color w:val="auto"/>
          </w:rPr>
          <w:t>https://www3.wipo.int/confluence/x/OALDB</w:t>
        </w:r>
      </w:hyperlink>
      <w:r w:rsidRPr="009B1437">
        <w:t xml:space="preserve"> se presenta</w:t>
      </w:r>
      <w:r w:rsidR="00E32503" w:rsidRPr="009B1437">
        <w:t>, en formato de cuadro,</w:t>
      </w:r>
      <w:r w:rsidRPr="009B1437">
        <w:t xml:space="preserve"> una reseña de</w:t>
      </w:r>
      <w:r w:rsidR="00E32503" w:rsidRPr="009B1437">
        <w:t xml:space="preserve">l estado de ejecución </w:t>
      </w:r>
      <w:r w:rsidRPr="009B1437">
        <w:t xml:space="preserve">de la aplicación. </w:t>
      </w:r>
    </w:p>
    <w:p w14:paraId="2980E7AA" w14:textId="129CF450" w:rsidR="0074398F" w:rsidRPr="009B1437" w:rsidRDefault="001870A6" w:rsidP="002348B0">
      <w:pPr>
        <w:pStyle w:val="ONUME"/>
      </w:pPr>
      <w:r w:rsidRPr="009B1437">
        <w:t xml:space="preserve">Los </w:t>
      </w:r>
      <w:r w:rsidR="001C1756" w:rsidRPr="009B1437">
        <w:t xml:space="preserve">principales </w:t>
      </w:r>
      <w:r w:rsidR="0074398F" w:rsidRPr="009B1437">
        <w:t xml:space="preserve">obstáculos para la aplicación </w:t>
      </w:r>
      <w:r w:rsidR="00DB3874" w:rsidRPr="009B1437">
        <w:t>de las n</w:t>
      </w:r>
      <w:r w:rsidR="00566EE0" w:rsidRPr="009B1437">
        <w:t xml:space="preserve">ormas </w:t>
      </w:r>
      <w:r w:rsidR="00DB3874" w:rsidRPr="009B1437">
        <w:t>t</w:t>
      </w:r>
      <w:r w:rsidR="00566EE0" w:rsidRPr="009B1437">
        <w:t xml:space="preserve">écnicas de la OMPI en las </w:t>
      </w:r>
      <w:r w:rsidRPr="009B1437">
        <w:t>prácticas de las O</w:t>
      </w:r>
      <w:r w:rsidR="00E32503" w:rsidRPr="009B1437">
        <w:t xml:space="preserve">ficinas de </w:t>
      </w:r>
      <w:r w:rsidRPr="009B1437">
        <w:t>PI</w:t>
      </w:r>
      <w:r w:rsidR="004E6B50" w:rsidRPr="009B1437">
        <w:t>, a</w:t>
      </w:r>
      <w:r w:rsidR="00566EE0" w:rsidRPr="009B1437">
        <w:t>sí como</w:t>
      </w:r>
      <w:r w:rsidR="0074398F" w:rsidRPr="009B1437">
        <w:t xml:space="preserve"> </w:t>
      </w:r>
      <w:r w:rsidRPr="009B1437">
        <w:t xml:space="preserve">los </w:t>
      </w:r>
      <w:r w:rsidR="0074398F" w:rsidRPr="009B1437">
        <w:t xml:space="preserve">motivos </w:t>
      </w:r>
      <w:r w:rsidR="001C1756" w:rsidRPr="009B1437">
        <w:t xml:space="preserve">de su no aplicación, </w:t>
      </w:r>
      <w:r w:rsidRPr="009B1437">
        <w:t>indicados en las respuestas de las 11 oficinas</w:t>
      </w:r>
      <w:r w:rsidR="00E32503" w:rsidRPr="009B1437">
        <w:t>,</w:t>
      </w:r>
      <w:r w:rsidRPr="009B1437">
        <w:t xml:space="preserve"> </w:t>
      </w:r>
      <w:r w:rsidR="00E32503" w:rsidRPr="009B1437">
        <w:t xml:space="preserve">aludidas en el párrafo 3, </w:t>
      </w:r>
      <w:r w:rsidRPr="009B1437">
        <w:t xml:space="preserve">son similares a los obstáculos y motivos </w:t>
      </w:r>
      <w:r w:rsidR="00E32503" w:rsidRPr="009B1437">
        <w:t>sobre</w:t>
      </w:r>
      <w:r w:rsidRPr="009B1437">
        <w:t xml:space="preserve"> los que se informó en la quinta sesión del CWS, los cuales pueden resumirse como sigue:</w:t>
      </w:r>
    </w:p>
    <w:p w14:paraId="40A11695" w14:textId="371734EE" w:rsidR="004F35AA" w:rsidRPr="009B1437" w:rsidRDefault="001870A6" w:rsidP="001870A6">
      <w:pPr>
        <w:pStyle w:val="ONUME"/>
        <w:numPr>
          <w:ilvl w:val="2"/>
          <w:numId w:val="10"/>
        </w:numPr>
        <w:tabs>
          <w:tab w:val="clear" w:pos="1521"/>
          <w:tab w:val="left" w:pos="1134"/>
        </w:tabs>
        <w:ind w:left="567"/>
      </w:pPr>
      <w:r w:rsidRPr="009B1437">
        <w:t>L</w:t>
      </w:r>
      <w:r w:rsidR="0074398F" w:rsidRPr="009B1437">
        <w:t xml:space="preserve">as tecnologías recomendadas están obsoletas, </w:t>
      </w:r>
      <w:r w:rsidR="008D6F2B" w:rsidRPr="009B1437">
        <w:t>p</w:t>
      </w:r>
      <w:r w:rsidR="0074398F" w:rsidRPr="009B1437">
        <w:t xml:space="preserve">or ejemplo, </w:t>
      </w:r>
      <w:r w:rsidR="008D6F2B" w:rsidRPr="009B1437">
        <w:t xml:space="preserve">formato en modo mixto </w:t>
      </w:r>
      <w:r w:rsidRPr="009B1437">
        <w:t>(ST.35);</w:t>
      </w:r>
    </w:p>
    <w:p w14:paraId="7EEC3AA6" w14:textId="76F17E48" w:rsidR="008D6F2B" w:rsidRPr="009B1437" w:rsidRDefault="001870A6" w:rsidP="001870A6">
      <w:pPr>
        <w:pStyle w:val="ONUME"/>
        <w:numPr>
          <w:ilvl w:val="2"/>
          <w:numId w:val="10"/>
        </w:numPr>
        <w:tabs>
          <w:tab w:val="clear" w:pos="1521"/>
          <w:tab w:val="left" w:pos="1134"/>
        </w:tabs>
        <w:ind w:left="567"/>
      </w:pPr>
      <w:r w:rsidRPr="009B1437">
        <w:t>L</w:t>
      </w:r>
      <w:r w:rsidR="008D6F2B" w:rsidRPr="009B1437">
        <w:t xml:space="preserve">as recomendaciones son pertinentes para la publicación en papel, pero no son aplicables a la publicación electrónica, por ejemplo, recomendaciones relativas a los </w:t>
      </w:r>
      <w:r w:rsidR="008D6F2B" w:rsidRPr="009B1437">
        <w:lastRenderedPageBreak/>
        <w:t xml:space="preserve">índices de documentos de patentes (ST. 19), índices de nombres (ST.20) y reducción del volumen de </w:t>
      </w:r>
      <w:r w:rsidR="00E338C2" w:rsidRPr="009B1437">
        <w:t xml:space="preserve">los </w:t>
      </w:r>
      <w:r w:rsidR="008D6F2B" w:rsidRPr="009B1437">
        <w:t xml:space="preserve">documentos </w:t>
      </w:r>
      <w:r w:rsidR="00B212F4" w:rsidRPr="009B1437">
        <w:t>de</w:t>
      </w:r>
      <w:r w:rsidR="008D6F2B" w:rsidRPr="009B1437">
        <w:t xml:space="preserve"> prioridad (ST.21)</w:t>
      </w:r>
      <w:r w:rsidRPr="009B1437">
        <w:t>;</w:t>
      </w:r>
    </w:p>
    <w:p w14:paraId="36FEFEEE" w14:textId="29566440" w:rsidR="004F35AA" w:rsidRPr="009B1437" w:rsidRDefault="00C206D0" w:rsidP="001870A6">
      <w:pPr>
        <w:pStyle w:val="ONUME"/>
        <w:numPr>
          <w:ilvl w:val="2"/>
          <w:numId w:val="10"/>
        </w:numPr>
        <w:tabs>
          <w:tab w:val="clear" w:pos="1521"/>
          <w:tab w:val="left" w:pos="1134"/>
        </w:tabs>
        <w:ind w:left="567"/>
      </w:pPr>
      <w:r w:rsidRPr="009B1437">
        <w:t xml:space="preserve">Las </w:t>
      </w:r>
      <w:r w:rsidR="0090191A" w:rsidRPr="009B1437">
        <w:t>O</w:t>
      </w:r>
      <w:r w:rsidR="00E32503" w:rsidRPr="009B1437">
        <w:t xml:space="preserve">ficinas de </w:t>
      </w:r>
      <w:r w:rsidR="00847EBC" w:rsidRPr="009B1437">
        <w:t>PI</w:t>
      </w:r>
      <w:r w:rsidR="007749CB" w:rsidRPr="009B1437">
        <w:t xml:space="preserve"> </w:t>
      </w:r>
      <w:r w:rsidRPr="009B1437">
        <w:t xml:space="preserve">necesitan más tiempo para la aplicación </w:t>
      </w:r>
      <w:r w:rsidR="00C80C22" w:rsidRPr="009B1437">
        <w:t xml:space="preserve">en sus prácticas </w:t>
      </w:r>
      <w:r w:rsidR="00EF3921" w:rsidRPr="009B1437">
        <w:t xml:space="preserve">de </w:t>
      </w:r>
      <w:r w:rsidR="00E32503" w:rsidRPr="009B1437">
        <w:t xml:space="preserve">las </w:t>
      </w:r>
      <w:r w:rsidR="00DB3874" w:rsidRPr="009B1437">
        <w:t>n</w:t>
      </w:r>
      <w:r w:rsidR="007749CB" w:rsidRPr="009B1437">
        <w:t xml:space="preserve">ormas </w:t>
      </w:r>
      <w:r w:rsidR="00DB3874" w:rsidRPr="009B1437">
        <w:t>t</w:t>
      </w:r>
      <w:r w:rsidR="007749CB" w:rsidRPr="009B1437">
        <w:t xml:space="preserve">écnicas de la OMPI </w:t>
      </w:r>
      <w:r w:rsidR="00EF3921" w:rsidRPr="009B1437">
        <w:t xml:space="preserve">adoptadas </w:t>
      </w:r>
      <w:r w:rsidR="0090191A" w:rsidRPr="009B1437">
        <w:t xml:space="preserve">recientemente </w:t>
      </w:r>
      <w:r w:rsidR="002348B0" w:rsidRPr="009B1437">
        <w:t>(ST.26</w:t>
      </w:r>
      <w:r w:rsidR="001870A6" w:rsidRPr="009B1437">
        <w:t>, ST.27, ST.37</w:t>
      </w:r>
      <w:r w:rsidR="002348B0" w:rsidRPr="009B1437">
        <w:t xml:space="preserve"> </w:t>
      </w:r>
      <w:r w:rsidR="007749CB" w:rsidRPr="009B1437">
        <w:t>y ST.68)</w:t>
      </w:r>
      <w:r w:rsidR="001870A6" w:rsidRPr="009B1437">
        <w:t>;</w:t>
      </w:r>
    </w:p>
    <w:p w14:paraId="1DC46369" w14:textId="7250BC8B" w:rsidR="00D50113" w:rsidRPr="009B1437" w:rsidRDefault="007749CB" w:rsidP="001870A6">
      <w:pPr>
        <w:pStyle w:val="ONUME"/>
        <w:numPr>
          <w:ilvl w:val="2"/>
          <w:numId w:val="10"/>
        </w:numPr>
        <w:tabs>
          <w:tab w:val="clear" w:pos="1521"/>
          <w:tab w:val="left" w:pos="1134"/>
        </w:tabs>
        <w:ind w:left="567"/>
      </w:pPr>
      <w:r w:rsidRPr="009B1437">
        <w:t xml:space="preserve">En algunas </w:t>
      </w:r>
      <w:r w:rsidR="0090191A" w:rsidRPr="009B1437">
        <w:t>O</w:t>
      </w:r>
      <w:r w:rsidR="00E32503" w:rsidRPr="009B1437">
        <w:t xml:space="preserve">ficinas de </w:t>
      </w:r>
      <w:r w:rsidR="001870A6" w:rsidRPr="009B1437">
        <w:t>P</w:t>
      </w:r>
      <w:r w:rsidR="00847EBC" w:rsidRPr="009B1437">
        <w:t>I</w:t>
      </w:r>
      <w:r w:rsidRPr="009B1437">
        <w:t xml:space="preserve"> los costos y beneficios no </w:t>
      </w:r>
      <w:r w:rsidR="00D50113" w:rsidRPr="009B1437">
        <w:t>justifica</w:t>
      </w:r>
      <w:r w:rsidR="00B212F4" w:rsidRPr="009B1437">
        <w:t>n</w:t>
      </w:r>
      <w:r w:rsidR="00D50113" w:rsidRPr="009B1437">
        <w:t xml:space="preserve"> </w:t>
      </w:r>
      <w:r w:rsidRPr="009B1437">
        <w:t xml:space="preserve">la aplicación de </w:t>
      </w:r>
      <w:r w:rsidR="001870A6" w:rsidRPr="009B1437">
        <w:t>algunas</w:t>
      </w:r>
      <w:r w:rsidRPr="009B1437">
        <w:t xml:space="preserve"> </w:t>
      </w:r>
      <w:r w:rsidR="00DB3874" w:rsidRPr="009B1437">
        <w:t>n</w:t>
      </w:r>
      <w:r w:rsidRPr="009B1437">
        <w:t>orma</w:t>
      </w:r>
      <w:r w:rsidR="001870A6" w:rsidRPr="009B1437">
        <w:t>s</w:t>
      </w:r>
      <w:r w:rsidRPr="009B1437">
        <w:t xml:space="preserve"> </w:t>
      </w:r>
      <w:r w:rsidR="00DB3874" w:rsidRPr="009B1437">
        <w:t>t</w:t>
      </w:r>
      <w:r w:rsidRPr="009B1437">
        <w:t>écnica</w:t>
      </w:r>
      <w:r w:rsidR="001870A6" w:rsidRPr="009B1437">
        <w:t>s</w:t>
      </w:r>
      <w:r w:rsidRPr="009B1437">
        <w:t xml:space="preserve"> de la OMPI</w:t>
      </w:r>
      <w:r w:rsidR="001870A6" w:rsidRPr="009B1437">
        <w:t>;</w:t>
      </w:r>
    </w:p>
    <w:p w14:paraId="12267469" w14:textId="2245D45C" w:rsidR="00D50113" w:rsidRPr="009B1437" w:rsidRDefault="001E53BF" w:rsidP="001870A6">
      <w:pPr>
        <w:pStyle w:val="ONUME"/>
        <w:numPr>
          <w:ilvl w:val="2"/>
          <w:numId w:val="10"/>
        </w:numPr>
        <w:tabs>
          <w:tab w:val="clear" w:pos="1521"/>
          <w:tab w:val="left" w:pos="1134"/>
        </w:tabs>
        <w:ind w:left="567"/>
      </w:pPr>
      <w:r w:rsidRPr="009B1437">
        <w:t>La legislación nacional no prevé disposiciones necesaria</w:t>
      </w:r>
      <w:r w:rsidR="00566EE0" w:rsidRPr="009B1437">
        <w:t>s</w:t>
      </w:r>
      <w:r w:rsidRPr="009B1437">
        <w:t xml:space="preserve"> para la aplicación de determinadas </w:t>
      </w:r>
      <w:r w:rsidR="00DB3874" w:rsidRPr="009B1437">
        <w:t>n</w:t>
      </w:r>
      <w:r w:rsidRPr="009B1437">
        <w:t xml:space="preserve">ormas </w:t>
      </w:r>
      <w:r w:rsidR="00DB3874" w:rsidRPr="009B1437">
        <w:t>t</w:t>
      </w:r>
      <w:r w:rsidRPr="009B1437">
        <w:t>écnicas de la OMPI, por ejemplo, la protección de máscaras de sonido (ST.68);</w:t>
      </w:r>
      <w:r w:rsidR="00481F3D" w:rsidRPr="009B1437">
        <w:t xml:space="preserve"> y</w:t>
      </w:r>
    </w:p>
    <w:p w14:paraId="684C9BA3" w14:textId="7E62BF52" w:rsidR="001E53BF" w:rsidRPr="009B1437" w:rsidRDefault="00214AD2" w:rsidP="00481F3D">
      <w:pPr>
        <w:pStyle w:val="ONUME"/>
        <w:numPr>
          <w:ilvl w:val="2"/>
          <w:numId w:val="10"/>
        </w:numPr>
        <w:tabs>
          <w:tab w:val="clear" w:pos="1521"/>
          <w:tab w:val="left" w:pos="1134"/>
        </w:tabs>
        <w:ind w:left="567"/>
      </w:pPr>
      <w:r w:rsidRPr="009B1437">
        <w:t xml:space="preserve">Existen prácticas nacionales (regionales) que no siguen (completa o parcialmente) las recomendaciones de una determinada </w:t>
      </w:r>
      <w:r w:rsidR="00DB3874" w:rsidRPr="009B1437">
        <w:t>n</w:t>
      </w:r>
      <w:r w:rsidRPr="009B1437">
        <w:t xml:space="preserve">orma </w:t>
      </w:r>
      <w:r w:rsidR="00DB3874" w:rsidRPr="009B1437">
        <w:t>t</w:t>
      </w:r>
      <w:r w:rsidR="00481F3D" w:rsidRPr="009B1437">
        <w:t>écnica de la OMPI.</w:t>
      </w:r>
    </w:p>
    <w:p w14:paraId="71027D51" w14:textId="5C8B6B95" w:rsidR="008F366E" w:rsidRPr="009B1437" w:rsidRDefault="007C2D65" w:rsidP="009F58BD">
      <w:pPr>
        <w:pStyle w:val="ONUME"/>
      </w:pPr>
      <w:r w:rsidRPr="009B1437">
        <w:t>Se ha comunicado que en algunos casos</w:t>
      </w:r>
      <w:r w:rsidR="009F58BD" w:rsidRPr="009B1437">
        <w:t xml:space="preserve"> la aplicación de </w:t>
      </w:r>
      <w:r w:rsidR="00DB3874" w:rsidRPr="009B1437">
        <w:t>n</w:t>
      </w:r>
      <w:r w:rsidR="009F58BD" w:rsidRPr="009B1437">
        <w:t xml:space="preserve">ormas </w:t>
      </w:r>
      <w:r w:rsidR="00DB3874" w:rsidRPr="009B1437">
        <w:t>t</w:t>
      </w:r>
      <w:r w:rsidR="009F58BD" w:rsidRPr="009B1437">
        <w:t xml:space="preserve">écnicas de la OMPI </w:t>
      </w:r>
      <w:r w:rsidR="00AB6785" w:rsidRPr="009B1437">
        <w:t>ha sido posible</w:t>
      </w:r>
      <w:r w:rsidR="009F58BD" w:rsidRPr="009B1437">
        <w:t xml:space="preserve"> </w:t>
      </w:r>
      <w:r w:rsidR="00AB6785" w:rsidRPr="009B1437">
        <w:t>gracias a</w:t>
      </w:r>
      <w:r w:rsidR="009F58BD" w:rsidRPr="009B1437">
        <w:t xml:space="preserve"> </w:t>
      </w:r>
      <w:r w:rsidR="00D85AAA" w:rsidRPr="009B1437">
        <w:t xml:space="preserve">soluciones de </w:t>
      </w:r>
      <w:r w:rsidR="00D85AAA" w:rsidRPr="009B1437">
        <w:rPr>
          <w:i/>
          <w:iCs/>
        </w:rPr>
        <w:t>software</w:t>
      </w:r>
      <w:r w:rsidR="00D85AAA" w:rsidRPr="009B1437">
        <w:t xml:space="preserve"> de la OMPI concebidas para las Oficinas de PI, tales como </w:t>
      </w:r>
      <w:r w:rsidR="00D85AAA" w:rsidRPr="009B1437">
        <w:rPr>
          <w:i/>
        </w:rPr>
        <w:t>IPAS Office Suite</w:t>
      </w:r>
      <w:r w:rsidR="00D85AAA" w:rsidRPr="009B1437">
        <w:t xml:space="preserve"> y </w:t>
      </w:r>
      <w:r w:rsidR="00D85AAA" w:rsidRPr="009B1437">
        <w:rPr>
          <w:i/>
        </w:rPr>
        <w:t>WIPO Scan</w:t>
      </w:r>
      <w:r w:rsidR="00D85AAA" w:rsidRPr="009B1437">
        <w:t>.</w:t>
      </w:r>
      <w:r w:rsidR="00AC7ABB" w:rsidRPr="009B1437">
        <w:t xml:space="preserve"> </w:t>
      </w:r>
      <w:r w:rsidR="00D85AAA" w:rsidRPr="009B1437">
        <w:t>Además, desde la última sesión del Comité ninguna O</w:t>
      </w:r>
      <w:r w:rsidR="0087716B" w:rsidRPr="009B1437">
        <w:t xml:space="preserve">ficina de </w:t>
      </w:r>
      <w:r w:rsidR="00D85AAA" w:rsidRPr="009B1437">
        <w:t xml:space="preserve">PI ha pedido asesoramiento o asistencia técnica para la aplicación de normas técnicas de la OMPI. </w:t>
      </w:r>
      <w:r w:rsidR="00E32503" w:rsidRPr="009B1437">
        <w:t>Habida cuenta de las respuestas recibidas, l</w:t>
      </w:r>
      <w:r w:rsidR="00D85AAA" w:rsidRPr="009B1437">
        <w:t xml:space="preserve">a Oficina Internacional seguirá apoyando la aplicación de las normas técnicas de la OMPI mediante soluciones de </w:t>
      </w:r>
      <w:r w:rsidR="00D85AAA" w:rsidRPr="009B1437">
        <w:rPr>
          <w:i/>
        </w:rPr>
        <w:t>software</w:t>
      </w:r>
      <w:r w:rsidR="00D85AAA" w:rsidRPr="009B1437">
        <w:t xml:space="preserve"> concebidas para las O</w:t>
      </w:r>
      <w:r w:rsidR="0087716B" w:rsidRPr="009B1437">
        <w:t xml:space="preserve">ficinas de </w:t>
      </w:r>
      <w:r w:rsidR="00D85AAA" w:rsidRPr="009B1437">
        <w:t xml:space="preserve">PI y prestará asesoramiento y asistencia técnica, previa petición, para la aplicación por </w:t>
      </w:r>
      <w:r w:rsidR="0087716B" w:rsidRPr="009B1437">
        <w:t>es</w:t>
      </w:r>
      <w:r w:rsidR="00D85AAA" w:rsidRPr="009B1437">
        <w:t xml:space="preserve">as </w:t>
      </w:r>
      <w:r w:rsidR="00E32503" w:rsidRPr="009B1437">
        <w:t xml:space="preserve">oficinas </w:t>
      </w:r>
      <w:r w:rsidR="00D85AAA" w:rsidRPr="009B1437">
        <w:t>de normas técnicas de la OMPI.</w:t>
      </w:r>
    </w:p>
    <w:p w14:paraId="343B4A36" w14:textId="3074B0FC" w:rsidR="00830204" w:rsidRPr="009B1437" w:rsidRDefault="00830204" w:rsidP="002348B0">
      <w:pPr>
        <w:pStyle w:val="ONUME"/>
      </w:pPr>
      <w:r w:rsidRPr="009B1437">
        <w:t xml:space="preserve">La encuesta </w:t>
      </w:r>
      <w:r w:rsidR="00E7625B" w:rsidRPr="009B1437">
        <w:t>es</w:t>
      </w:r>
      <w:r w:rsidRPr="009B1437">
        <w:t xml:space="preserve"> de utilidad </w:t>
      </w:r>
      <w:r w:rsidR="00C4015E" w:rsidRPr="009B1437">
        <w:t>para conocer</w:t>
      </w:r>
      <w:r w:rsidR="00F27005" w:rsidRPr="009B1437">
        <w:t xml:space="preserve"> </w:t>
      </w:r>
      <w:r w:rsidR="00895BDD" w:rsidRPr="009B1437">
        <w:t>el estado de ejecución</w:t>
      </w:r>
      <w:r w:rsidR="00F70FE2" w:rsidRPr="009B1437">
        <w:t xml:space="preserve"> de </w:t>
      </w:r>
      <w:r w:rsidR="00895BDD" w:rsidRPr="009B1437">
        <w:t xml:space="preserve">la </w:t>
      </w:r>
      <w:r w:rsidR="007B08DF" w:rsidRPr="009B1437">
        <w:t>aplicación</w:t>
      </w:r>
      <w:r w:rsidR="00F70FE2" w:rsidRPr="009B1437">
        <w:t xml:space="preserve"> de </w:t>
      </w:r>
      <w:r w:rsidR="00847EBC" w:rsidRPr="009B1437">
        <w:t xml:space="preserve">las </w:t>
      </w:r>
      <w:r w:rsidR="00DB3874" w:rsidRPr="009B1437">
        <w:t>n</w:t>
      </w:r>
      <w:r w:rsidR="00F70FE2" w:rsidRPr="009B1437">
        <w:t xml:space="preserve">ormas </w:t>
      </w:r>
      <w:r w:rsidR="00DB3874" w:rsidRPr="009B1437">
        <w:t>t</w:t>
      </w:r>
      <w:r w:rsidR="00F70FE2" w:rsidRPr="009B1437">
        <w:t xml:space="preserve">écnicas de la OMPI en las </w:t>
      </w:r>
      <w:r w:rsidR="0090191A" w:rsidRPr="009B1437">
        <w:t>O</w:t>
      </w:r>
      <w:r w:rsidR="00847EBC" w:rsidRPr="009B1437">
        <w:t>ficinas de PI</w:t>
      </w:r>
      <w:r w:rsidR="001620C5" w:rsidRPr="009B1437">
        <w:t>,</w:t>
      </w:r>
      <w:r w:rsidR="00C2358C" w:rsidRPr="009B1437">
        <w:t xml:space="preserve"> </w:t>
      </w:r>
      <w:r w:rsidR="0090191A" w:rsidRPr="009B1437">
        <w:t xml:space="preserve">detectar </w:t>
      </w:r>
      <w:r w:rsidR="00F27005" w:rsidRPr="009B1437">
        <w:t>problema</w:t>
      </w:r>
      <w:r w:rsidR="00847EBC" w:rsidRPr="009B1437">
        <w:t>s</w:t>
      </w:r>
      <w:r w:rsidR="00F27005" w:rsidRPr="009B1437">
        <w:t xml:space="preserve"> </w:t>
      </w:r>
      <w:r w:rsidR="00847EBC" w:rsidRPr="009B1437">
        <w:t>relacionados con</w:t>
      </w:r>
      <w:r w:rsidR="00F27005" w:rsidRPr="009B1437">
        <w:t xml:space="preserve"> la aplicación de las </w:t>
      </w:r>
      <w:r w:rsidR="00DB3874" w:rsidRPr="009B1437">
        <w:t>n</w:t>
      </w:r>
      <w:r w:rsidR="00F27005" w:rsidRPr="009B1437">
        <w:t xml:space="preserve">ormas </w:t>
      </w:r>
      <w:r w:rsidR="00DB3874" w:rsidRPr="009B1437">
        <w:t>t</w:t>
      </w:r>
      <w:r w:rsidR="00F27005" w:rsidRPr="009B1437">
        <w:t>écnicas de la OMPI y la causa de los mismos</w:t>
      </w:r>
      <w:r w:rsidR="00C4015E" w:rsidRPr="009B1437">
        <w:t xml:space="preserve">, </w:t>
      </w:r>
      <w:r w:rsidR="00847EBC" w:rsidRPr="009B1437">
        <w:t>identifica</w:t>
      </w:r>
      <w:r w:rsidR="00C4015E" w:rsidRPr="009B1437">
        <w:t xml:space="preserve">r </w:t>
      </w:r>
      <w:r w:rsidR="007B08DF" w:rsidRPr="009B1437">
        <w:t xml:space="preserve">necesidades de las </w:t>
      </w:r>
      <w:r w:rsidR="0090191A" w:rsidRPr="009B1437">
        <w:t>O</w:t>
      </w:r>
      <w:r w:rsidR="005A1F08" w:rsidRPr="009B1437">
        <w:t>ficinas de P</w:t>
      </w:r>
      <w:r w:rsidR="00847EBC" w:rsidRPr="009B1437">
        <w:t>I</w:t>
      </w:r>
      <w:r w:rsidR="00C4015E" w:rsidRPr="009B1437">
        <w:t xml:space="preserve"> c</w:t>
      </w:r>
      <w:r w:rsidR="00847EBC" w:rsidRPr="009B1437">
        <w:t>on vistas a</w:t>
      </w:r>
      <w:r w:rsidR="007B08DF" w:rsidRPr="009B1437">
        <w:t xml:space="preserve"> futuras iniciativas de normalización </w:t>
      </w:r>
      <w:r w:rsidR="007B59CB" w:rsidRPr="009B1437">
        <w:t>de</w:t>
      </w:r>
      <w:r w:rsidR="007B08DF" w:rsidRPr="009B1437">
        <w:t xml:space="preserve"> información </w:t>
      </w:r>
      <w:r w:rsidR="007B59CB" w:rsidRPr="009B1437">
        <w:t>sobre</w:t>
      </w:r>
      <w:r w:rsidR="007B08DF" w:rsidRPr="009B1437">
        <w:t xml:space="preserve"> PI en ese ámbito.</w:t>
      </w:r>
      <w:r w:rsidR="005A1F08" w:rsidRPr="009B1437">
        <w:t xml:space="preserve"> </w:t>
      </w:r>
      <w:r w:rsidR="00847EBC" w:rsidRPr="009B1437">
        <w:t>La encuesta muestra</w:t>
      </w:r>
      <w:r w:rsidR="005A1F08" w:rsidRPr="009B1437">
        <w:t xml:space="preserve"> además</w:t>
      </w:r>
      <w:r w:rsidR="00847EBC" w:rsidRPr="009B1437">
        <w:t xml:space="preserve"> que, pese a </w:t>
      </w:r>
      <w:r w:rsidR="001620C5" w:rsidRPr="009B1437">
        <w:t>las</w:t>
      </w:r>
      <w:r w:rsidR="00847EBC" w:rsidRPr="009B1437">
        <w:t xml:space="preserve"> diferencias </w:t>
      </w:r>
      <w:r w:rsidR="007B59CB" w:rsidRPr="009B1437">
        <w:t>en su</w:t>
      </w:r>
      <w:r w:rsidR="00847EBC" w:rsidRPr="009B1437">
        <w:t xml:space="preserve"> aplicación por las </w:t>
      </w:r>
      <w:r w:rsidR="0090191A" w:rsidRPr="009B1437">
        <w:t>O</w:t>
      </w:r>
      <w:r w:rsidR="00847EBC" w:rsidRPr="009B1437">
        <w:t xml:space="preserve">ficinas de PI, las </w:t>
      </w:r>
      <w:r w:rsidR="00DB3874" w:rsidRPr="009B1437">
        <w:t>n</w:t>
      </w:r>
      <w:r w:rsidR="00847EBC" w:rsidRPr="009B1437">
        <w:t xml:space="preserve">ormas </w:t>
      </w:r>
      <w:r w:rsidR="00DB3874" w:rsidRPr="009B1437">
        <w:t>t</w:t>
      </w:r>
      <w:r w:rsidR="00847EBC" w:rsidRPr="009B1437">
        <w:t xml:space="preserve">écnicas de la OMPI siguen siendo una potente herramienta para el intercambio internacional de información y documentación </w:t>
      </w:r>
      <w:r w:rsidR="005E7F3F" w:rsidRPr="009B1437">
        <w:t>en materia de</w:t>
      </w:r>
      <w:r w:rsidR="005A1F08" w:rsidRPr="009B1437">
        <w:t xml:space="preserve"> P</w:t>
      </w:r>
      <w:r w:rsidR="00847EBC" w:rsidRPr="009B1437">
        <w:t>I.</w:t>
      </w:r>
    </w:p>
    <w:p w14:paraId="619ABCB7" w14:textId="6BAB1056" w:rsidR="00830204" w:rsidRPr="009B1437" w:rsidRDefault="00847EBC" w:rsidP="002348B0">
      <w:pPr>
        <w:pStyle w:val="ONUME"/>
      </w:pPr>
      <w:r w:rsidRPr="009B1437">
        <w:t xml:space="preserve">Las respuestas enviadas por las </w:t>
      </w:r>
      <w:r w:rsidR="0090191A" w:rsidRPr="009B1437">
        <w:t>O</w:t>
      </w:r>
      <w:r w:rsidRPr="009B1437">
        <w:t xml:space="preserve">ficinas de PI, especialmente </w:t>
      </w:r>
      <w:r w:rsidR="000F08C8" w:rsidRPr="009B1437">
        <w:t xml:space="preserve">la </w:t>
      </w:r>
      <w:r w:rsidR="00571ABF" w:rsidRPr="009B1437">
        <w:t xml:space="preserve">información sobre si se aplican </w:t>
      </w:r>
      <w:r w:rsidRPr="009B1437">
        <w:t xml:space="preserve">las </w:t>
      </w:r>
      <w:r w:rsidR="00DB3874" w:rsidRPr="009B1437">
        <w:t>n</w:t>
      </w:r>
      <w:r w:rsidRPr="009B1437">
        <w:t xml:space="preserve">ormas </w:t>
      </w:r>
      <w:r w:rsidR="00DB3874" w:rsidRPr="009B1437">
        <w:t>t</w:t>
      </w:r>
      <w:r w:rsidRPr="009B1437">
        <w:t>écnicas de la OMPI</w:t>
      </w:r>
      <w:r w:rsidR="00FC2C55" w:rsidRPr="009B1437">
        <w:t xml:space="preserve"> en </w:t>
      </w:r>
      <w:r w:rsidR="00571ABF" w:rsidRPr="009B1437">
        <w:t>la</w:t>
      </w:r>
      <w:r w:rsidR="00FC2C55" w:rsidRPr="009B1437">
        <w:t xml:space="preserve"> práctica habitual</w:t>
      </w:r>
      <w:r w:rsidR="00571ABF" w:rsidRPr="009B1437">
        <w:t xml:space="preserve"> de </w:t>
      </w:r>
      <w:r w:rsidR="0087716B" w:rsidRPr="009B1437">
        <w:t>l</w:t>
      </w:r>
      <w:r w:rsidR="00571ABF" w:rsidRPr="009B1437">
        <w:t xml:space="preserve">as </w:t>
      </w:r>
      <w:r w:rsidR="0087716B" w:rsidRPr="009B1437">
        <w:t>Oficinas</w:t>
      </w:r>
      <w:r w:rsidRPr="009B1437">
        <w:t>, puede</w:t>
      </w:r>
      <w:r w:rsidR="001620C5" w:rsidRPr="009B1437">
        <w:t>n</w:t>
      </w:r>
      <w:r w:rsidRPr="009B1437">
        <w:t xml:space="preserve"> ayudar a los usuarios de información </w:t>
      </w:r>
      <w:r w:rsidR="00571ABF" w:rsidRPr="009B1437">
        <w:t>sobre</w:t>
      </w:r>
      <w:r w:rsidRPr="009B1437">
        <w:t xml:space="preserve"> PI</w:t>
      </w:r>
      <w:r w:rsidR="00FC2C55" w:rsidRPr="009B1437">
        <w:t xml:space="preserve"> a </w:t>
      </w:r>
      <w:r w:rsidRPr="009B1437">
        <w:t xml:space="preserve">analizar documentos </w:t>
      </w:r>
      <w:r w:rsidR="001620C5" w:rsidRPr="009B1437">
        <w:t>de</w:t>
      </w:r>
      <w:r w:rsidRPr="009B1437">
        <w:t xml:space="preserve"> PI; para otras </w:t>
      </w:r>
      <w:r w:rsidR="0090191A" w:rsidRPr="009B1437">
        <w:t>O</w:t>
      </w:r>
      <w:r w:rsidR="00FC2C55" w:rsidRPr="009B1437">
        <w:t>ficinas de PI</w:t>
      </w:r>
      <w:r w:rsidRPr="009B1437">
        <w:t xml:space="preserve"> constituyen una fuente valiosa </w:t>
      </w:r>
      <w:r w:rsidR="00571ABF" w:rsidRPr="009B1437">
        <w:t>para el</w:t>
      </w:r>
      <w:r w:rsidRPr="009B1437">
        <w:t xml:space="preserve"> aprendizaje </w:t>
      </w:r>
      <w:r w:rsidR="00571ABF" w:rsidRPr="009B1437">
        <w:t>de</w:t>
      </w:r>
      <w:r w:rsidRPr="009B1437">
        <w:t xml:space="preserve"> prácticas </w:t>
      </w:r>
      <w:r w:rsidR="0087716B" w:rsidRPr="009B1437">
        <w:t>vig</w:t>
      </w:r>
      <w:r w:rsidRPr="009B1437">
        <w:t xml:space="preserve">entes en la esfera de la información y documentación </w:t>
      </w:r>
      <w:r w:rsidR="005E7F3F" w:rsidRPr="009B1437">
        <w:t>en materia de</w:t>
      </w:r>
      <w:r w:rsidRPr="009B1437">
        <w:t xml:space="preserve"> PI.</w:t>
      </w:r>
      <w:r w:rsidR="00FC2C55" w:rsidRPr="009B1437">
        <w:t xml:space="preserve"> </w:t>
      </w:r>
      <w:r w:rsidR="0087716B" w:rsidRPr="009B1437">
        <w:t>Por consiguiente, se propone que el CWS aliente a las Oficinas de PI que aún no hayan enviado sus respuestas</w:t>
      </w:r>
      <w:r w:rsidR="00E32503" w:rsidRPr="009B1437">
        <w:t>,</w:t>
      </w:r>
      <w:r w:rsidR="0087716B" w:rsidRPr="009B1437">
        <w:t xml:space="preserve"> a que lo hagan.</w:t>
      </w:r>
    </w:p>
    <w:p w14:paraId="0846986E" w14:textId="77777777" w:rsidR="004F35AA" w:rsidRPr="009B1437" w:rsidRDefault="004F35AA" w:rsidP="00E32503">
      <w:pPr>
        <w:pStyle w:val="ONUME"/>
        <w:tabs>
          <w:tab w:val="left" w:pos="6096"/>
        </w:tabs>
        <w:ind w:left="5529" w:firstLine="7"/>
        <w:rPr>
          <w:i/>
        </w:rPr>
      </w:pPr>
      <w:r w:rsidRPr="009B1437">
        <w:rPr>
          <w:i/>
        </w:rPr>
        <w:t>Se invita al CWS a:</w:t>
      </w:r>
    </w:p>
    <w:p w14:paraId="17526AF6" w14:textId="38A42C78" w:rsidR="004F35AA" w:rsidRPr="009B1437" w:rsidRDefault="0014786D" w:rsidP="00E32503">
      <w:pPr>
        <w:pStyle w:val="ONUME"/>
        <w:numPr>
          <w:ilvl w:val="0"/>
          <w:numId w:val="0"/>
        </w:numPr>
        <w:tabs>
          <w:tab w:val="left" w:pos="6096"/>
          <w:tab w:val="left" w:pos="6663"/>
        </w:tabs>
        <w:ind w:left="5529"/>
        <w:rPr>
          <w:i/>
        </w:rPr>
      </w:pPr>
      <w:r w:rsidRPr="009B1437">
        <w:rPr>
          <w:i/>
        </w:rPr>
        <w:tab/>
      </w:r>
      <w:r w:rsidR="005168CB" w:rsidRPr="009B1437">
        <w:rPr>
          <w:i/>
        </w:rPr>
        <w:t>a)</w:t>
      </w:r>
      <w:r w:rsidR="005168CB" w:rsidRPr="009B1437">
        <w:rPr>
          <w:i/>
        </w:rPr>
        <w:tab/>
      </w:r>
      <w:r w:rsidR="004F35AA" w:rsidRPr="009B1437">
        <w:rPr>
          <w:i/>
        </w:rPr>
        <w:t>tomar nota del contenido del presente documento;</w:t>
      </w:r>
      <w:r w:rsidR="0087716B" w:rsidRPr="009B1437">
        <w:rPr>
          <w:i/>
        </w:rPr>
        <w:t xml:space="preserve"> y</w:t>
      </w:r>
    </w:p>
    <w:p w14:paraId="4FDE1F48" w14:textId="63E48A8A" w:rsidR="00950FF1" w:rsidRPr="009B1437" w:rsidRDefault="0014786D" w:rsidP="009B1437">
      <w:pPr>
        <w:pStyle w:val="ONUME"/>
        <w:numPr>
          <w:ilvl w:val="0"/>
          <w:numId w:val="0"/>
        </w:numPr>
        <w:tabs>
          <w:tab w:val="left" w:pos="6096"/>
          <w:tab w:val="left" w:pos="6663"/>
        </w:tabs>
        <w:ind w:left="5529"/>
        <w:rPr>
          <w:i/>
        </w:rPr>
      </w:pPr>
      <w:r w:rsidRPr="009B1437">
        <w:rPr>
          <w:i/>
        </w:rPr>
        <w:tab/>
      </w:r>
      <w:r w:rsidR="002348B0" w:rsidRPr="009B1437">
        <w:rPr>
          <w:i/>
        </w:rPr>
        <w:t>b)</w:t>
      </w:r>
      <w:r w:rsidR="002348B0" w:rsidRPr="009B1437">
        <w:rPr>
          <w:i/>
        </w:rPr>
        <w:tab/>
      </w:r>
      <w:r w:rsidR="0087716B" w:rsidRPr="009B1437">
        <w:rPr>
          <w:i/>
        </w:rPr>
        <w:t>pedir que la Secretaría e</w:t>
      </w:r>
      <w:r w:rsidR="009B1437" w:rsidRPr="009B1437">
        <w:rPr>
          <w:i/>
        </w:rPr>
        <w:t>xpida</w:t>
      </w:r>
      <w:r w:rsidR="0087716B" w:rsidRPr="009B1437">
        <w:rPr>
          <w:i/>
        </w:rPr>
        <w:t xml:space="preserve"> una circular invitando a las Oficinas de PI a presentar sus respuestas a la encuesta sobre el uso de normas técnicas de la OMPI referid</w:t>
      </w:r>
      <w:r w:rsidR="009B1437" w:rsidRPr="009B1437">
        <w:rPr>
          <w:i/>
        </w:rPr>
        <w:t>a</w:t>
      </w:r>
      <w:r w:rsidR="0087716B" w:rsidRPr="009B1437">
        <w:rPr>
          <w:i/>
        </w:rPr>
        <w:t xml:space="preserve"> en el párrafo </w:t>
      </w:r>
      <w:r w:rsidR="00950FF1" w:rsidRPr="009B1437">
        <w:rPr>
          <w:i/>
        </w:rPr>
        <w:t>9 del presente documento.</w:t>
      </w:r>
    </w:p>
    <w:p w14:paraId="217EF8FC" w14:textId="77777777" w:rsidR="004F35AA" w:rsidRPr="009B1437" w:rsidRDefault="004F35AA" w:rsidP="002348B0">
      <w:pPr>
        <w:pStyle w:val="Endofdocument-Annex"/>
        <w:rPr>
          <w:lang w:val="es-ES"/>
        </w:rPr>
      </w:pPr>
    </w:p>
    <w:p w14:paraId="2EDE7A82" w14:textId="77777777" w:rsidR="0014786D" w:rsidRPr="009B1437" w:rsidRDefault="0014786D" w:rsidP="002348B0">
      <w:pPr>
        <w:pStyle w:val="Endofdocument-Annex"/>
        <w:rPr>
          <w:lang w:val="es-ES"/>
        </w:rPr>
      </w:pPr>
    </w:p>
    <w:p w14:paraId="0BAD6CAA" w14:textId="280EA917" w:rsidR="00152CEA" w:rsidRPr="009B1437" w:rsidRDefault="004F35AA" w:rsidP="0014786D">
      <w:pPr>
        <w:pStyle w:val="Endofdocument-Annex"/>
        <w:rPr>
          <w:lang w:val="es-ES"/>
        </w:rPr>
      </w:pPr>
      <w:r w:rsidRPr="009B1437">
        <w:rPr>
          <w:lang w:val="es-ES"/>
        </w:rPr>
        <w:t>[Fin del documento]</w:t>
      </w:r>
    </w:p>
    <w:sectPr w:rsidR="00152CEA" w:rsidRPr="009B1437" w:rsidSect="008C73C9">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2BE6C" w14:textId="77777777" w:rsidR="003439F8" w:rsidRDefault="003439F8">
      <w:r>
        <w:separator/>
      </w:r>
    </w:p>
  </w:endnote>
  <w:endnote w:type="continuationSeparator" w:id="0">
    <w:p w14:paraId="273F3888" w14:textId="77777777" w:rsidR="003439F8" w:rsidRPr="009D30E6" w:rsidRDefault="003439F8" w:rsidP="007E663E">
      <w:pPr>
        <w:rPr>
          <w:sz w:val="17"/>
          <w:szCs w:val="17"/>
        </w:rPr>
      </w:pPr>
      <w:r w:rsidRPr="009D30E6">
        <w:rPr>
          <w:sz w:val="17"/>
          <w:szCs w:val="17"/>
        </w:rPr>
        <w:separator/>
      </w:r>
    </w:p>
    <w:p w14:paraId="3F688B87" w14:textId="77777777" w:rsidR="003439F8" w:rsidRPr="007E663E" w:rsidRDefault="003439F8" w:rsidP="007E663E">
      <w:pPr>
        <w:spacing w:after="60"/>
        <w:rPr>
          <w:sz w:val="17"/>
          <w:szCs w:val="17"/>
        </w:rPr>
      </w:pPr>
      <w:r>
        <w:rPr>
          <w:sz w:val="17"/>
        </w:rPr>
        <w:t>[Continuación de la nota de la página anterior]</w:t>
      </w:r>
    </w:p>
  </w:endnote>
  <w:endnote w:type="continuationNotice" w:id="1">
    <w:p w14:paraId="0C52119B" w14:textId="77777777" w:rsidR="003439F8" w:rsidRPr="007E663E" w:rsidRDefault="003439F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1863B" w14:textId="77777777" w:rsidR="003439F8" w:rsidRDefault="003439F8">
      <w:r>
        <w:separator/>
      </w:r>
    </w:p>
  </w:footnote>
  <w:footnote w:type="continuationSeparator" w:id="0">
    <w:p w14:paraId="48BA0B1E" w14:textId="77777777" w:rsidR="003439F8" w:rsidRPr="009D30E6" w:rsidRDefault="003439F8" w:rsidP="007E663E">
      <w:pPr>
        <w:rPr>
          <w:sz w:val="17"/>
          <w:szCs w:val="17"/>
        </w:rPr>
      </w:pPr>
      <w:r w:rsidRPr="009D30E6">
        <w:rPr>
          <w:sz w:val="17"/>
          <w:szCs w:val="17"/>
        </w:rPr>
        <w:separator/>
      </w:r>
    </w:p>
    <w:p w14:paraId="24495EEF" w14:textId="77777777" w:rsidR="003439F8" w:rsidRPr="007E663E" w:rsidRDefault="003439F8" w:rsidP="007E663E">
      <w:pPr>
        <w:spacing w:after="60"/>
        <w:rPr>
          <w:sz w:val="17"/>
          <w:szCs w:val="17"/>
        </w:rPr>
      </w:pPr>
      <w:r>
        <w:rPr>
          <w:sz w:val="17"/>
        </w:rPr>
        <w:t>[Continuación de la nota de la página anterior]</w:t>
      </w:r>
    </w:p>
  </w:footnote>
  <w:footnote w:type="continuationNotice" w:id="1">
    <w:p w14:paraId="7A9BAEC5" w14:textId="77777777" w:rsidR="003439F8" w:rsidRPr="007E663E" w:rsidRDefault="003439F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C3720" w14:textId="0AD9AD67" w:rsidR="003439F8" w:rsidRPr="00800148" w:rsidRDefault="003439F8" w:rsidP="004F35AA">
    <w:pPr>
      <w:jc w:val="right"/>
    </w:pPr>
    <w:r w:rsidRPr="00800148">
      <w:rPr>
        <w:lang w:val="es-ES_tradnl"/>
      </w:rPr>
      <w:t>CWS/</w:t>
    </w:r>
    <w:r w:rsidR="00DB1D01">
      <w:rPr>
        <w:lang w:val="es-ES_tradnl"/>
      </w:rPr>
      <w:t>6</w:t>
    </w:r>
    <w:r w:rsidRPr="00800148">
      <w:rPr>
        <w:lang w:val="es-ES_tradnl"/>
      </w:rPr>
      <w:t>/2</w:t>
    </w:r>
  </w:p>
  <w:p w14:paraId="4FFB9EF7" w14:textId="66A89D1E" w:rsidR="003439F8" w:rsidRPr="00800148" w:rsidRDefault="003439F8" w:rsidP="00477D6B">
    <w:pPr>
      <w:jc w:val="right"/>
    </w:pPr>
    <w:r w:rsidRPr="00800148">
      <w:t xml:space="preserve">página </w:t>
    </w:r>
    <w:r w:rsidRPr="00800148">
      <w:fldChar w:fldCharType="begin"/>
    </w:r>
    <w:r w:rsidRPr="00800148">
      <w:instrText xml:space="preserve"> PAGE  \* MERGEFORMAT </w:instrText>
    </w:r>
    <w:r w:rsidRPr="00800148">
      <w:fldChar w:fldCharType="separate"/>
    </w:r>
    <w:r w:rsidR="00A87FF2">
      <w:rPr>
        <w:noProof/>
      </w:rPr>
      <w:t>3</w:t>
    </w:r>
    <w:r w:rsidRPr="00800148">
      <w:fldChar w:fldCharType="end"/>
    </w:r>
  </w:p>
  <w:p w14:paraId="030E497E" w14:textId="77777777" w:rsidR="003439F8" w:rsidRPr="00800148" w:rsidRDefault="003439F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81C5354"/>
    <w:multiLevelType w:val="multilevel"/>
    <w:tmpl w:val="38A46C8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954"/>
        </w:tabs>
        <w:ind w:left="387" w:firstLine="0"/>
      </w:pPr>
      <w:rPr>
        <w:rFonts w:hint="default"/>
      </w:rPr>
    </w:lvl>
    <w:lvl w:ilvl="2">
      <w:start w:val="1"/>
      <w:numFmt w:val="lowerLetter"/>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5" w15:restartNumberingAfterBreak="0">
    <w:nsid w:val="3C8D2562"/>
    <w:multiLevelType w:val="hybridMultilevel"/>
    <w:tmpl w:val="D534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431A07"/>
    <w:multiLevelType w:val="hybridMultilevel"/>
    <w:tmpl w:val="43F0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9"/>
  </w:num>
  <w:num w:numId="8">
    <w:abstractNumId w:val="5"/>
  </w:num>
  <w:num w:numId="9">
    <w:abstractNumId w:val="8"/>
  </w:num>
  <w:num w:numId="10">
    <w:abstractNumId w:val="4"/>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lvlOverride w:ilvl="0">
      <w:startOverride w:val="4"/>
    </w:lvlOverride>
  </w:num>
  <w:num w:numId="18">
    <w:abstractNumId w:val="1"/>
    <w:lvlOverride w:ilvl="0">
      <w:startOverride w:val="6"/>
    </w:lvlOverride>
  </w:num>
  <w:num w:numId="19">
    <w:abstractNumId w:val="1"/>
  </w:num>
  <w:num w:numId="20">
    <w:abstractNumId w:val="1"/>
  </w:num>
  <w:num w:numId="21">
    <w:abstractNumId w:val="1"/>
  </w:num>
  <w:num w:numId="22">
    <w:abstractNumId w:val="1"/>
  </w:num>
  <w:num w:numId="23">
    <w:abstractNumId w:val="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Patents &amp; Innovation\Patents Main"/>
    <w:docVar w:name="TextBaseURL" w:val="empty"/>
    <w:docVar w:name="UILng" w:val="en"/>
  </w:docVars>
  <w:rsids>
    <w:rsidRoot w:val="008C73C9"/>
    <w:rsid w:val="00010686"/>
    <w:rsid w:val="00023905"/>
    <w:rsid w:val="00052915"/>
    <w:rsid w:val="0007617C"/>
    <w:rsid w:val="00087D85"/>
    <w:rsid w:val="00095F67"/>
    <w:rsid w:val="00096EC5"/>
    <w:rsid w:val="000A6F18"/>
    <w:rsid w:val="000E3BB3"/>
    <w:rsid w:val="000F08C8"/>
    <w:rsid w:val="000F5E56"/>
    <w:rsid w:val="00101DA4"/>
    <w:rsid w:val="00101DFD"/>
    <w:rsid w:val="00133E1A"/>
    <w:rsid w:val="001362EE"/>
    <w:rsid w:val="00142CDB"/>
    <w:rsid w:val="0014786D"/>
    <w:rsid w:val="00152CEA"/>
    <w:rsid w:val="001558A3"/>
    <w:rsid w:val="001620C5"/>
    <w:rsid w:val="001832A6"/>
    <w:rsid w:val="001870A6"/>
    <w:rsid w:val="001907B9"/>
    <w:rsid w:val="001A47BF"/>
    <w:rsid w:val="001C1756"/>
    <w:rsid w:val="001C2BB2"/>
    <w:rsid w:val="001D6804"/>
    <w:rsid w:val="001E53BF"/>
    <w:rsid w:val="001F6D7F"/>
    <w:rsid w:val="001F7FFB"/>
    <w:rsid w:val="00202900"/>
    <w:rsid w:val="00214AD2"/>
    <w:rsid w:val="002348B0"/>
    <w:rsid w:val="00244BFB"/>
    <w:rsid w:val="002634C4"/>
    <w:rsid w:val="002C2E8F"/>
    <w:rsid w:val="002E0F47"/>
    <w:rsid w:val="002E1B82"/>
    <w:rsid w:val="002F1AA3"/>
    <w:rsid w:val="002F4E68"/>
    <w:rsid w:val="002F608B"/>
    <w:rsid w:val="00320B73"/>
    <w:rsid w:val="00325848"/>
    <w:rsid w:val="00326B85"/>
    <w:rsid w:val="00331874"/>
    <w:rsid w:val="00343359"/>
    <w:rsid w:val="003439F8"/>
    <w:rsid w:val="00354647"/>
    <w:rsid w:val="00362841"/>
    <w:rsid w:val="00377273"/>
    <w:rsid w:val="00383E6E"/>
    <w:rsid w:val="003845C1"/>
    <w:rsid w:val="00387287"/>
    <w:rsid w:val="003C753B"/>
    <w:rsid w:val="003D6E7B"/>
    <w:rsid w:val="003E23CA"/>
    <w:rsid w:val="003E2A2C"/>
    <w:rsid w:val="003E48F1"/>
    <w:rsid w:val="003F347A"/>
    <w:rsid w:val="00405068"/>
    <w:rsid w:val="00417478"/>
    <w:rsid w:val="00423E3E"/>
    <w:rsid w:val="00427AF4"/>
    <w:rsid w:val="0045231F"/>
    <w:rsid w:val="00462D54"/>
    <w:rsid w:val="004647DA"/>
    <w:rsid w:val="0046793F"/>
    <w:rsid w:val="00470D65"/>
    <w:rsid w:val="00477808"/>
    <w:rsid w:val="00477D6B"/>
    <w:rsid w:val="00481F3D"/>
    <w:rsid w:val="004A5067"/>
    <w:rsid w:val="004A6C37"/>
    <w:rsid w:val="004B43DE"/>
    <w:rsid w:val="004E297D"/>
    <w:rsid w:val="004E4FD2"/>
    <w:rsid w:val="004E6B50"/>
    <w:rsid w:val="004F35AA"/>
    <w:rsid w:val="004F55CF"/>
    <w:rsid w:val="005168CB"/>
    <w:rsid w:val="00531B02"/>
    <w:rsid w:val="005332F0"/>
    <w:rsid w:val="0055013B"/>
    <w:rsid w:val="00566EE0"/>
    <w:rsid w:val="00571ABF"/>
    <w:rsid w:val="00571B99"/>
    <w:rsid w:val="005744D7"/>
    <w:rsid w:val="00591064"/>
    <w:rsid w:val="005A1F08"/>
    <w:rsid w:val="005B474E"/>
    <w:rsid w:val="005D0DED"/>
    <w:rsid w:val="005E7F3F"/>
    <w:rsid w:val="005F5E21"/>
    <w:rsid w:val="00605827"/>
    <w:rsid w:val="00621BC6"/>
    <w:rsid w:val="00625CE1"/>
    <w:rsid w:val="00675021"/>
    <w:rsid w:val="006A06C6"/>
    <w:rsid w:val="006B4474"/>
    <w:rsid w:val="006B7EB6"/>
    <w:rsid w:val="006D3B14"/>
    <w:rsid w:val="006D6ECF"/>
    <w:rsid w:val="006E685C"/>
    <w:rsid w:val="006F1A7D"/>
    <w:rsid w:val="007101B7"/>
    <w:rsid w:val="00716DB4"/>
    <w:rsid w:val="007224C8"/>
    <w:rsid w:val="00723A2E"/>
    <w:rsid w:val="0072673D"/>
    <w:rsid w:val="00740BF7"/>
    <w:rsid w:val="0074398F"/>
    <w:rsid w:val="007749CB"/>
    <w:rsid w:val="00794BE2"/>
    <w:rsid w:val="007A5581"/>
    <w:rsid w:val="007B01D7"/>
    <w:rsid w:val="007B08DF"/>
    <w:rsid w:val="007B1F46"/>
    <w:rsid w:val="007B59CB"/>
    <w:rsid w:val="007B71FE"/>
    <w:rsid w:val="007C2D65"/>
    <w:rsid w:val="007D31AE"/>
    <w:rsid w:val="007D781E"/>
    <w:rsid w:val="007E663E"/>
    <w:rsid w:val="00800148"/>
    <w:rsid w:val="008142B5"/>
    <w:rsid w:val="00815082"/>
    <w:rsid w:val="00827F64"/>
    <w:rsid w:val="00830204"/>
    <w:rsid w:val="00847EBC"/>
    <w:rsid w:val="008563F5"/>
    <w:rsid w:val="00867083"/>
    <w:rsid w:val="0087716B"/>
    <w:rsid w:val="0088395E"/>
    <w:rsid w:val="00884E59"/>
    <w:rsid w:val="00895BDD"/>
    <w:rsid w:val="008B2CC1"/>
    <w:rsid w:val="008C73C9"/>
    <w:rsid w:val="008D0DB8"/>
    <w:rsid w:val="008D6F2B"/>
    <w:rsid w:val="008E6BD6"/>
    <w:rsid w:val="008F366E"/>
    <w:rsid w:val="0090191A"/>
    <w:rsid w:val="0090731E"/>
    <w:rsid w:val="00950FF1"/>
    <w:rsid w:val="00965EE0"/>
    <w:rsid w:val="00966A22"/>
    <w:rsid w:val="00967BC9"/>
    <w:rsid w:val="00972F03"/>
    <w:rsid w:val="009A0C8B"/>
    <w:rsid w:val="009A20CD"/>
    <w:rsid w:val="009B1437"/>
    <w:rsid w:val="009B6241"/>
    <w:rsid w:val="009D2652"/>
    <w:rsid w:val="009F58BD"/>
    <w:rsid w:val="00A16FC0"/>
    <w:rsid w:val="00A202BE"/>
    <w:rsid w:val="00A32C9E"/>
    <w:rsid w:val="00A41F6E"/>
    <w:rsid w:val="00A77BED"/>
    <w:rsid w:val="00A87FF2"/>
    <w:rsid w:val="00AA4CEE"/>
    <w:rsid w:val="00AB4B22"/>
    <w:rsid w:val="00AB613D"/>
    <w:rsid w:val="00AB6785"/>
    <w:rsid w:val="00AC4CEB"/>
    <w:rsid w:val="00AC7ABB"/>
    <w:rsid w:val="00AD0EAE"/>
    <w:rsid w:val="00AE7F20"/>
    <w:rsid w:val="00AF1C3A"/>
    <w:rsid w:val="00B212F4"/>
    <w:rsid w:val="00B534D5"/>
    <w:rsid w:val="00B65A0A"/>
    <w:rsid w:val="00B672D8"/>
    <w:rsid w:val="00B67CDC"/>
    <w:rsid w:val="00B72D36"/>
    <w:rsid w:val="00B802A7"/>
    <w:rsid w:val="00B802F6"/>
    <w:rsid w:val="00B847B2"/>
    <w:rsid w:val="00BC4164"/>
    <w:rsid w:val="00BD2DCC"/>
    <w:rsid w:val="00BF2AA6"/>
    <w:rsid w:val="00C11437"/>
    <w:rsid w:val="00C13B1B"/>
    <w:rsid w:val="00C206D0"/>
    <w:rsid w:val="00C2358C"/>
    <w:rsid w:val="00C4015E"/>
    <w:rsid w:val="00C57AF2"/>
    <w:rsid w:val="00C80C22"/>
    <w:rsid w:val="00C90559"/>
    <w:rsid w:val="00CA2251"/>
    <w:rsid w:val="00CA39EB"/>
    <w:rsid w:val="00D25676"/>
    <w:rsid w:val="00D36382"/>
    <w:rsid w:val="00D50113"/>
    <w:rsid w:val="00D56C7C"/>
    <w:rsid w:val="00D61556"/>
    <w:rsid w:val="00D71B4D"/>
    <w:rsid w:val="00D74B2A"/>
    <w:rsid w:val="00D85AAA"/>
    <w:rsid w:val="00D90289"/>
    <w:rsid w:val="00D93D55"/>
    <w:rsid w:val="00DB0E4D"/>
    <w:rsid w:val="00DB1D01"/>
    <w:rsid w:val="00DB2033"/>
    <w:rsid w:val="00DB3874"/>
    <w:rsid w:val="00DC4C60"/>
    <w:rsid w:val="00E0079A"/>
    <w:rsid w:val="00E1052B"/>
    <w:rsid w:val="00E32503"/>
    <w:rsid w:val="00E338C2"/>
    <w:rsid w:val="00E425DE"/>
    <w:rsid w:val="00E42989"/>
    <w:rsid w:val="00E444DA"/>
    <w:rsid w:val="00E45C84"/>
    <w:rsid w:val="00E504E5"/>
    <w:rsid w:val="00E54A31"/>
    <w:rsid w:val="00E7625B"/>
    <w:rsid w:val="00E96B57"/>
    <w:rsid w:val="00EB7A3E"/>
    <w:rsid w:val="00EB7BD5"/>
    <w:rsid w:val="00EC401A"/>
    <w:rsid w:val="00ED2884"/>
    <w:rsid w:val="00EF3921"/>
    <w:rsid w:val="00EF530A"/>
    <w:rsid w:val="00EF6622"/>
    <w:rsid w:val="00EF78A9"/>
    <w:rsid w:val="00F00596"/>
    <w:rsid w:val="00F12434"/>
    <w:rsid w:val="00F27005"/>
    <w:rsid w:val="00F55408"/>
    <w:rsid w:val="00F65A2D"/>
    <w:rsid w:val="00F66152"/>
    <w:rsid w:val="00F70FE2"/>
    <w:rsid w:val="00F80845"/>
    <w:rsid w:val="00F84474"/>
    <w:rsid w:val="00FA0F0D"/>
    <w:rsid w:val="00FC14AA"/>
    <w:rsid w:val="00FC2C55"/>
    <w:rsid w:val="00FD480C"/>
    <w:rsid w:val="00FD59D1"/>
    <w:rsid w:val="00FE1519"/>
    <w:rsid w:val="00FF00E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D824262"/>
  <w15:docId w15:val="{3A9DCCE8-45FF-4847-B5CC-BCD63482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16DB4"/>
    <w:rPr>
      <w:rFonts w:ascii="Tahoma" w:hAnsi="Tahoma" w:cs="Tahoma"/>
      <w:sz w:val="16"/>
      <w:szCs w:val="16"/>
    </w:rPr>
  </w:style>
  <w:style w:type="character" w:customStyle="1" w:styleId="BalloonTextChar">
    <w:name w:val="Balloon Text Char"/>
    <w:basedOn w:val="DefaultParagraphFont"/>
    <w:link w:val="BalloonText"/>
    <w:rsid w:val="00716DB4"/>
    <w:rPr>
      <w:rFonts w:ascii="Tahoma" w:eastAsia="SimSun" w:hAnsi="Tahoma" w:cs="Tahoma"/>
      <w:sz w:val="16"/>
      <w:szCs w:val="16"/>
      <w:lang w:val="es-ES" w:eastAsia="zh-CN"/>
    </w:rPr>
  </w:style>
  <w:style w:type="character" w:styleId="Hyperlink">
    <w:name w:val="Hyperlink"/>
    <w:basedOn w:val="DefaultParagraphFont"/>
    <w:rsid w:val="002348B0"/>
    <w:rPr>
      <w:color w:val="0000FF" w:themeColor="hyperlink"/>
      <w:u w:val="single"/>
    </w:rPr>
  </w:style>
  <w:style w:type="table" w:styleId="TableGrid">
    <w:name w:val="Table Grid"/>
    <w:basedOn w:val="TableNormal"/>
    <w:rsid w:val="00234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8142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x/OADDB"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3.wipo.int/confluence/x/OAL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1062</TotalTime>
  <Pages>3</Pages>
  <Words>1012</Words>
  <Characters>5771</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CWS/6/2 (in Spanish)</vt:lpstr>
      <vt:lpstr>CWS/5/2</vt:lpstr>
    </vt:vector>
  </TitlesOfParts>
  <Company>WIPO</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 (in Spanish)</dc:title>
  <dc:subject>INFORME DE LA ENCUESTA SOBRE EL USO DE LAS NORMAS TÉCNICAS DE LA OMPI</dc:subject>
  <dc:creator>WIPO</dc:creator>
  <cp:keywords>CWS</cp:keywords>
  <dc:description/>
  <cp:lastModifiedBy>DRAKE Sophie</cp:lastModifiedBy>
  <cp:revision>13</cp:revision>
  <dcterms:created xsi:type="dcterms:W3CDTF">2018-09-10T11:50:00Z</dcterms:created>
  <dcterms:modified xsi:type="dcterms:W3CDTF">2018-09-13T12:17:00Z</dcterms:modified>
  <cp:category>CWS (in Spanish)</cp:category>
</cp:coreProperties>
</file>