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0694" w14:textId="46C76016" w:rsidR="00BD0412" w:rsidRPr="00B2039D" w:rsidRDefault="00BE32E2" w:rsidP="00BD0412">
      <w:pPr>
        <w:jc w:val="center"/>
        <w:rPr>
          <w:b/>
          <w:sz w:val="20"/>
          <w:lang w:val="es-ES_tradnl"/>
        </w:rPr>
      </w:pPr>
      <w:bookmarkStart w:id="0" w:name="_GoBack"/>
      <w:r w:rsidRPr="00B2039D">
        <w:rPr>
          <w:b/>
          <w:sz w:val="20"/>
          <w:lang w:val="es-ES_tradnl"/>
        </w:rPr>
        <w:t xml:space="preserve">NORMA </w:t>
      </w:r>
      <w:r w:rsidR="00BD0412" w:rsidRPr="00B2039D">
        <w:rPr>
          <w:b/>
          <w:sz w:val="20"/>
          <w:lang w:val="es-ES_tradnl"/>
        </w:rPr>
        <w:t>ST.26 - ANEX</w:t>
      </w:r>
      <w:r w:rsidR="00AB068F" w:rsidRPr="00B2039D">
        <w:rPr>
          <w:b/>
          <w:sz w:val="20"/>
          <w:lang w:val="es-ES_tradnl"/>
        </w:rPr>
        <w:t>O</w:t>
      </w:r>
      <w:r w:rsidR="00BD0412" w:rsidRPr="00B2039D">
        <w:rPr>
          <w:b/>
          <w:sz w:val="20"/>
          <w:lang w:val="es-ES_tradnl"/>
        </w:rPr>
        <w:t xml:space="preserve"> IV</w:t>
      </w:r>
    </w:p>
    <w:bookmarkEnd w:id="0"/>
    <w:p w14:paraId="42543E72" w14:textId="77777777" w:rsidR="00BD0412" w:rsidRPr="00B2039D" w:rsidRDefault="00BD0412" w:rsidP="00BD0412">
      <w:pPr>
        <w:jc w:val="center"/>
        <w:rPr>
          <w:rFonts w:eastAsia="Batang" w:cs="Times New Roman"/>
          <w:sz w:val="17"/>
          <w:lang w:val="es-ES_tradnl" w:eastAsia="en-US"/>
        </w:rPr>
      </w:pPr>
    </w:p>
    <w:p w14:paraId="34EC7DB9" w14:textId="77777777" w:rsidR="00D312F4" w:rsidRPr="00B2039D" w:rsidRDefault="00D312F4" w:rsidP="00BD0412">
      <w:pPr>
        <w:jc w:val="center"/>
        <w:rPr>
          <w:rFonts w:eastAsia="Batang" w:cs="Times New Roman"/>
          <w:sz w:val="17"/>
          <w:lang w:val="es-ES_tradnl" w:eastAsia="en-US"/>
        </w:rPr>
      </w:pPr>
    </w:p>
    <w:p w14:paraId="7CFFBE82" w14:textId="56B11681" w:rsidR="00F82A21" w:rsidRPr="00760655" w:rsidRDefault="0046563F" w:rsidP="00BD0412">
      <w:pPr>
        <w:jc w:val="center"/>
        <w:rPr>
          <w:rFonts w:eastAsia="Times New Roman" w:cs="Times New Roman"/>
          <w:i/>
          <w:sz w:val="17"/>
          <w:highlight w:val="yellow"/>
          <w:u w:val="single"/>
          <w:lang w:val="fr-CH" w:eastAsia="en-US"/>
        </w:rPr>
      </w:pPr>
      <w:r w:rsidRPr="0046563F">
        <w:rPr>
          <w:rFonts w:eastAsia="Batang" w:cs="Times New Roman"/>
          <w:sz w:val="17"/>
          <w:lang w:val="es-ES" w:eastAsia="en-US"/>
        </w:rPr>
        <w:t>SUBCONJUNTO DE CARACTERES DE LA TABLA DE CÓDIGOS DE CARACTERES DEL ALFABETO LATINO BÁSICO</w:t>
      </w:r>
      <w:r w:rsidRPr="00B2039D">
        <w:rPr>
          <w:rFonts w:eastAsia="Batang" w:cs="Times New Roman"/>
          <w:sz w:val="17"/>
          <w:u w:val="single"/>
          <w:lang w:val="es-ES_tradnl" w:eastAsia="en-US"/>
        </w:rPr>
        <w:t xml:space="preserve"> </w:t>
      </w:r>
      <w:r w:rsidR="00E15B99"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PARA SU UTILIZACIÓN EN UNA INSTANCIA XML DE UNA LISTA DE SECUENCIAS</w:t>
      </w:r>
    </w:p>
    <w:p w14:paraId="63A1578D" w14:textId="77777777" w:rsidR="00BD0412" w:rsidRPr="00760655" w:rsidRDefault="00BD0412" w:rsidP="00BD0412">
      <w:pPr>
        <w:jc w:val="center"/>
        <w:rPr>
          <w:rFonts w:eastAsia="Times New Roman" w:cs="Times New Roman"/>
          <w:i/>
          <w:sz w:val="17"/>
          <w:highlight w:val="yellow"/>
          <w:u w:val="single"/>
          <w:lang w:val="fr-CH" w:eastAsia="en-US"/>
        </w:rPr>
      </w:pPr>
    </w:p>
    <w:p w14:paraId="431A4470" w14:textId="77777777" w:rsidR="00E15B99" w:rsidRPr="00760655" w:rsidRDefault="00E15B99" w:rsidP="00E15B99">
      <w:pPr>
        <w:jc w:val="center"/>
        <w:rPr>
          <w:rFonts w:eastAsia="Times New Roman" w:cs="Times New Roman"/>
          <w:i/>
          <w:sz w:val="17"/>
          <w:highlight w:val="yellow"/>
          <w:u w:val="single"/>
          <w:lang w:val="fr-CH" w:eastAsia="en-US"/>
        </w:rPr>
      </w:pPr>
      <w:r w:rsidRPr="00760655">
        <w:rPr>
          <w:rFonts w:eastAsia="Times New Roman" w:cs="Times New Roman"/>
          <w:i/>
          <w:sz w:val="17"/>
          <w:highlight w:val="yellow"/>
          <w:u w:val="single"/>
          <w:lang w:val="fr-CH" w:eastAsia="en-US"/>
        </w:rPr>
        <w:t>Proyecto final</w:t>
      </w:r>
    </w:p>
    <w:p w14:paraId="61C064FC" w14:textId="77777777" w:rsidR="00E15B99" w:rsidRPr="00BE32E2" w:rsidRDefault="00E15B99" w:rsidP="00E15B99">
      <w:pPr>
        <w:jc w:val="center"/>
        <w:rPr>
          <w:rFonts w:eastAsia="Times New Roman" w:cs="Times New Roman"/>
          <w:i/>
          <w:sz w:val="17"/>
          <w:lang w:val="es-ES" w:eastAsia="en-US"/>
        </w:rPr>
      </w:pPr>
    </w:p>
    <w:p w14:paraId="2CEF11C2" w14:textId="644430BD" w:rsidR="00E15B99" w:rsidRPr="00760655" w:rsidRDefault="00E01110" w:rsidP="00E01110">
      <w:pPr>
        <w:spacing w:after="480"/>
        <w:jc w:val="center"/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CH" w:eastAsia="en-US"/>
        </w:rPr>
      </w:pPr>
      <w:r w:rsidRPr="00760655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CH" w:eastAsia="en-US"/>
        </w:rPr>
        <w:t>Adoptada por el Comité de Normas Técnicas de la OMPI (CWS)</w:t>
      </w:r>
      <w:r w:rsidRPr="00760655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CH" w:eastAsia="en-US"/>
        </w:rPr>
        <w:br/>
        <w:t xml:space="preserve"> en su quinta sesión el 2 de junio de 2017</w:t>
      </w:r>
      <w:r w:rsidR="00E15B99" w:rsidRPr="00760655">
        <w:rPr>
          <w:rFonts w:eastAsia="Times New Roman" w:cs="Times New Roman"/>
          <w:i/>
          <w:sz w:val="17"/>
          <w:highlight w:val="yellow"/>
          <w:u w:val="single"/>
          <w:lang w:val="fr-CH" w:eastAsia="en-US"/>
        </w:rPr>
        <w:t>Propuesta presentada por el Equipo Técnico SEQL para su consideración y aprobación en la sexta sesión del CWS</w:t>
      </w:r>
    </w:p>
    <w:p w14:paraId="7E4DB909" w14:textId="389FE1AC" w:rsidR="00B77275" w:rsidRPr="00B2039D" w:rsidRDefault="0046563F" w:rsidP="00D312F4">
      <w:pPr>
        <w:rPr>
          <w:rFonts w:eastAsia="Batang" w:cs="Times New Roman"/>
          <w:sz w:val="17"/>
          <w:u w:val="single"/>
          <w:lang w:val="es-ES_tradnl" w:eastAsia="en-US"/>
        </w:rPr>
      </w:pPr>
      <w:r w:rsidRPr="00511FB0">
        <w:rPr>
          <w:rFonts w:eastAsia="Batang" w:cs="Times New Roman"/>
          <w:sz w:val="17"/>
          <w:lang w:val="es-ES" w:eastAsia="en-US"/>
        </w:rPr>
        <w:t xml:space="preserve">El carácter </w:t>
      </w:r>
      <w:proofErr w:type="spellStart"/>
      <w:r w:rsidRPr="00511FB0">
        <w:rPr>
          <w:rFonts w:eastAsia="Batang" w:cs="Times New Roman"/>
          <w:sz w:val="17"/>
          <w:lang w:val="es-ES" w:eastAsia="en-US"/>
        </w:rPr>
        <w:t>ampersand</w:t>
      </w:r>
      <w:proofErr w:type="spellEnd"/>
      <w:r w:rsidRPr="00511FB0">
        <w:rPr>
          <w:rFonts w:eastAsia="Batang" w:cs="Times New Roman"/>
          <w:sz w:val="17"/>
          <w:lang w:val="es-ES" w:eastAsia="en-US"/>
        </w:rPr>
        <w:t xml:space="preserve"> (0026) solo está permitido como parte de una entidad predefinida o como parte de u</w:t>
      </w:r>
      <w:r>
        <w:rPr>
          <w:rFonts w:eastAsia="Batang" w:cs="Times New Roman"/>
          <w:sz w:val="17"/>
          <w:lang w:val="es-ES" w:eastAsia="en-US"/>
        </w:rPr>
        <w:t xml:space="preserve">na referencia de carácter numérico </w:t>
      </w:r>
      <w:r w:rsidR="00E01110" w:rsidRPr="002D09F4">
        <w:rPr>
          <w:rFonts w:eastAsia="Batang" w:cs="Times New Roman"/>
          <w:sz w:val="17"/>
          <w:lang w:val="fr-CH" w:eastAsia="en-US"/>
        </w:rPr>
        <w:t>(&amp;#</w:t>
      </w:r>
      <w:r w:rsidR="00E01110" w:rsidRPr="002D09F4">
        <w:rPr>
          <w:rFonts w:eastAsia="Batang" w:cs="Times New Roman"/>
          <w:sz w:val="17"/>
          <w:highlight w:val="yellow"/>
          <w:u w:val="single"/>
          <w:lang w:val="fr-CH" w:eastAsia="en-US"/>
        </w:rPr>
        <w:t>x</w:t>
      </w:r>
      <w:r w:rsidR="00E01110" w:rsidRPr="002D09F4">
        <w:rPr>
          <w:rFonts w:eastAsia="Batang" w:cs="Times New Roman"/>
          <w:sz w:val="17"/>
          <w:lang w:val="fr-CH" w:eastAsia="en-US"/>
        </w:rPr>
        <w:t xml:space="preserve">nnnn;). </w:t>
      </w:r>
      <w:r w:rsidRPr="00511FB0">
        <w:rPr>
          <w:rFonts w:eastAsia="Batang" w:cs="Times New Roman"/>
          <w:sz w:val="17"/>
          <w:lang w:val="es-ES" w:eastAsia="en-US"/>
        </w:rPr>
        <w:t xml:space="preserve">Las comillas (0022), el apóstrofe (0027), el signo “menor que” (003C) y el signo “mayor que” (003E) </w:t>
      </w:r>
      <w:r w:rsidR="000B1B3C" w:rsidRPr="002D09F4">
        <w:rPr>
          <w:rFonts w:eastAsia="Times New Roman" w:cs="Times New Roman"/>
          <w:strike/>
          <w:color w:val="FFFFFF" w:themeColor="background1"/>
          <w:sz w:val="17"/>
          <w:shd w:val="clear" w:color="auto" w:fill="7030A0"/>
          <w:lang w:val="fr-CH" w:eastAsia="en-US"/>
        </w:rPr>
        <w:t>no están permitidos y</w:t>
      </w:r>
      <w:r w:rsidR="000B1B3C">
        <w:rPr>
          <w:rFonts w:eastAsia="Batang" w:cs="Times New Roman"/>
          <w:sz w:val="17"/>
          <w:lang w:val="es-ES" w:eastAsia="en-US"/>
        </w:rPr>
        <w:t xml:space="preserve"> </w:t>
      </w:r>
      <w:r>
        <w:rPr>
          <w:rFonts w:eastAsia="Batang" w:cs="Times New Roman"/>
          <w:sz w:val="17"/>
          <w:lang w:val="es-ES" w:eastAsia="en-US"/>
        </w:rPr>
        <w:t>debe</w:t>
      </w:r>
      <w:r w:rsidR="000B1B3C">
        <w:rPr>
          <w:rFonts w:eastAsia="Batang" w:cs="Times New Roman"/>
          <w:sz w:val="17"/>
          <w:lang w:val="es-ES" w:eastAsia="en-US"/>
        </w:rPr>
        <w:t>n</w:t>
      </w:r>
      <w:r>
        <w:rPr>
          <w:rFonts w:eastAsia="Batang" w:cs="Times New Roman"/>
          <w:sz w:val="17"/>
          <w:lang w:val="es-ES" w:eastAsia="en-US"/>
        </w:rPr>
        <w:t xml:space="preserve"> representarse mediante sus entidades predefinidas.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Además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, el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carácter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ampersand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(0026)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debe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representa</w:t>
      </w:r>
      <w:r w:rsidR="00E116ED"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rse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="00E116ED"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mediante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su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entidad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predefinida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cuando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se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utili</w:t>
      </w:r>
      <w:r w:rsidR="00553D5E"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ce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como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ampersand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 xml:space="preserve"> en un </w:t>
      </w:r>
      <w:proofErr w:type="spellStart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valor</w:t>
      </w:r>
      <w:proofErr w:type="spellEnd"/>
      <w:r w:rsidRPr="00760655">
        <w:rPr>
          <w:rFonts w:eastAsia="Times New Roman" w:cs="Times New Roman"/>
          <w:sz w:val="17"/>
          <w:highlight w:val="yellow"/>
          <w:u w:val="single"/>
          <w:lang w:val="fr-CH" w:eastAsia="en-US"/>
        </w:rPr>
        <w:t>.</w:t>
      </w:r>
    </w:p>
    <w:p w14:paraId="06C07932" w14:textId="77777777" w:rsidR="00B836FE" w:rsidRPr="00B2039D" w:rsidRDefault="00B836FE" w:rsidP="00D312F4">
      <w:pPr>
        <w:rPr>
          <w:rFonts w:eastAsia="Batang" w:cs="Times New Roman"/>
          <w:sz w:val="17"/>
          <w:lang w:val="es-ES_tradnl" w:eastAsia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16CECC88" w:rsidR="00B836FE" w:rsidRPr="00992F7B" w:rsidRDefault="00E15B99" w:rsidP="00E15B99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P</w:t>
            </w:r>
            <w:r w:rsidRPr="00E15B99">
              <w:rPr>
                <w:rFonts w:eastAsia="Batang" w:cs="Times New Roman"/>
                <w:b/>
                <w:bCs/>
                <w:sz w:val="17"/>
                <w:lang w:eastAsia="en-US"/>
              </w:rPr>
              <w:t xml:space="preserve">unto de </w:t>
            </w:r>
            <w:proofErr w:type="spellStart"/>
            <w:r w:rsidRPr="00E15B99">
              <w:rPr>
                <w:rFonts w:eastAsia="Batang" w:cs="Times New Roman"/>
                <w:b/>
                <w:bCs/>
                <w:sz w:val="17"/>
                <w:lang w:eastAsia="en-US"/>
              </w:rPr>
              <w:t>código</w:t>
            </w:r>
            <w:proofErr w:type="spellEnd"/>
            <w:r w:rsidRPr="00E15B99">
              <w:rPr>
                <w:rFonts w:eastAsia="Batang" w:cs="Times New Roman"/>
                <w:b/>
                <w:bCs/>
                <w:sz w:val="17"/>
                <w:lang w:eastAsia="en-US"/>
              </w:rPr>
              <w:t xml:space="preserve"> Unicode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47241C09" w:rsidR="00B836FE" w:rsidRPr="00992F7B" w:rsidRDefault="00B836FE" w:rsidP="00E116ED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proofErr w:type="spellStart"/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</w:t>
            </w:r>
            <w:r w:rsidR="00E116ED">
              <w:rPr>
                <w:rFonts w:eastAsia="Batang" w:cs="Times New Roman"/>
                <w:b/>
                <w:bCs/>
                <w:sz w:val="17"/>
                <w:lang w:eastAsia="en-US"/>
              </w:rPr>
              <w:t>arácter</w:t>
            </w:r>
            <w:proofErr w:type="spellEnd"/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1058C7D8" w:rsidR="00B836FE" w:rsidRPr="00992F7B" w:rsidRDefault="00E116ED" w:rsidP="008C169C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proofErr w:type="spellStart"/>
            <w:r w:rsidRPr="008C169C">
              <w:rPr>
                <w:rFonts w:eastAsia="Batang" w:cs="Times New Roman"/>
                <w:b/>
                <w:bCs/>
                <w:sz w:val="17"/>
                <w:lang w:eastAsia="en-US"/>
              </w:rPr>
              <w:t>Nombre</w:t>
            </w:r>
            <w:proofErr w:type="spellEnd"/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772564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2CA19A91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5661FCF6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0F624ABA" w:rsidR="00772564" w:rsidRPr="00BE32E2" w:rsidRDefault="00772564" w:rsidP="00542C48">
            <w:pPr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772564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5247A9BD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30325B53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1EE24F16" w:rsidR="00772564" w:rsidRPr="00BE32E2" w:rsidRDefault="00772564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772564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4DC477B0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303BD99C" w:rsidR="00772564" w:rsidRPr="00BE32E2" w:rsidRDefault="00772564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4D76C1FE" w:rsidR="00772564" w:rsidRPr="00BE32E2" w:rsidRDefault="00772564" w:rsidP="00542C48">
            <w:pPr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E01110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031E8910" w:rsidR="00E01110" w:rsidRPr="00BE32E2" w:rsidRDefault="00E01110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61C4B5ED" w:rsidR="00E01110" w:rsidRPr="00BE32E2" w:rsidRDefault="00E01110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35B9FFC9" w:rsidR="00E01110" w:rsidRPr="00BE32E2" w:rsidRDefault="00E01110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E32E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E32E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E32E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46563F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46563F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46563F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12836974" w14:textId="77777777"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6713239" w14:textId="77777777"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4FA09F8E" w14:textId="77777777"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558BCD01" w14:textId="15D5890B" w:rsidR="00CB2448" w:rsidRPr="00B2039D" w:rsidRDefault="00CB2448" w:rsidP="00CB2448">
      <w:pPr>
        <w:widowControl w:val="0"/>
        <w:kinsoku w:val="0"/>
        <w:ind w:left="5534"/>
        <w:rPr>
          <w:sz w:val="17"/>
          <w:szCs w:val="17"/>
          <w:lang w:val="es-ES_tradnl"/>
        </w:rPr>
      </w:pPr>
      <w:r w:rsidRPr="00B2039D">
        <w:rPr>
          <w:sz w:val="17"/>
          <w:szCs w:val="17"/>
          <w:lang w:val="es-ES_tradnl"/>
        </w:rPr>
        <w:t>[Sigue el Anexo VI (Anexo V de la Norma ST.26)]</w:t>
      </w:r>
    </w:p>
    <w:sectPr w:rsidR="00CB2448" w:rsidRPr="00B2039D" w:rsidSect="002A78F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834D" w14:textId="77777777" w:rsidR="000B1B3C" w:rsidRDefault="000B1B3C">
      <w:r>
        <w:separator/>
      </w:r>
    </w:p>
  </w:endnote>
  <w:endnote w:type="continuationSeparator" w:id="0">
    <w:p w14:paraId="7E337E7C" w14:textId="77777777" w:rsidR="000B1B3C" w:rsidRDefault="000B1B3C" w:rsidP="003B38C1">
      <w:r>
        <w:separator/>
      </w:r>
    </w:p>
    <w:p w14:paraId="18885D6D" w14:textId="77777777" w:rsidR="000B1B3C" w:rsidRPr="003B38C1" w:rsidRDefault="000B1B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FC70F5" w14:textId="77777777" w:rsidR="000B1B3C" w:rsidRPr="003B38C1" w:rsidRDefault="000B1B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5FB8" w14:textId="77777777" w:rsidR="000B1B3C" w:rsidRDefault="000B1B3C">
      <w:r>
        <w:separator/>
      </w:r>
    </w:p>
  </w:footnote>
  <w:footnote w:type="continuationSeparator" w:id="0">
    <w:p w14:paraId="3CB3768F" w14:textId="77777777" w:rsidR="000B1B3C" w:rsidRDefault="000B1B3C" w:rsidP="008B60B2">
      <w:r>
        <w:separator/>
      </w:r>
    </w:p>
    <w:p w14:paraId="4BD82CD5" w14:textId="77777777" w:rsidR="000B1B3C" w:rsidRPr="00ED77FB" w:rsidRDefault="000B1B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013C33" w14:textId="77777777" w:rsidR="000B1B3C" w:rsidRPr="00ED77FB" w:rsidRDefault="000B1B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95AF" w14:textId="15AB24CD" w:rsidR="000B1B3C" w:rsidRDefault="000B1B3C" w:rsidP="00477D6B">
    <w:pPr>
      <w:jc w:val="right"/>
    </w:pPr>
    <w:r>
      <w:t>CWS/6/16</w:t>
    </w:r>
  </w:p>
  <w:p w14:paraId="6A210F2C" w14:textId="48B8ABB7" w:rsidR="000B1B3C" w:rsidRDefault="000B1B3C" w:rsidP="00477D6B">
    <w:pPr>
      <w:jc w:val="right"/>
    </w:pPr>
    <w:r>
      <w:t>Annex IV, page 3</w:t>
    </w:r>
  </w:p>
  <w:p w14:paraId="114FF875" w14:textId="77777777" w:rsidR="000B1B3C" w:rsidRDefault="000B1B3C" w:rsidP="00477D6B">
    <w:pPr>
      <w:jc w:val="right"/>
    </w:pPr>
  </w:p>
  <w:p w14:paraId="43FB6271" w14:textId="77777777" w:rsidR="000B1B3C" w:rsidRDefault="000B1B3C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A0D8" w14:textId="5D36853E" w:rsidR="000B1B3C" w:rsidRPr="001C4700" w:rsidRDefault="000B1B3C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37039E8" w14:textId="6A68EC58" w:rsidR="000B1B3C" w:rsidRPr="001C4700" w:rsidRDefault="000B1B3C" w:rsidP="00BB74B8">
    <w:pPr>
      <w:jc w:val="right"/>
      <w:rPr>
        <w:sz w:val="17"/>
        <w:szCs w:val="17"/>
      </w:rPr>
    </w:pPr>
    <w:r w:rsidRPr="001C4700">
      <w:rPr>
        <w:sz w:val="17"/>
        <w:szCs w:val="17"/>
      </w:rPr>
      <w:t>AN</w:t>
    </w:r>
    <w:r>
      <w:rPr>
        <w:sz w:val="17"/>
        <w:szCs w:val="17"/>
      </w:rPr>
      <w:t>EXO V</w:t>
    </w:r>
  </w:p>
  <w:p w14:paraId="436A5944" w14:textId="77777777" w:rsidR="000B1B3C" w:rsidRPr="001C4700" w:rsidRDefault="000B1B3C" w:rsidP="00BB74B8">
    <w:pPr>
      <w:jc w:val="right"/>
      <w:rPr>
        <w:sz w:val="17"/>
        <w:szCs w:val="17"/>
      </w:rPr>
    </w:pPr>
  </w:p>
  <w:p w14:paraId="64752AC8" w14:textId="77777777" w:rsidR="000B1B3C" w:rsidRPr="001C4700" w:rsidRDefault="000B1B3C" w:rsidP="00BB74B8">
    <w:pPr>
      <w:jc w:val="right"/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D7E" w14:textId="77777777" w:rsidR="000B1B3C" w:rsidRDefault="000B1B3C" w:rsidP="00477D6B">
    <w:pPr>
      <w:jc w:val="right"/>
    </w:pPr>
    <w:r>
      <w:t>CWS/6/16</w:t>
    </w:r>
  </w:p>
  <w:p w14:paraId="52F13E18" w14:textId="33B37DA6" w:rsidR="000B1B3C" w:rsidRDefault="000B1B3C" w:rsidP="00477D6B">
    <w:pPr>
      <w:jc w:val="right"/>
    </w:pPr>
    <w:r>
      <w:t>ANNEX V</w:t>
    </w:r>
  </w:p>
  <w:p w14:paraId="0BE7F7F6" w14:textId="77777777" w:rsidR="000B1B3C" w:rsidRDefault="000B1B3C" w:rsidP="00477D6B">
    <w:pPr>
      <w:jc w:val="right"/>
    </w:pPr>
  </w:p>
  <w:p w14:paraId="5D2058A7" w14:textId="77777777" w:rsidR="000B1B3C" w:rsidRDefault="000B1B3C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7D0" w14:textId="77777777" w:rsidR="000B1B3C" w:rsidRPr="001C4700" w:rsidRDefault="000B1B3C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BA1E992" w14:textId="0F47FF14" w:rsidR="000B1B3C" w:rsidRPr="001C4700" w:rsidRDefault="000B1B3C" w:rsidP="00BB74B8">
    <w:pPr>
      <w:jc w:val="right"/>
      <w:rPr>
        <w:sz w:val="17"/>
        <w:szCs w:val="17"/>
      </w:rPr>
    </w:pPr>
    <w:proofErr w:type="spellStart"/>
    <w:r>
      <w:rPr>
        <w:sz w:val="17"/>
        <w:szCs w:val="17"/>
      </w:rPr>
      <w:t>Anexo</w:t>
    </w:r>
    <w:proofErr w:type="spellEnd"/>
    <w:r>
      <w:rPr>
        <w:sz w:val="17"/>
        <w:szCs w:val="17"/>
      </w:rPr>
      <w:t xml:space="preserve"> </w:t>
    </w:r>
    <w:r w:rsidRPr="001C4700">
      <w:rPr>
        <w:sz w:val="17"/>
        <w:szCs w:val="17"/>
      </w:rPr>
      <w:t xml:space="preserve">V, </w:t>
    </w:r>
    <w:proofErr w:type="spellStart"/>
    <w:r>
      <w:rPr>
        <w:sz w:val="17"/>
        <w:szCs w:val="17"/>
      </w:rPr>
      <w:t>página</w:t>
    </w:r>
    <w:proofErr w:type="spellEnd"/>
    <w:r w:rsidRPr="001C4700">
      <w:rPr>
        <w:sz w:val="17"/>
        <w:szCs w:val="17"/>
      </w:rPr>
      <w:t xml:space="preserve"> 2</w:t>
    </w:r>
  </w:p>
  <w:p w14:paraId="1D8A50F8" w14:textId="77777777" w:rsidR="000B1B3C" w:rsidRPr="001C4700" w:rsidRDefault="000B1B3C" w:rsidP="00BB74B8">
    <w:pPr>
      <w:jc w:val="right"/>
      <w:rPr>
        <w:sz w:val="17"/>
        <w:szCs w:val="17"/>
      </w:rPr>
    </w:pPr>
  </w:p>
  <w:p w14:paraId="3D4CB6B6" w14:textId="77777777" w:rsidR="000B1B3C" w:rsidRPr="001C4700" w:rsidRDefault="000B1B3C" w:rsidP="00BB74B8">
    <w:pPr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30674"/>
    <w:rsid w:val="00043CAA"/>
    <w:rsid w:val="00075432"/>
    <w:rsid w:val="00076D20"/>
    <w:rsid w:val="000968ED"/>
    <w:rsid w:val="000B1B3C"/>
    <w:rsid w:val="000B75E0"/>
    <w:rsid w:val="000F5E56"/>
    <w:rsid w:val="001362EE"/>
    <w:rsid w:val="001728F5"/>
    <w:rsid w:val="001832A6"/>
    <w:rsid w:val="001B65D8"/>
    <w:rsid w:val="001C4700"/>
    <w:rsid w:val="001D7C51"/>
    <w:rsid w:val="00206FA3"/>
    <w:rsid w:val="00230D89"/>
    <w:rsid w:val="00236658"/>
    <w:rsid w:val="002634C4"/>
    <w:rsid w:val="00265047"/>
    <w:rsid w:val="002928D3"/>
    <w:rsid w:val="002A78F5"/>
    <w:rsid w:val="002D09F4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3E758B"/>
    <w:rsid w:val="00423E3E"/>
    <w:rsid w:val="00427AF4"/>
    <w:rsid w:val="004400E2"/>
    <w:rsid w:val="00447F72"/>
    <w:rsid w:val="004647DA"/>
    <w:rsid w:val="0046563F"/>
    <w:rsid w:val="00474062"/>
    <w:rsid w:val="00477D6B"/>
    <w:rsid w:val="004B35C5"/>
    <w:rsid w:val="00502E0D"/>
    <w:rsid w:val="0053057A"/>
    <w:rsid w:val="00542C48"/>
    <w:rsid w:val="00553D5E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B195B"/>
    <w:rsid w:val="006E6A4B"/>
    <w:rsid w:val="006E7D87"/>
    <w:rsid w:val="007058FB"/>
    <w:rsid w:val="00741B25"/>
    <w:rsid w:val="00760655"/>
    <w:rsid w:val="00772564"/>
    <w:rsid w:val="007A22A2"/>
    <w:rsid w:val="007B6A58"/>
    <w:rsid w:val="007D1613"/>
    <w:rsid w:val="007D5C56"/>
    <w:rsid w:val="007F67CB"/>
    <w:rsid w:val="008000CE"/>
    <w:rsid w:val="00893D77"/>
    <w:rsid w:val="008B2CC1"/>
    <w:rsid w:val="008B60B2"/>
    <w:rsid w:val="008C169C"/>
    <w:rsid w:val="0090731E"/>
    <w:rsid w:val="00911B05"/>
    <w:rsid w:val="00916EE2"/>
    <w:rsid w:val="009567DC"/>
    <w:rsid w:val="00966A22"/>
    <w:rsid w:val="0096722F"/>
    <w:rsid w:val="00980843"/>
    <w:rsid w:val="00992F7B"/>
    <w:rsid w:val="009E2791"/>
    <w:rsid w:val="009E3F6F"/>
    <w:rsid w:val="009F499F"/>
    <w:rsid w:val="00A106FC"/>
    <w:rsid w:val="00A42DAF"/>
    <w:rsid w:val="00A4583E"/>
    <w:rsid w:val="00A45BD8"/>
    <w:rsid w:val="00A613E4"/>
    <w:rsid w:val="00A631FE"/>
    <w:rsid w:val="00A65D37"/>
    <w:rsid w:val="00A85B8E"/>
    <w:rsid w:val="00AB068F"/>
    <w:rsid w:val="00AC205C"/>
    <w:rsid w:val="00AD5412"/>
    <w:rsid w:val="00B04788"/>
    <w:rsid w:val="00B05A69"/>
    <w:rsid w:val="00B07B53"/>
    <w:rsid w:val="00B123E4"/>
    <w:rsid w:val="00B2039D"/>
    <w:rsid w:val="00B36D56"/>
    <w:rsid w:val="00B45EC1"/>
    <w:rsid w:val="00B62974"/>
    <w:rsid w:val="00B77275"/>
    <w:rsid w:val="00B836FE"/>
    <w:rsid w:val="00B85A06"/>
    <w:rsid w:val="00B9734B"/>
    <w:rsid w:val="00BB03CF"/>
    <w:rsid w:val="00BB74B8"/>
    <w:rsid w:val="00BD0412"/>
    <w:rsid w:val="00BE32E2"/>
    <w:rsid w:val="00C11BFE"/>
    <w:rsid w:val="00C351A6"/>
    <w:rsid w:val="00C42467"/>
    <w:rsid w:val="00C44558"/>
    <w:rsid w:val="00C94629"/>
    <w:rsid w:val="00C952B7"/>
    <w:rsid w:val="00CA1E75"/>
    <w:rsid w:val="00CB2448"/>
    <w:rsid w:val="00CD28E0"/>
    <w:rsid w:val="00D312F4"/>
    <w:rsid w:val="00D45252"/>
    <w:rsid w:val="00D71B4D"/>
    <w:rsid w:val="00D83F3F"/>
    <w:rsid w:val="00D90384"/>
    <w:rsid w:val="00D93D55"/>
    <w:rsid w:val="00D949BC"/>
    <w:rsid w:val="00DB7F5B"/>
    <w:rsid w:val="00DC5CF8"/>
    <w:rsid w:val="00DE0E5A"/>
    <w:rsid w:val="00E01110"/>
    <w:rsid w:val="00E116ED"/>
    <w:rsid w:val="00E15B99"/>
    <w:rsid w:val="00E2300C"/>
    <w:rsid w:val="00E335FE"/>
    <w:rsid w:val="00E5021F"/>
    <w:rsid w:val="00E50D6C"/>
    <w:rsid w:val="00EA19F8"/>
    <w:rsid w:val="00EB4626"/>
    <w:rsid w:val="00EC4E49"/>
    <w:rsid w:val="00ED77FB"/>
    <w:rsid w:val="00EE79F8"/>
    <w:rsid w:val="00EF6750"/>
    <w:rsid w:val="00F021A6"/>
    <w:rsid w:val="00F146D4"/>
    <w:rsid w:val="00F66152"/>
    <w:rsid w:val="00F66664"/>
    <w:rsid w:val="00F82A21"/>
    <w:rsid w:val="00F928B1"/>
    <w:rsid w:val="00FC0B93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78A043"/>
  <w15:docId w15:val="{7CE8A118-11E1-4904-A264-A72E196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146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46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IV (in Spanish)</vt:lpstr>
    </vt:vector>
  </TitlesOfParts>
  <Company>OMPI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IV (in Spanish)</dc:title>
  <dc:subject>NORMA ST.26 - ANEXO IV</dc:subject>
  <dc:creator>OMPI</dc:creator>
  <cp:keywords>CWS</cp:keywords>
  <cp:lastModifiedBy>DRAKE Sophie</cp:lastModifiedBy>
  <cp:revision>8</cp:revision>
  <cp:lastPrinted>2018-09-05T14:51:00Z</cp:lastPrinted>
  <dcterms:created xsi:type="dcterms:W3CDTF">2018-10-05T07:25:00Z</dcterms:created>
  <dcterms:modified xsi:type="dcterms:W3CDTF">2018-10-10T08:08:00Z</dcterms:modified>
  <cp:category>CWS (in Spanish)</cp:category>
</cp:coreProperties>
</file>