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D50C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77777777" w:rsidR="00EC4E49" w:rsidRPr="00084955" w:rsidRDefault="00542C96" w:rsidP="00916EE2">
            <w:r w:rsidRPr="00084955">
              <w:rPr>
                <w:noProof/>
                <w:lang w:eastAsia="en-US"/>
              </w:rPr>
              <w:drawing>
                <wp:inline distT="0" distB="0" distL="0" distR="0" wp14:anchorId="3CA87E9B" wp14:editId="270DE277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7777777" w:rsidR="00EC4E49" w:rsidRPr="00084955" w:rsidRDefault="00EC4E49" w:rsidP="00916EE2">
            <w:pPr>
              <w:jc w:val="right"/>
            </w:pPr>
            <w:r w:rsidRPr="0008495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7DDE52BE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A333B"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77777777" w:rsidR="008B2CC1" w:rsidRPr="0008495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 w:rsidRPr="0008495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D50CA8" w:rsidRPr="00084955" w14:paraId="453FC94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4DF4AA7" w14:textId="3B187B42" w:rsidR="00D50CA8" w:rsidRPr="00084955" w:rsidRDefault="00D50CA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 xml:space="preserve">DATE: </w:t>
            </w:r>
            <w:r>
              <w:rPr>
                <w:rFonts w:ascii="Arial Black" w:hAnsi="Arial Black"/>
                <w:caps/>
                <w:sz w:val="15"/>
              </w:rPr>
              <w:t>october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30</w:t>
            </w:r>
            <w:r w:rsidRPr="00084955">
              <w:rPr>
                <w:rFonts w:ascii="Arial Black" w:hAnsi="Arial Black"/>
                <w:caps/>
                <w:sz w:val="15"/>
              </w:rPr>
              <w:t>, 2020</w:t>
            </w:r>
          </w:p>
        </w:tc>
      </w:tr>
    </w:tbl>
    <w:p w14:paraId="2F28C9F2" w14:textId="77777777" w:rsidR="008B2CC1" w:rsidRPr="00084955" w:rsidRDefault="00774501" w:rsidP="00592454">
      <w:pPr>
        <w:pStyle w:val="Heading1"/>
        <w:spacing w:before="1200" w:after="480"/>
        <w:rPr>
          <w:sz w:val="28"/>
          <w:szCs w:val="28"/>
        </w:rPr>
      </w:pPr>
      <w:bookmarkStart w:id="2" w:name="_GoBack"/>
      <w:bookmarkEnd w:id="2"/>
      <w:r w:rsidRPr="00084955">
        <w:rPr>
          <w:sz w:val="28"/>
          <w:szCs w:val="28"/>
        </w:rPr>
        <w:t>Committee on WIPO Standards (CWS)</w:t>
      </w:r>
    </w:p>
    <w:p w14:paraId="374BB662" w14:textId="68FFA68B" w:rsidR="008B2CC1" w:rsidRPr="00592454" w:rsidRDefault="00592454" w:rsidP="00592454">
      <w:pPr>
        <w:pStyle w:val="Heading1"/>
        <w:rPr>
          <w:sz w:val="28"/>
          <w:szCs w:val="28"/>
        </w:rPr>
      </w:pPr>
      <w:r w:rsidRPr="00592454">
        <w:rPr>
          <w:caps w:val="0"/>
          <w:sz w:val="28"/>
          <w:szCs w:val="28"/>
        </w:rPr>
        <w:t>Eighth Session</w:t>
      </w:r>
    </w:p>
    <w:p w14:paraId="6EA0ABA2" w14:textId="7AF36181" w:rsidR="008B2CC1" w:rsidRPr="00592454" w:rsidRDefault="00774501" w:rsidP="00592454">
      <w:pPr>
        <w:spacing w:after="720"/>
        <w:rPr>
          <w:b/>
          <w:sz w:val="28"/>
          <w:szCs w:val="28"/>
        </w:rPr>
      </w:pPr>
      <w:r w:rsidRPr="00592454">
        <w:rPr>
          <w:b/>
          <w:sz w:val="28"/>
          <w:szCs w:val="28"/>
        </w:rPr>
        <w:t xml:space="preserve">Geneva, </w:t>
      </w:r>
      <w:r w:rsidR="00E34F39" w:rsidRPr="00592454">
        <w:rPr>
          <w:b/>
          <w:sz w:val="28"/>
          <w:szCs w:val="28"/>
        </w:rPr>
        <w:t>November</w:t>
      </w:r>
      <w:r w:rsidR="00CB5890" w:rsidRPr="00592454">
        <w:rPr>
          <w:b/>
          <w:sz w:val="28"/>
          <w:szCs w:val="28"/>
        </w:rPr>
        <w:t xml:space="preserve"> </w:t>
      </w:r>
      <w:r w:rsidR="00E34F39" w:rsidRPr="00592454">
        <w:rPr>
          <w:b/>
          <w:sz w:val="28"/>
          <w:szCs w:val="28"/>
        </w:rPr>
        <w:t>30</w:t>
      </w:r>
      <w:r w:rsidRPr="00592454">
        <w:rPr>
          <w:b/>
          <w:sz w:val="28"/>
          <w:szCs w:val="28"/>
        </w:rPr>
        <w:t xml:space="preserve"> to </w:t>
      </w:r>
      <w:r w:rsidR="00E34F39" w:rsidRPr="00592454">
        <w:rPr>
          <w:b/>
          <w:sz w:val="28"/>
          <w:szCs w:val="28"/>
        </w:rPr>
        <w:t>December 4</w:t>
      </w:r>
      <w:r w:rsidRPr="00592454">
        <w:rPr>
          <w:b/>
          <w:sz w:val="28"/>
          <w:szCs w:val="28"/>
        </w:rPr>
        <w:t>, 20</w:t>
      </w:r>
      <w:r w:rsidR="00AB1326" w:rsidRPr="00592454">
        <w:rPr>
          <w:b/>
          <w:sz w:val="28"/>
          <w:szCs w:val="28"/>
        </w:rPr>
        <w:t>20</w:t>
      </w:r>
    </w:p>
    <w:p w14:paraId="23376966" w14:textId="0C67482B" w:rsidR="008B2CC1" w:rsidRPr="00084955" w:rsidRDefault="00ED1258" w:rsidP="00592454">
      <w:pPr>
        <w:pStyle w:val="Heading2"/>
        <w:spacing w:after="240"/>
      </w:pPr>
      <w:bookmarkStart w:id="3" w:name="TitleOfDoc"/>
      <w:bookmarkEnd w:id="3"/>
      <w:r>
        <w:t>report by the trademark standardization task force</w:t>
      </w:r>
    </w:p>
    <w:p w14:paraId="050FE9AC" w14:textId="7C430A86" w:rsidR="008B2CC1" w:rsidRPr="00084955" w:rsidRDefault="00650F84" w:rsidP="00592454">
      <w:pPr>
        <w:spacing w:after="1200"/>
        <w:rPr>
          <w:i/>
        </w:rPr>
      </w:pPr>
      <w:bookmarkStart w:id="4" w:name="Prepared"/>
      <w:bookmarkEnd w:id="4"/>
      <w:r w:rsidRPr="00084955">
        <w:rPr>
          <w:i/>
        </w:rPr>
        <w:t xml:space="preserve">Document prepared by the </w:t>
      </w:r>
      <w:r w:rsidR="002A08A1" w:rsidRPr="002A08A1">
        <w:rPr>
          <w:i/>
        </w:rPr>
        <w:t>Trademark Standardization Task Force</w:t>
      </w:r>
      <w:r w:rsidR="002A08A1">
        <w:rPr>
          <w:i/>
        </w:rPr>
        <w:t xml:space="preserve"> Leader</w:t>
      </w:r>
    </w:p>
    <w:p w14:paraId="5BC66C08" w14:textId="77777777" w:rsidR="00DA6220" w:rsidRDefault="00DA6220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5079BB7C" w14:textId="7194C5AB" w:rsidR="00F053C2" w:rsidRDefault="00E96BD6" w:rsidP="00E96BD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67467" w:rsidRPr="00E17AED">
        <w:t xml:space="preserve">At its seventh session in 2019, the Committee on WIPO Standards (CWS) agreed to resume work on Task No. 49 to “prepare a recommendation for the electronic management of motion or multimedia marks for adoption as a WIPO standard.” </w:t>
      </w:r>
      <w:r w:rsidR="00667467">
        <w:t xml:space="preserve"> </w:t>
      </w:r>
      <w:r w:rsidR="00F053C2">
        <w:t>The International Bureau is the Task Force Leader.  (See paragraph</w:t>
      </w:r>
      <w:r w:rsidR="00F053C2" w:rsidRPr="00E06A75">
        <w:rPr>
          <w:spacing w:val="-6"/>
        </w:rPr>
        <w:t xml:space="preserve"> </w:t>
      </w:r>
      <w:r w:rsidR="00F053C2" w:rsidRPr="00E17AED">
        <w:t>164 of documen</w:t>
      </w:r>
      <w:r w:rsidR="00F053C2" w:rsidRPr="0093543E">
        <w:t>t</w:t>
      </w:r>
      <w:r w:rsidR="00F053C2" w:rsidRPr="00E06A75">
        <w:rPr>
          <w:spacing w:val="-2"/>
        </w:rPr>
        <w:t xml:space="preserve"> </w:t>
      </w:r>
      <w:hyperlink r:id="rId9">
        <w:r w:rsidR="00F053C2" w:rsidRPr="0093543E">
          <w:rPr>
            <w:rStyle w:val="Hyperlink"/>
          </w:rPr>
          <w:t>CWS/7/29</w:t>
        </w:r>
      </w:hyperlink>
      <w:r w:rsidR="00F053C2">
        <w:rPr>
          <w:rStyle w:val="Hyperlink"/>
        </w:rPr>
        <w:t>.</w:t>
      </w:r>
      <w:r w:rsidR="00F053C2" w:rsidRPr="0093543E">
        <w:t>)</w:t>
      </w:r>
    </w:p>
    <w:p w14:paraId="78328C95" w14:textId="1796E0CA" w:rsidR="00DA6220" w:rsidRPr="00084955" w:rsidRDefault="00E96BD6" w:rsidP="00E96BD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67467">
        <w:t xml:space="preserve">The CWS also considered a proposal from the Trademark Standardization Task Force to maintain as-is INID code 551 covering collective, certification, and guarantee marks in WIPO Standard ST.60, following a request at the sixth session of the CWS to consider splitting INID code 551.  </w:t>
      </w:r>
      <w:r w:rsidR="00F053C2">
        <w:t>For comparison, ST.96 uses separate value</w:t>
      </w:r>
      <w:r w:rsidR="00415657">
        <w:t>s</w:t>
      </w:r>
      <w:r w:rsidR="00F053C2">
        <w:t xml:space="preserve"> for these elements.  </w:t>
      </w:r>
      <w:r w:rsidR="00667467" w:rsidRPr="00384675">
        <w:t>The CWS could not reach agreement on the proposal, and referred the matter back to the Task Force for further discussion</w:t>
      </w:r>
      <w:r w:rsidR="00667467">
        <w:t>.  (See paragraphs 160</w:t>
      </w:r>
      <w:r w:rsidR="00667467" w:rsidRPr="00E17AED">
        <w:t xml:space="preserve"> </w:t>
      </w:r>
      <w:r w:rsidR="00667467" w:rsidRPr="00E06A75">
        <w:rPr>
          <w:spacing w:val="-6"/>
        </w:rPr>
        <w:t xml:space="preserve">to </w:t>
      </w:r>
      <w:r w:rsidR="00667467" w:rsidRPr="00E17AED">
        <w:t>16</w:t>
      </w:r>
      <w:r w:rsidR="00F053C2">
        <w:t>3</w:t>
      </w:r>
      <w:r w:rsidR="00667467" w:rsidRPr="00E17AED">
        <w:t xml:space="preserve"> of documen</w:t>
      </w:r>
      <w:r w:rsidR="00667467" w:rsidRPr="0093543E">
        <w:t>t</w:t>
      </w:r>
      <w:r w:rsidR="00667467" w:rsidRPr="00E06A75">
        <w:rPr>
          <w:spacing w:val="-2"/>
        </w:rPr>
        <w:t xml:space="preserve"> </w:t>
      </w:r>
      <w:hyperlink r:id="rId10">
        <w:r w:rsidR="00667467" w:rsidRPr="0093543E">
          <w:rPr>
            <w:rStyle w:val="Hyperlink"/>
          </w:rPr>
          <w:t>CWS/7/29</w:t>
        </w:r>
      </w:hyperlink>
      <w:r w:rsidR="00042CCA">
        <w:rPr>
          <w:rStyle w:val="Hyperlink"/>
        </w:rPr>
        <w:t>.</w:t>
      </w:r>
      <w:r w:rsidR="00667467" w:rsidRPr="0093543E">
        <w:t>)</w:t>
      </w:r>
    </w:p>
    <w:p w14:paraId="652038F5" w14:textId="381D80F3" w:rsidR="006935A9" w:rsidRPr="006128E6" w:rsidRDefault="006935A9" w:rsidP="00E96BD6">
      <w:pPr>
        <w:pStyle w:val="Heading2"/>
        <w:spacing w:before="0"/>
        <w:rPr>
          <w:rFonts w:eastAsia="Malgun Gothic"/>
          <w:caps w:val="0"/>
          <w:szCs w:val="22"/>
        </w:rPr>
      </w:pPr>
      <w:r w:rsidRPr="006128E6">
        <w:rPr>
          <w:rFonts w:eastAsia="Malgun Gothic"/>
          <w:caps w:val="0"/>
          <w:szCs w:val="22"/>
        </w:rPr>
        <w:t>REPORT</w:t>
      </w:r>
      <w:r w:rsidR="000113FC">
        <w:rPr>
          <w:rFonts w:eastAsia="Malgun Gothic"/>
          <w:caps w:val="0"/>
          <w:szCs w:val="22"/>
        </w:rPr>
        <w:t xml:space="preserve"> ON ACTIVITIES</w:t>
      </w:r>
    </w:p>
    <w:p w14:paraId="5C218796" w14:textId="43ED7E1A" w:rsidR="000A7007" w:rsidRDefault="00E96BD6" w:rsidP="00E96BD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51D7" w:rsidRPr="00E17AED">
        <w:t xml:space="preserve">The Trademark Standardization Task Force resumed work on the draft recommendation </w:t>
      </w:r>
      <w:r w:rsidR="00667467">
        <w:t xml:space="preserve">for </w:t>
      </w:r>
      <w:r w:rsidR="00E06A75" w:rsidRPr="00E17AED">
        <w:t>the electronic management of motion or multimedia marks</w:t>
      </w:r>
      <w:r w:rsidR="00667467">
        <w:t xml:space="preserve"> </w:t>
      </w:r>
      <w:r w:rsidR="001551D7" w:rsidRPr="00E17AED">
        <w:rPr>
          <w:spacing w:val="-7"/>
        </w:rPr>
        <w:t xml:space="preserve">in </w:t>
      </w:r>
      <w:r w:rsidR="001551D7" w:rsidRPr="00E17AED">
        <w:t>Sept</w:t>
      </w:r>
      <w:r w:rsidR="00667467">
        <w:t>ember</w:t>
      </w:r>
      <w:r w:rsidR="001551D7" w:rsidRPr="00E17AED">
        <w:t xml:space="preserve"> 2019.  The previous draft from 2016 was reviewed and the T</w:t>
      </w:r>
      <w:r w:rsidR="001551D7">
        <w:t xml:space="preserve">ask </w:t>
      </w:r>
      <w:r w:rsidR="001551D7" w:rsidRPr="00E17AED">
        <w:t>F</w:t>
      </w:r>
      <w:r w:rsidR="001551D7">
        <w:t>orce</w:t>
      </w:r>
      <w:r w:rsidR="001551D7" w:rsidRPr="00E17AED">
        <w:t xml:space="preserve"> considered the draft accurate and mostly complete.  In particular, the definition of "multimedia mark" was reconsidered and the </w:t>
      </w:r>
      <w:r w:rsidR="001551D7">
        <w:t>Task Force</w:t>
      </w:r>
      <w:r w:rsidR="001551D7" w:rsidRPr="00E17AED">
        <w:t xml:space="preserve"> agreed that the definition was appropriate in light of developments in the </w:t>
      </w:r>
      <w:r w:rsidR="00E06A75" w:rsidRPr="00E17AED">
        <w:t>E</w:t>
      </w:r>
      <w:r w:rsidR="00E06A75">
        <w:t xml:space="preserve">uropean </w:t>
      </w:r>
      <w:r w:rsidR="001551D7" w:rsidRPr="00E17AED">
        <w:t>U</w:t>
      </w:r>
      <w:r w:rsidR="00E06A75">
        <w:t>nion</w:t>
      </w:r>
      <w:r w:rsidR="001551D7" w:rsidRPr="00E17AED">
        <w:t xml:space="preserve"> and other countries.  Most of the discussion involved video format issues.</w:t>
      </w:r>
      <w:r w:rsidR="0036094D">
        <w:t xml:space="preserve">  As a result of this work, the Task Force prepared a proposal for a new WIPO </w:t>
      </w:r>
      <w:r w:rsidR="00E06A75">
        <w:t>s</w:t>
      </w:r>
      <w:r w:rsidR="0036094D">
        <w:t>tandard on motion or multimedia marks (</w:t>
      </w:r>
      <w:r w:rsidR="00042CCA">
        <w:t>s</w:t>
      </w:r>
      <w:r w:rsidR="0036094D">
        <w:t>ee document CWS/8/</w:t>
      </w:r>
      <w:r w:rsidR="00F053C2">
        <w:t>3</w:t>
      </w:r>
      <w:r w:rsidR="0036094D">
        <w:t>)</w:t>
      </w:r>
      <w:r w:rsidR="00C97529">
        <w:t>.</w:t>
      </w:r>
    </w:p>
    <w:p w14:paraId="090B739B" w14:textId="77777777" w:rsidR="000A7007" w:rsidRDefault="000A7007">
      <w:r>
        <w:br w:type="page"/>
      </w:r>
    </w:p>
    <w:p w14:paraId="055422D2" w14:textId="06A3AA90" w:rsidR="00C97529" w:rsidRDefault="00E96BD6" w:rsidP="00E96BD6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51D7" w:rsidRPr="00E17AED">
        <w:t>The Task Force also continued discussion on whether to split INID code 551 to</w:t>
      </w:r>
      <w:r w:rsidR="001551D7" w:rsidRPr="00E17AED">
        <w:rPr>
          <w:spacing w:val="-25"/>
        </w:rPr>
        <w:t xml:space="preserve"> </w:t>
      </w:r>
      <w:r w:rsidR="001551D7" w:rsidRPr="00E17AED">
        <w:t xml:space="preserve">distinguish collective marks, certification marks, and guarantee marks.  </w:t>
      </w:r>
      <w:r w:rsidR="00384675">
        <w:t>T</w:t>
      </w:r>
      <w:r w:rsidR="001551D7" w:rsidRPr="00E17AED">
        <w:t xml:space="preserve">he Madrid System </w:t>
      </w:r>
      <w:r w:rsidR="00384675">
        <w:t xml:space="preserve">informed the Task Force </w:t>
      </w:r>
      <w:r w:rsidR="001551D7" w:rsidRPr="00E17AED">
        <w:t>that the current approach to 551 was decided when the Common Regulations under the Madrid Agreement and Protocol were drafted in 1994 (see page 22 of document</w:t>
      </w:r>
      <w:r w:rsidR="001551D7" w:rsidRPr="00E17AED">
        <w:rPr>
          <w:spacing w:val="-14"/>
        </w:rPr>
        <w:t xml:space="preserve"> </w:t>
      </w:r>
      <w:r w:rsidR="001551D7" w:rsidRPr="00E17AED">
        <w:t xml:space="preserve">GT/PM/VI/7).  An earlier draft of the regulations allowed separating these types of marks, but it was ultimately changed because "the Office of origin would not be in a position to give the certification referred to in Rule 9(5)(b)(iii) and (6)(b)(iii)" (see paragraph 18 of document GT/PM/VI/8).  Based on this explanation, </w:t>
      </w:r>
      <w:r w:rsidR="0082049D">
        <w:t xml:space="preserve">one </w:t>
      </w:r>
      <w:r w:rsidR="00E06A75">
        <w:t xml:space="preserve">proponent Office </w:t>
      </w:r>
      <w:r w:rsidR="001551D7" w:rsidRPr="00E17AED">
        <w:t>withdrew their request to split INID code 551.</w:t>
      </w:r>
    </w:p>
    <w:p w14:paraId="2A272A55" w14:textId="58A05A37" w:rsidR="001551D7" w:rsidRPr="00E96BD6" w:rsidRDefault="00E96BD6" w:rsidP="00E96BD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97529">
        <w:t xml:space="preserve">Further </w:t>
      </w:r>
      <w:r w:rsidR="001551D7" w:rsidRPr="00E17AED">
        <w:t>discussions clarified that splitting code 551 in the CWS would not</w:t>
      </w:r>
      <w:r w:rsidR="001551D7" w:rsidRPr="00C97529">
        <w:rPr>
          <w:spacing w:val="-24"/>
        </w:rPr>
        <w:t xml:space="preserve"> </w:t>
      </w:r>
      <w:r w:rsidR="001551D7" w:rsidRPr="00E17AED">
        <w:t xml:space="preserve">change Madrid application forms or the way that applicants designate the type of mark for protection.  Changes to Madrid forms </w:t>
      </w:r>
      <w:r w:rsidR="00C97529">
        <w:t xml:space="preserve">must </w:t>
      </w:r>
      <w:r w:rsidR="001551D7" w:rsidRPr="00E17AED">
        <w:t>be discussed and approved</w:t>
      </w:r>
      <w:r w:rsidR="001551D7" w:rsidRPr="00C97529">
        <w:rPr>
          <w:spacing w:val="-12"/>
        </w:rPr>
        <w:t xml:space="preserve"> </w:t>
      </w:r>
      <w:r w:rsidR="001551D7" w:rsidRPr="00E17AED">
        <w:t>by</w:t>
      </w:r>
      <w:r w:rsidR="00C97529">
        <w:t xml:space="preserve"> </w:t>
      </w:r>
      <w:r w:rsidR="001551D7" w:rsidRPr="00E17AED">
        <w:t xml:space="preserve">the Working Group on the Legal Development of the Madrid System at WIPO.  Therefore, changes to 551 by CWS would only affect data exchanged between Offices, not data </w:t>
      </w:r>
      <w:r w:rsidR="00C97529">
        <w:t xml:space="preserve">received with </w:t>
      </w:r>
      <w:r w:rsidR="009F3971">
        <w:t xml:space="preserve">international </w:t>
      </w:r>
      <w:r w:rsidR="00C97529">
        <w:t xml:space="preserve">applicant </w:t>
      </w:r>
      <w:r w:rsidR="001551D7" w:rsidRPr="00E17AED">
        <w:t xml:space="preserve">filings.  The </w:t>
      </w:r>
      <w:r w:rsidR="00C97529">
        <w:t xml:space="preserve">situation </w:t>
      </w:r>
      <w:r w:rsidR="001551D7" w:rsidRPr="00E17AED">
        <w:t xml:space="preserve">is currently </w:t>
      </w:r>
      <w:r w:rsidR="00C97529">
        <w:t>being considered by the interested Task Force members, with no recommendation reached at this time</w:t>
      </w:r>
      <w:r w:rsidR="001551D7" w:rsidRPr="00E17AED">
        <w:t>.</w:t>
      </w:r>
      <w:r w:rsidR="00C97529">
        <w:t xml:space="preserve">  The Task Force plans to continue considering the issue and hopes to make a recommendation at the next session of the CWS.</w:t>
      </w:r>
    </w:p>
    <w:p w14:paraId="3E557859" w14:textId="7032986F" w:rsidR="000113FC" w:rsidRPr="000A7007" w:rsidRDefault="00E96BD6" w:rsidP="000A7007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0113FC" w:rsidRPr="000A7007">
        <w:rPr>
          <w:i/>
          <w:szCs w:val="22"/>
        </w:rPr>
        <w:t>Th</w:t>
      </w:r>
      <w:r w:rsidR="000113FC" w:rsidRPr="000A7007">
        <w:rPr>
          <w:i/>
        </w:rPr>
        <w:t xml:space="preserve">e CWS is invited to: </w:t>
      </w:r>
    </w:p>
    <w:p w14:paraId="6FF6BC68" w14:textId="36652ACB" w:rsidR="000113FC" w:rsidRPr="000A7007" w:rsidRDefault="000113FC" w:rsidP="000A7007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0A7007">
        <w:rPr>
          <w:i/>
        </w:rPr>
        <w:tab/>
        <w:t>(a)</w:t>
      </w:r>
      <w:r w:rsidRPr="000A7007">
        <w:rPr>
          <w:i/>
        </w:rPr>
        <w:tab/>
        <w:t xml:space="preserve">note the content of </w:t>
      </w:r>
      <w:r w:rsidR="00772528" w:rsidRPr="000A7007">
        <w:rPr>
          <w:i/>
        </w:rPr>
        <w:t xml:space="preserve">this </w:t>
      </w:r>
      <w:r w:rsidRPr="000A7007">
        <w:rPr>
          <w:i/>
        </w:rPr>
        <w:t xml:space="preserve">document; </w:t>
      </w:r>
      <w:r w:rsidR="00B865D5" w:rsidRPr="000A7007">
        <w:rPr>
          <w:i/>
        </w:rPr>
        <w:t>and</w:t>
      </w:r>
    </w:p>
    <w:p w14:paraId="67A6C5F5" w14:textId="16872807" w:rsidR="000113FC" w:rsidRPr="000A7007" w:rsidRDefault="000113FC" w:rsidP="000A7007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0A7007">
        <w:rPr>
          <w:i/>
        </w:rPr>
        <w:tab/>
        <w:t>(b)</w:t>
      </w:r>
      <w:r w:rsidRPr="000A7007">
        <w:rPr>
          <w:i/>
        </w:rPr>
        <w:tab/>
      </w:r>
      <w:r w:rsidR="00B865D5" w:rsidRPr="000A7007">
        <w:rPr>
          <w:i/>
        </w:rPr>
        <w:t>request the Task Forc</w:t>
      </w:r>
      <w:r w:rsidR="0073251B" w:rsidRPr="000A7007">
        <w:rPr>
          <w:i/>
        </w:rPr>
        <w:t>e to present a recommendation on whether to maintain or split</w:t>
      </w:r>
      <w:r w:rsidR="00B865D5" w:rsidRPr="000A7007">
        <w:rPr>
          <w:i/>
        </w:rPr>
        <w:t xml:space="preserve"> </w:t>
      </w:r>
      <w:r w:rsidR="0073251B" w:rsidRPr="000A7007">
        <w:rPr>
          <w:i/>
        </w:rPr>
        <w:t>INID code 551</w:t>
      </w:r>
      <w:r w:rsidR="00B865D5" w:rsidRPr="000A7007">
        <w:rPr>
          <w:i/>
        </w:rPr>
        <w:t xml:space="preserve"> </w:t>
      </w:r>
      <w:r w:rsidR="0073251B" w:rsidRPr="000A7007">
        <w:rPr>
          <w:i/>
        </w:rPr>
        <w:t>for collective, certification, and guarantee marks</w:t>
      </w:r>
      <w:r w:rsidR="00F6735A" w:rsidRPr="000A7007">
        <w:rPr>
          <w:i/>
        </w:rPr>
        <w:t xml:space="preserve"> in WIPO Standard ST.60 at the next session of the CWS</w:t>
      </w:r>
      <w:r w:rsidR="00E96BD6" w:rsidRPr="000A7007">
        <w:rPr>
          <w:i/>
        </w:rPr>
        <w:t>.</w:t>
      </w:r>
    </w:p>
    <w:p w14:paraId="1B80F0F4" w14:textId="524DBE8D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[End of document]</w:t>
      </w:r>
    </w:p>
    <w:sectPr w:rsidR="002928D3" w:rsidRPr="00084955" w:rsidSect="00AB1326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7993" w14:textId="77777777" w:rsidR="00D84E70" w:rsidRDefault="00D84E70">
      <w:r>
        <w:separator/>
      </w:r>
    </w:p>
  </w:endnote>
  <w:endnote w:type="continuationSeparator" w:id="0">
    <w:p w14:paraId="2FBB7054" w14:textId="77777777" w:rsidR="00D84E70" w:rsidRDefault="00D84E70" w:rsidP="003B38C1">
      <w:r>
        <w:separator/>
      </w:r>
    </w:p>
    <w:p w14:paraId="44D10E5F" w14:textId="77777777" w:rsidR="00D84E70" w:rsidRPr="003B38C1" w:rsidRDefault="00D84E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BCBDD90" w14:textId="77777777" w:rsidR="00D84E70" w:rsidRPr="003B38C1" w:rsidRDefault="00D84E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AD80F" w14:textId="77777777" w:rsidR="00D84E70" w:rsidRDefault="00D84E70">
      <w:r>
        <w:separator/>
      </w:r>
    </w:p>
  </w:footnote>
  <w:footnote w:type="continuationSeparator" w:id="0">
    <w:p w14:paraId="1EE86946" w14:textId="77777777" w:rsidR="00D84E70" w:rsidRDefault="00D84E70" w:rsidP="008B60B2">
      <w:r>
        <w:separator/>
      </w:r>
    </w:p>
    <w:p w14:paraId="551B7719" w14:textId="77777777" w:rsidR="00D84E70" w:rsidRPr="00ED77FB" w:rsidRDefault="00D84E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AA88598" w14:textId="77777777" w:rsidR="00D84E70" w:rsidRPr="00ED77FB" w:rsidRDefault="00D84E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300D7E03" w:rsidR="00AB1326" w:rsidRDefault="00AB1326" w:rsidP="004A333B">
    <w:pPr>
      <w:jc w:val="right"/>
    </w:pPr>
    <w:r>
      <w:t>CWS/8/</w:t>
    </w:r>
    <w:r w:rsidR="004A333B">
      <w:t>20</w:t>
    </w:r>
  </w:p>
  <w:p w14:paraId="41357948" w14:textId="5220F449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50CA8">
      <w:rPr>
        <w:noProof/>
      </w:rPr>
      <w:t>2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7777777" w:rsidR="007D1090" w:rsidRDefault="00AB1326" w:rsidP="00F5552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7D1090">
      <w:t>/1</w:t>
    </w:r>
    <w:r w:rsidR="00BD0A46">
      <w:t xml:space="preserve"> </w:t>
    </w:r>
    <w:r w:rsidR="00C9060F">
      <w:t>Prov</w:t>
    </w:r>
    <w:r w:rsidR="00F55529">
      <w:t>.</w:t>
    </w:r>
  </w:p>
  <w:p w14:paraId="46BF03FC" w14:textId="7FF94981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A7007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33DCC"/>
    <w:rsid w:val="00036AD4"/>
    <w:rsid w:val="00042CCA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7007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51D7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6BF0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08A1"/>
    <w:rsid w:val="002A1D3F"/>
    <w:rsid w:val="002A234C"/>
    <w:rsid w:val="002A40F1"/>
    <w:rsid w:val="002A64AF"/>
    <w:rsid w:val="002A71CC"/>
    <w:rsid w:val="002B20A3"/>
    <w:rsid w:val="002B4031"/>
    <w:rsid w:val="002B6114"/>
    <w:rsid w:val="002C47B5"/>
    <w:rsid w:val="002C5335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094D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4675"/>
    <w:rsid w:val="00387294"/>
    <w:rsid w:val="003935D5"/>
    <w:rsid w:val="00395DA4"/>
    <w:rsid w:val="003A0368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5657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333B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3E44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2454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467"/>
    <w:rsid w:val="00667545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210F3"/>
    <w:rsid w:val="00724DAD"/>
    <w:rsid w:val="00726912"/>
    <w:rsid w:val="00732353"/>
    <w:rsid w:val="0073251B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0AA5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146C1"/>
    <w:rsid w:val="0082049D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4E25"/>
    <w:rsid w:val="008D50DC"/>
    <w:rsid w:val="008D610D"/>
    <w:rsid w:val="008E642B"/>
    <w:rsid w:val="008E7183"/>
    <w:rsid w:val="008F4EBE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35C6"/>
    <w:rsid w:val="009A6DDF"/>
    <w:rsid w:val="009A7F03"/>
    <w:rsid w:val="009B043D"/>
    <w:rsid w:val="009B4D37"/>
    <w:rsid w:val="009C3715"/>
    <w:rsid w:val="009C594D"/>
    <w:rsid w:val="009D4EEC"/>
    <w:rsid w:val="009E2791"/>
    <w:rsid w:val="009E3F6F"/>
    <w:rsid w:val="009F1CE6"/>
    <w:rsid w:val="009F35F0"/>
    <w:rsid w:val="009F3971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099C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175A5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865D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97529"/>
    <w:rsid w:val="00CA0830"/>
    <w:rsid w:val="00CA350A"/>
    <w:rsid w:val="00CA4D92"/>
    <w:rsid w:val="00CA617B"/>
    <w:rsid w:val="00CA6924"/>
    <w:rsid w:val="00CB5890"/>
    <w:rsid w:val="00CE0AF9"/>
    <w:rsid w:val="00CE1D93"/>
    <w:rsid w:val="00CE3AFB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0CA8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4E70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C7493"/>
    <w:rsid w:val="00DE1B1E"/>
    <w:rsid w:val="00E00D5C"/>
    <w:rsid w:val="00E02A47"/>
    <w:rsid w:val="00E056DD"/>
    <w:rsid w:val="00E060B9"/>
    <w:rsid w:val="00E06A75"/>
    <w:rsid w:val="00E06CC2"/>
    <w:rsid w:val="00E16A07"/>
    <w:rsid w:val="00E22110"/>
    <w:rsid w:val="00E24CB1"/>
    <w:rsid w:val="00E279F0"/>
    <w:rsid w:val="00E31545"/>
    <w:rsid w:val="00E335FE"/>
    <w:rsid w:val="00E33EDD"/>
    <w:rsid w:val="00E34F39"/>
    <w:rsid w:val="00E54E03"/>
    <w:rsid w:val="00E71BF7"/>
    <w:rsid w:val="00E741E4"/>
    <w:rsid w:val="00E82611"/>
    <w:rsid w:val="00E83F24"/>
    <w:rsid w:val="00E844C4"/>
    <w:rsid w:val="00E84730"/>
    <w:rsid w:val="00E8660F"/>
    <w:rsid w:val="00E96431"/>
    <w:rsid w:val="00E96BD6"/>
    <w:rsid w:val="00EA76DB"/>
    <w:rsid w:val="00EB1AA2"/>
    <w:rsid w:val="00EB35CC"/>
    <w:rsid w:val="00EB3FCD"/>
    <w:rsid w:val="00EB556E"/>
    <w:rsid w:val="00EC4E49"/>
    <w:rsid w:val="00ED1258"/>
    <w:rsid w:val="00ED4471"/>
    <w:rsid w:val="00ED77FB"/>
    <w:rsid w:val="00EE0676"/>
    <w:rsid w:val="00EE1B1E"/>
    <w:rsid w:val="00EE3155"/>
    <w:rsid w:val="00EE45FA"/>
    <w:rsid w:val="00EE6AEE"/>
    <w:rsid w:val="00EF0F5B"/>
    <w:rsid w:val="00EF46F5"/>
    <w:rsid w:val="00F03DFA"/>
    <w:rsid w:val="00F053C2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55EF6"/>
    <w:rsid w:val="00F61DF9"/>
    <w:rsid w:val="00F66152"/>
    <w:rsid w:val="00F6735A"/>
    <w:rsid w:val="00F756FC"/>
    <w:rsid w:val="00F77809"/>
    <w:rsid w:val="00F871FD"/>
    <w:rsid w:val="00F92AEE"/>
    <w:rsid w:val="00F9637C"/>
    <w:rsid w:val="00F9747D"/>
    <w:rsid w:val="00F9785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uiPriority w:val="99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uiPriority w:val="99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en/doc_details.jsp?doc_id=452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521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DD3D-656A-4251-9341-899CFC2F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567</Words>
  <Characters>3229</Characters>
  <Application>Microsoft Office Word</Application>
  <DocSecurity>0</DocSecurity>
  <Lines>807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CWS/8/20 (in English)</vt:lpstr>
    </vt:vector>
  </TitlesOfParts>
  <Company>WIPO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CWS/8/20 (in English)</dc:title>
  <dc:subject>Report by the Trademark Standardization Task Force</dc:subject>
  <dc:creator>WIPO</dc:creator>
  <cp:keywords>FOR OFFICIAL USE ONLY</cp:keywords>
  <dc:description/>
  <cp:lastModifiedBy>ELLIOTT Edward</cp:lastModifiedBy>
  <cp:revision>4</cp:revision>
  <cp:lastPrinted>2020-10-30T10:27:00Z</cp:lastPrinted>
  <dcterms:created xsi:type="dcterms:W3CDTF">2020-10-30T10:28:00Z</dcterms:created>
  <dcterms:modified xsi:type="dcterms:W3CDTF">2020-10-30T18:15:00Z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27ffb399-06f4-41a5-b838-f696ad8c9a07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