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003A7" w14:textId="5F9EE27A" w:rsidR="00EA137E" w:rsidRDefault="0066417E" w:rsidP="00AA25BE">
      <w:pPr>
        <w:pStyle w:val="Heading1"/>
        <w:rPr>
          <w:caps w:val="0"/>
        </w:rPr>
      </w:pPr>
      <w:bookmarkStart w:id="0" w:name="_GoBack"/>
      <w:bookmarkEnd w:id="0"/>
      <w:r w:rsidRPr="00184C27">
        <w:rPr>
          <w:caps w:val="0"/>
        </w:rPr>
        <w:t xml:space="preserve">40 RECOMMENDATIONS </w:t>
      </w:r>
      <w:r>
        <w:rPr>
          <w:caps w:val="0"/>
        </w:rPr>
        <w:t xml:space="preserve">AND </w:t>
      </w:r>
      <w:r w:rsidRPr="00184C27">
        <w:rPr>
          <w:caps w:val="0"/>
        </w:rPr>
        <w:t xml:space="preserve">CWS ACTIVITIES </w:t>
      </w:r>
    </w:p>
    <w:p w14:paraId="6D6343CD" w14:textId="142CF561" w:rsidR="0005175C" w:rsidRDefault="0005175C" w:rsidP="0005175C"/>
    <w:tbl>
      <w:tblPr>
        <w:tblW w:w="5234" w:type="pct"/>
        <w:tblInd w:w="-289" w:type="dxa"/>
        <w:tblLayout w:type="fixed"/>
        <w:tblLook w:val="04A0" w:firstRow="1" w:lastRow="0" w:firstColumn="1" w:lastColumn="0" w:noHBand="0" w:noVBand="1"/>
      </w:tblPr>
      <w:tblGrid>
        <w:gridCol w:w="4117"/>
        <w:gridCol w:w="1203"/>
        <w:gridCol w:w="1909"/>
        <w:gridCol w:w="2553"/>
      </w:tblGrid>
      <w:tr w:rsidR="0005175C" w:rsidRPr="0005175C" w14:paraId="0257C603" w14:textId="77777777" w:rsidTr="002870FA">
        <w:trPr>
          <w:cantSplit/>
          <w:trHeight w:val="765"/>
          <w:tblHeader/>
        </w:trPr>
        <w:tc>
          <w:tcPr>
            <w:tcW w:w="21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EA507E" w14:textId="77777777" w:rsidR="0005175C" w:rsidRPr="0005175C" w:rsidRDefault="0005175C" w:rsidP="0005175C">
            <w:pPr>
              <w:jc w:val="center"/>
              <w:rPr>
                <w:rFonts w:eastAsia="Times New Roman"/>
                <w:b/>
                <w:bCs/>
                <w:color w:val="000000"/>
                <w:sz w:val="20"/>
                <w:lang w:eastAsia="en-US"/>
              </w:rPr>
            </w:pPr>
            <w:r w:rsidRPr="0005175C">
              <w:rPr>
                <w:rFonts w:eastAsia="Times New Roman"/>
                <w:b/>
                <w:bCs/>
                <w:color w:val="000000"/>
                <w:sz w:val="20"/>
                <w:lang w:eastAsia="en-US"/>
              </w:rPr>
              <w:t>Recommendations</w:t>
            </w:r>
          </w:p>
        </w:tc>
        <w:tc>
          <w:tcPr>
            <w:tcW w:w="615" w:type="pct"/>
            <w:tcBorders>
              <w:top w:val="single" w:sz="4" w:space="0" w:color="auto"/>
              <w:left w:val="nil"/>
              <w:bottom w:val="single" w:sz="4" w:space="0" w:color="auto"/>
              <w:right w:val="single" w:sz="4" w:space="0" w:color="auto"/>
            </w:tcBorders>
            <w:shd w:val="clear" w:color="auto" w:fill="auto"/>
            <w:vAlign w:val="center"/>
            <w:hideMark/>
          </w:tcPr>
          <w:p w14:paraId="681EE2B0" w14:textId="77777777" w:rsidR="0005175C" w:rsidRPr="0005175C" w:rsidRDefault="0005175C" w:rsidP="0005175C">
            <w:pPr>
              <w:jc w:val="center"/>
              <w:rPr>
                <w:rFonts w:eastAsia="Times New Roman"/>
                <w:b/>
                <w:bCs/>
                <w:color w:val="000000"/>
                <w:sz w:val="20"/>
                <w:lang w:eastAsia="en-US"/>
              </w:rPr>
            </w:pPr>
            <w:r w:rsidRPr="0005175C">
              <w:rPr>
                <w:rFonts w:eastAsia="Times New Roman"/>
                <w:b/>
                <w:bCs/>
                <w:color w:val="000000"/>
                <w:sz w:val="20"/>
                <w:lang w:eastAsia="en-US"/>
              </w:rPr>
              <w:t>Category</w:t>
            </w:r>
          </w:p>
        </w:tc>
        <w:tc>
          <w:tcPr>
            <w:tcW w:w="975" w:type="pct"/>
            <w:tcBorders>
              <w:top w:val="single" w:sz="4" w:space="0" w:color="auto"/>
              <w:left w:val="nil"/>
              <w:bottom w:val="single" w:sz="4" w:space="0" w:color="auto"/>
              <w:right w:val="single" w:sz="4" w:space="0" w:color="auto"/>
            </w:tcBorders>
            <w:shd w:val="clear" w:color="auto" w:fill="auto"/>
            <w:vAlign w:val="center"/>
            <w:hideMark/>
          </w:tcPr>
          <w:p w14:paraId="03EB6FF4" w14:textId="77777777" w:rsidR="0005175C" w:rsidRPr="0005175C" w:rsidRDefault="0005175C" w:rsidP="0005175C">
            <w:pPr>
              <w:jc w:val="center"/>
              <w:rPr>
                <w:rFonts w:eastAsia="Times New Roman"/>
                <w:b/>
                <w:bCs/>
                <w:color w:val="000000"/>
                <w:sz w:val="20"/>
                <w:lang w:eastAsia="en-US"/>
              </w:rPr>
            </w:pPr>
            <w:r w:rsidRPr="0005175C">
              <w:rPr>
                <w:rFonts w:eastAsia="Times New Roman"/>
                <w:b/>
                <w:bCs/>
                <w:color w:val="000000"/>
                <w:sz w:val="20"/>
                <w:lang w:eastAsia="en-US"/>
              </w:rPr>
              <w:t>Relevant WIPO Standards and CWS Tasks</w:t>
            </w:r>
          </w:p>
        </w:tc>
        <w:tc>
          <w:tcPr>
            <w:tcW w:w="1304" w:type="pct"/>
            <w:tcBorders>
              <w:top w:val="single" w:sz="4" w:space="0" w:color="auto"/>
              <w:left w:val="nil"/>
              <w:bottom w:val="single" w:sz="4" w:space="0" w:color="auto"/>
              <w:right w:val="single" w:sz="4" w:space="0" w:color="auto"/>
            </w:tcBorders>
            <w:shd w:val="clear" w:color="auto" w:fill="auto"/>
            <w:vAlign w:val="center"/>
            <w:hideMark/>
          </w:tcPr>
          <w:p w14:paraId="7A329A56" w14:textId="77777777" w:rsidR="0005175C" w:rsidRPr="0005175C" w:rsidRDefault="0005175C" w:rsidP="0005175C">
            <w:pPr>
              <w:jc w:val="center"/>
              <w:rPr>
                <w:rFonts w:eastAsia="Times New Roman"/>
                <w:b/>
                <w:bCs/>
                <w:color w:val="000000"/>
                <w:sz w:val="20"/>
                <w:lang w:eastAsia="en-US"/>
              </w:rPr>
            </w:pPr>
            <w:r w:rsidRPr="0005175C">
              <w:rPr>
                <w:rFonts w:eastAsia="Times New Roman"/>
                <w:b/>
                <w:bCs/>
                <w:color w:val="000000"/>
                <w:sz w:val="20"/>
                <w:lang w:eastAsia="en-US"/>
              </w:rPr>
              <w:t>Remark</w:t>
            </w:r>
          </w:p>
        </w:tc>
      </w:tr>
      <w:tr w:rsidR="0005175C" w:rsidRPr="0005175C" w14:paraId="7FF6AE82" w14:textId="77777777" w:rsidTr="002870FA">
        <w:trPr>
          <w:cantSplit/>
          <w:trHeight w:val="1530"/>
        </w:trPr>
        <w:tc>
          <w:tcPr>
            <w:tcW w:w="2102" w:type="pct"/>
            <w:tcBorders>
              <w:top w:val="nil"/>
              <w:left w:val="single" w:sz="4" w:space="0" w:color="auto"/>
              <w:bottom w:val="single" w:sz="4" w:space="0" w:color="auto"/>
              <w:right w:val="single" w:sz="4" w:space="0" w:color="auto"/>
            </w:tcBorders>
            <w:shd w:val="clear" w:color="auto" w:fill="auto"/>
            <w:hideMark/>
          </w:tcPr>
          <w:p w14:paraId="7C5422CC"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 xml:space="preserve">R1. Develop an online data exchange protocol covering key common transactions to generate high quality IP data at the source, based directly from output from IP management systems, with a view to create and exchange IP data with IPOs and the IB in accordance with WIPO Standards.  </w:t>
            </w:r>
          </w:p>
        </w:tc>
        <w:tc>
          <w:tcPr>
            <w:tcW w:w="615" w:type="pct"/>
            <w:tcBorders>
              <w:top w:val="nil"/>
              <w:left w:val="nil"/>
              <w:bottom w:val="single" w:sz="4" w:space="0" w:color="auto"/>
              <w:right w:val="single" w:sz="4" w:space="0" w:color="auto"/>
            </w:tcBorders>
            <w:shd w:val="clear" w:color="auto" w:fill="auto"/>
            <w:hideMark/>
          </w:tcPr>
          <w:p w14:paraId="42C7F7C7"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Group 1</w:t>
            </w:r>
          </w:p>
        </w:tc>
        <w:tc>
          <w:tcPr>
            <w:tcW w:w="975" w:type="pct"/>
            <w:tcBorders>
              <w:top w:val="nil"/>
              <w:left w:val="nil"/>
              <w:bottom w:val="single" w:sz="4" w:space="0" w:color="auto"/>
              <w:right w:val="single" w:sz="4" w:space="0" w:color="auto"/>
            </w:tcBorders>
            <w:shd w:val="clear" w:color="auto" w:fill="auto"/>
            <w:hideMark/>
          </w:tcPr>
          <w:p w14:paraId="0C796E07"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 xml:space="preserve">Task No.41 - ST.96,  </w:t>
            </w:r>
            <w:r w:rsidRPr="0005175C">
              <w:rPr>
                <w:rFonts w:eastAsia="Times New Roman"/>
                <w:color w:val="000000"/>
                <w:sz w:val="20"/>
                <w:lang w:eastAsia="en-US"/>
              </w:rPr>
              <w:br/>
              <w:t>Task No. 56 - API standard</w:t>
            </w:r>
          </w:p>
        </w:tc>
        <w:tc>
          <w:tcPr>
            <w:tcW w:w="1304" w:type="pct"/>
            <w:tcBorders>
              <w:top w:val="nil"/>
              <w:left w:val="nil"/>
              <w:bottom w:val="single" w:sz="4" w:space="0" w:color="auto"/>
              <w:right w:val="single" w:sz="4" w:space="0" w:color="auto"/>
            </w:tcBorders>
            <w:shd w:val="clear" w:color="auto" w:fill="auto"/>
            <w:hideMark/>
          </w:tcPr>
          <w:p w14:paraId="297EC921"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 </w:t>
            </w:r>
          </w:p>
        </w:tc>
      </w:tr>
      <w:tr w:rsidR="0005175C" w:rsidRPr="0005175C" w14:paraId="535B461F" w14:textId="77777777" w:rsidTr="002870FA">
        <w:trPr>
          <w:cantSplit/>
          <w:trHeight w:val="1275"/>
        </w:trPr>
        <w:tc>
          <w:tcPr>
            <w:tcW w:w="2102" w:type="pct"/>
            <w:tcBorders>
              <w:top w:val="nil"/>
              <w:left w:val="single" w:sz="4" w:space="0" w:color="auto"/>
              <w:bottom w:val="single" w:sz="4" w:space="0" w:color="auto"/>
              <w:right w:val="single" w:sz="4" w:space="0" w:color="auto"/>
            </w:tcBorders>
            <w:shd w:val="clear" w:color="auto" w:fill="auto"/>
            <w:hideMark/>
          </w:tcPr>
          <w:p w14:paraId="3591A1EB"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R2. In introducing an online data exchange protocol, implement appropriate policies and consider ICT systems in use by IP applicants and IP agents to facilitate their use of the protocol to submit high quality IP data.</w:t>
            </w:r>
          </w:p>
        </w:tc>
        <w:tc>
          <w:tcPr>
            <w:tcW w:w="615" w:type="pct"/>
            <w:tcBorders>
              <w:top w:val="nil"/>
              <w:left w:val="nil"/>
              <w:bottom w:val="single" w:sz="4" w:space="0" w:color="auto"/>
              <w:right w:val="single" w:sz="4" w:space="0" w:color="auto"/>
            </w:tcBorders>
            <w:shd w:val="clear" w:color="auto" w:fill="auto"/>
            <w:noWrap/>
            <w:hideMark/>
          </w:tcPr>
          <w:p w14:paraId="2EFD9568"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Group 1</w:t>
            </w:r>
          </w:p>
        </w:tc>
        <w:tc>
          <w:tcPr>
            <w:tcW w:w="975" w:type="pct"/>
            <w:tcBorders>
              <w:top w:val="nil"/>
              <w:left w:val="nil"/>
              <w:bottom w:val="single" w:sz="4" w:space="0" w:color="auto"/>
              <w:right w:val="single" w:sz="4" w:space="0" w:color="auto"/>
            </w:tcBorders>
            <w:shd w:val="clear" w:color="auto" w:fill="auto"/>
            <w:hideMark/>
          </w:tcPr>
          <w:p w14:paraId="515972DF"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Task No. 56 - API standard</w:t>
            </w:r>
          </w:p>
        </w:tc>
        <w:tc>
          <w:tcPr>
            <w:tcW w:w="1304" w:type="pct"/>
            <w:tcBorders>
              <w:top w:val="nil"/>
              <w:left w:val="nil"/>
              <w:bottom w:val="single" w:sz="4" w:space="0" w:color="auto"/>
              <w:right w:val="single" w:sz="4" w:space="0" w:color="auto"/>
            </w:tcBorders>
            <w:shd w:val="clear" w:color="auto" w:fill="auto"/>
            <w:hideMark/>
          </w:tcPr>
          <w:p w14:paraId="6F98C8C6"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 </w:t>
            </w:r>
          </w:p>
        </w:tc>
      </w:tr>
      <w:tr w:rsidR="0005175C" w:rsidRPr="0005175C" w14:paraId="65A7C4C2" w14:textId="77777777" w:rsidTr="002870FA">
        <w:trPr>
          <w:cantSplit/>
          <w:trHeight w:val="1020"/>
        </w:trPr>
        <w:tc>
          <w:tcPr>
            <w:tcW w:w="2102" w:type="pct"/>
            <w:tcBorders>
              <w:top w:val="nil"/>
              <w:left w:val="single" w:sz="4" w:space="0" w:color="auto"/>
              <w:bottom w:val="single" w:sz="4" w:space="0" w:color="auto"/>
              <w:right w:val="single" w:sz="4" w:space="0" w:color="auto"/>
            </w:tcBorders>
            <w:shd w:val="clear" w:color="auto" w:fill="auto"/>
            <w:hideMark/>
          </w:tcPr>
          <w:p w14:paraId="6F9DE634"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R3. Back-file capturing of IP data by OCR conversion of image data should be properly undertaken in accordance with good quality control and relevant WIPO Standards.</w:t>
            </w:r>
          </w:p>
        </w:tc>
        <w:tc>
          <w:tcPr>
            <w:tcW w:w="615" w:type="pct"/>
            <w:tcBorders>
              <w:top w:val="nil"/>
              <w:left w:val="nil"/>
              <w:bottom w:val="single" w:sz="4" w:space="0" w:color="auto"/>
              <w:right w:val="single" w:sz="4" w:space="0" w:color="auto"/>
            </w:tcBorders>
            <w:shd w:val="clear" w:color="auto" w:fill="auto"/>
            <w:hideMark/>
          </w:tcPr>
          <w:p w14:paraId="17955C05"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Group 3</w:t>
            </w:r>
          </w:p>
        </w:tc>
        <w:tc>
          <w:tcPr>
            <w:tcW w:w="975" w:type="pct"/>
            <w:tcBorders>
              <w:top w:val="nil"/>
              <w:left w:val="nil"/>
              <w:bottom w:val="single" w:sz="4" w:space="0" w:color="auto"/>
              <w:right w:val="single" w:sz="4" w:space="0" w:color="auto"/>
            </w:tcBorders>
            <w:shd w:val="clear" w:color="auto" w:fill="auto"/>
            <w:hideMark/>
          </w:tcPr>
          <w:p w14:paraId="57F7DA7F"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WIPO ST.22</w:t>
            </w:r>
          </w:p>
        </w:tc>
        <w:tc>
          <w:tcPr>
            <w:tcW w:w="1304" w:type="pct"/>
            <w:tcBorders>
              <w:top w:val="nil"/>
              <w:left w:val="nil"/>
              <w:bottom w:val="single" w:sz="4" w:space="0" w:color="auto"/>
              <w:right w:val="single" w:sz="4" w:space="0" w:color="auto"/>
            </w:tcBorders>
            <w:shd w:val="clear" w:color="auto" w:fill="auto"/>
            <w:hideMark/>
          </w:tcPr>
          <w:p w14:paraId="5A861A32"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 </w:t>
            </w:r>
          </w:p>
        </w:tc>
      </w:tr>
      <w:tr w:rsidR="0005175C" w:rsidRPr="0005175C" w14:paraId="6208D25E" w14:textId="77777777" w:rsidTr="002870FA">
        <w:trPr>
          <w:cantSplit/>
          <w:trHeight w:val="2040"/>
        </w:trPr>
        <w:tc>
          <w:tcPr>
            <w:tcW w:w="2102" w:type="pct"/>
            <w:tcBorders>
              <w:top w:val="nil"/>
              <w:left w:val="single" w:sz="4" w:space="0" w:color="auto"/>
              <w:bottom w:val="single" w:sz="4" w:space="0" w:color="auto"/>
              <w:right w:val="single" w:sz="4" w:space="0" w:color="auto"/>
            </w:tcBorders>
            <w:shd w:val="clear" w:color="auto" w:fill="auto"/>
            <w:hideMark/>
          </w:tcPr>
          <w:p w14:paraId="70342316"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R4. In addition to bibliographic data such as names of applicants, the full text of patent specification should be converted into, or generated at the source, to make patent applications searchable.  Consider common tools or at least closer WIPO Standards for the preparation of XML from word processor formats to ensure consistency.</w:t>
            </w:r>
          </w:p>
        </w:tc>
        <w:tc>
          <w:tcPr>
            <w:tcW w:w="615" w:type="pct"/>
            <w:tcBorders>
              <w:top w:val="nil"/>
              <w:left w:val="nil"/>
              <w:bottom w:val="single" w:sz="4" w:space="0" w:color="auto"/>
              <w:right w:val="single" w:sz="4" w:space="0" w:color="auto"/>
            </w:tcBorders>
            <w:shd w:val="clear" w:color="auto" w:fill="auto"/>
            <w:noWrap/>
            <w:hideMark/>
          </w:tcPr>
          <w:p w14:paraId="1B32F051"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Group 1</w:t>
            </w:r>
          </w:p>
        </w:tc>
        <w:tc>
          <w:tcPr>
            <w:tcW w:w="975" w:type="pct"/>
            <w:tcBorders>
              <w:top w:val="nil"/>
              <w:left w:val="nil"/>
              <w:bottom w:val="single" w:sz="4" w:space="0" w:color="auto"/>
              <w:right w:val="single" w:sz="4" w:space="0" w:color="auto"/>
            </w:tcBorders>
            <w:shd w:val="clear" w:color="auto" w:fill="auto"/>
            <w:hideMark/>
          </w:tcPr>
          <w:p w14:paraId="0C3A0781"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 xml:space="preserve">Task No.44-ST.26, </w:t>
            </w:r>
            <w:r w:rsidRPr="0005175C">
              <w:rPr>
                <w:rFonts w:eastAsia="Times New Roman"/>
                <w:color w:val="000000"/>
                <w:sz w:val="20"/>
                <w:lang w:eastAsia="en-US"/>
              </w:rPr>
              <w:br/>
              <w:t xml:space="preserve">Task No.38-ST.36, </w:t>
            </w:r>
            <w:r w:rsidRPr="0005175C">
              <w:rPr>
                <w:rFonts w:eastAsia="Times New Roman"/>
                <w:color w:val="000000"/>
                <w:sz w:val="20"/>
                <w:lang w:eastAsia="en-US"/>
              </w:rPr>
              <w:br/>
              <w:t xml:space="preserve">Task No.39-ST.66, </w:t>
            </w:r>
            <w:r w:rsidRPr="0005175C">
              <w:rPr>
                <w:rFonts w:eastAsia="Times New Roman"/>
                <w:color w:val="000000"/>
                <w:sz w:val="20"/>
                <w:lang w:eastAsia="en-US"/>
              </w:rPr>
              <w:br/>
              <w:t xml:space="preserve">Task No.42-ST.86, </w:t>
            </w:r>
            <w:r w:rsidRPr="0005175C">
              <w:rPr>
                <w:rFonts w:eastAsia="Times New Roman"/>
                <w:color w:val="000000"/>
                <w:sz w:val="20"/>
                <w:lang w:eastAsia="en-US"/>
              </w:rPr>
              <w:br/>
              <w:t xml:space="preserve">Task No.41-ST.96, </w:t>
            </w:r>
          </w:p>
        </w:tc>
        <w:tc>
          <w:tcPr>
            <w:tcW w:w="1304" w:type="pct"/>
            <w:tcBorders>
              <w:top w:val="nil"/>
              <w:left w:val="nil"/>
              <w:bottom w:val="single" w:sz="4" w:space="0" w:color="auto"/>
              <w:right w:val="single" w:sz="4" w:space="0" w:color="auto"/>
            </w:tcBorders>
            <w:shd w:val="clear" w:color="auto" w:fill="auto"/>
            <w:hideMark/>
          </w:tcPr>
          <w:p w14:paraId="293E9C8F"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 </w:t>
            </w:r>
          </w:p>
        </w:tc>
      </w:tr>
      <w:tr w:rsidR="0005175C" w:rsidRPr="0005175C" w14:paraId="0DD16EBE" w14:textId="77777777" w:rsidTr="002870FA">
        <w:trPr>
          <w:cantSplit/>
          <w:trHeight w:val="1530"/>
        </w:trPr>
        <w:tc>
          <w:tcPr>
            <w:tcW w:w="2102" w:type="pct"/>
            <w:tcBorders>
              <w:top w:val="nil"/>
              <w:left w:val="single" w:sz="4" w:space="0" w:color="auto"/>
              <w:bottom w:val="single" w:sz="4" w:space="0" w:color="auto"/>
              <w:right w:val="single" w:sz="4" w:space="0" w:color="auto"/>
            </w:tcBorders>
            <w:shd w:val="clear" w:color="auto" w:fill="auto"/>
            <w:hideMark/>
          </w:tcPr>
          <w:p w14:paraId="077B57BD"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R5. Image data and complex elements such as image of a device trademark, an industrial design and graphs contained in IP applications should be generated as machine-searchable data in accordance with relevant WIPO Standards (in particular WIPO Standard ST. 96 )</w:t>
            </w:r>
          </w:p>
        </w:tc>
        <w:tc>
          <w:tcPr>
            <w:tcW w:w="615" w:type="pct"/>
            <w:tcBorders>
              <w:top w:val="nil"/>
              <w:left w:val="nil"/>
              <w:bottom w:val="single" w:sz="4" w:space="0" w:color="auto"/>
              <w:right w:val="single" w:sz="4" w:space="0" w:color="auto"/>
            </w:tcBorders>
            <w:shd w:val="clear" w:color="auto" w:fill="auto"/>
            <w:noWrap/>
            <w:hideMark/>
          </w:tcPr>
          <w:p w14:paraId="21E19D3E"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Group 1</w:t>
            </w:r>
          </w:p>
        </w:tc>
        <w:tc>
          <w:tcPr>
            <w:tcW w:w="975" w:type="pct"/>
            <w:tcBorders>
              <w:top w:val="nil"/>
              <w:left w:val="nil"/>
              <w:bottom w:val="single" w:sz="4" w:space="0" w:color="auto"/>
              <w:right w:val="single" w:sz="4" w:space="0" w:color="auto"/>
            </w:tcBorders>
            <w:shd w:val="clear" w:color="auto" w:fill="auto"/>
            <w:hideMark/>
          </w:tcPr>
          <w:p w14:paraId="675A141C" w14:textId="12EB6CB1" w:rsidR="0005175C" w:rsidRPr="0005175C" w:rsidRDefault="0005175C" w:rsidP="007C5B61">
            <w:pPr>
              <w:rPr>
                <w:rFonts w:eastAsia="Times New Roman"/>
                <w:color w:val="000000"/>
                <w:sz w:val="20"/>
                <w:lang w:eastAsia="en-US"/>
              </w:rPr>
            </w:pPr>
            <w:r w:rsidRPr="0005175C">
              <w:rPr>
                <w:rFonts w:eastAsia="Times New Roman"/>
                <w:color w:val="000000"/>
                <w:sz w:val="20"/>
                <w:lang w:eastAsia="en-US"/>
              </w:rPr>
              <w:t xml:space="preserve">Task No.41 - ST.96, </w:t>
            </w:r>
            <w:r w:rsidRPr="0005175C">
              <w:rPr>
                <w:rFonts w:eastAsia="Times New Roman"/>
                <w:color w:val="000000"/>
                <w:sz w:val="20"/>
                <w:lang w:eastAsia="en-US"/>
              </w:rPr>
              <w:br/>
              <w:t>Task No.57 - visual representation of design,</w:t>
            </w:r>
            <w:r w:rsidRPr="0005175C">
              <w:rPr>
                <w:rFonts w:eastAsia="Times New Roman"/>
                <w:color w:val="000000"/>
                <w:sz w:val="20"/>
                <w:lang w:eastAsia="en-US"/>
              </w:rPr>
              <w:br/>
            </w:r>
            <w:r w:rsidR="007C5B61">
              <w:rPr>
                <w:rFonts w:eastAsia="Times New Roman"/>
                <w:color w:val="000000"/>
                <w:sz w:val="20"/>
                <w:lang w:eastAsia="en-US"/>
              </w:rPr>
              <w:t>A</w:t>
            </w:r>
            <w:r w:rsidRPr="0005175C">
              <w:rPr>
                <w:rFonts w:eastAsia="Times New Roman"/>
                <w:color w:val="000000"/>
                <w:sz w:val="20"/>
                <w:lang w:eastAsia="en-US"/>
              </w:rPr>
              <w:t xml:space="preserve"> proposed new Task</w:t>
            </w:r>
            <w:r w:rsidR="007C5B61">
              <w:rPr>
                <w:rFonts w:eastAsia="Times New Roman"/>
                <w:color w:val="000000"/>
                <w:sz w:val="20"/>
                <w:lang w:eastAsia="en-US"/>
              </w:rPr>
              <w:t xml:space="preserve"> (see </w:t>
            </w:r>
            <w:r w:rsidR="007C5B61" w:rsidRPr="0005175C">
              <w:rPr>
                <w:rFonts w:eastAsia="Times New Roman"/>
                <w:color w:val="000000"/>
                <w:sz w:val="20"/>
                <w:lang w:eastAsia="en-US"/>
              </w:rPr>
              <w:t>document CWS/6/22</w:t>
            </w:r>
            <w:r w:rsidR="007C5B61">
              <w:rPr>
                <w:rFonts w:eastAsia="Times New Roman"/>
                <w:color w:val="000000"/>
                <w:sz w:val="20"/>
                <w:lang w:eastAsia="en-US"/>
              </w:rPr>
              <w:t>)</w:t>
            </w:r>
          </w:p>
        </w:tc>
        <w:tc>
          <w:tcPr>
            <w:tcW w:w="1304" w:type="pct"/>
            <w:tcBorders>
              <w:top w:val="nil"/>
              <w:left w:val="nil"/>
              <w:bottom w:val="single" w:sz="4" w:space="0" w:color="auto"/>
              <w:right w:val="single" w:sz="4" w:space="0" w:color="auto"/>
            </w:tcBorders>
            <w:shd w:val="clear" w:color="auto" w:fill="auto"/>
            <w:hideMark/>
          </w:tcPr>
          <w:p w14:paraId="05C2660B" w14:textId="668A5547" w:rsidR="0005175C" w:rsidRPr="0005175C" w:rsidRDefault="0005175C" w:rsidP="0005175C">
            <w:pPr>
              <w:rPr>
                <w:rFonts w:eastAsia="Times New Roman"/>
                <w:color w:val="000000"/>
                <w:sz w:val="20"/>
                <w:lang w:eastAsia="en-US"/>
              </w:rPr>
            </w:pPr>
          </w:p>
        </w:tc>
      </w:tr>
      <w:tr w:rsidR="0005175C" w:rsidRPr="0005175C" w14:paraId="6C32F5F2" w14:textId="77777777" w:rsidTr="002870FA">
        <w:trPr>
          <w:cantSplit/>
          <w:trHeight w:val="1785"/>
        </w:trPr>
        <w:tc>
          <w:tcPr>
            <w:tcW w:w="2102" w:type="pct"/>
            <w:tcBorders>
              <w:top w:val="nil"/>
              <w:left w:val="single" w:sz="4" w:space="0" w:color="auto"/>
              <w:bottom w:val="single" w:sz="4" w:space="0" w:color="auto"/>
              <w:right w:val="single" w:sz="4" w:space="0" w:color="auto"/>
            </w:tcBorders>
            <w:shd w:val="clear" w:color="auto" w:fill="auto"/>
            <w:hideMark/>
          </w:tcPr>
          <w:p w14:paraId="36923216"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R6. Re-engineer and transform the current business models and workflow processes based on paper transactions into modernized and optimized business models and workflow processes based on digital IP data transactions, with collaboration of business, ICT and legal representatives at all stages</w:t>
            </w:r>
          </w:p>
        </w:tc>
        <w:tc>
          <w:tcPr>
            <w:tcW w:w="615" w:type="pct"/>
            <w:tcBorders>
              <w:top w:val="nil"/>
              <w:left w:val="nil"/>
              <w:bottom w:val="single" w:sz="4" w:space="0" w:color="auto"/>
              <w:right w:val="single" w:sz="4" w:space="0" w:color="auto"/>
            </w:tcBorders>
            <w:shd w:val="clear" w:color="auto" w:fill="auto"/>
            <w:hideMark/>
          </w:tcPr>
          <w:p w14:paraId="21983F46"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Group 1</w:t>
            </w:r>
          </w:p>
        </w:tc>
        <w:tc>
          <w:tcPr>
            <w:tcW w:w="975" w:type="pct"/>
            <w:tcBorders>
              <w:top w:val="nil"/>
              <w:left w:val="nil"/>
              <w:bottom w:val="single" w:sz="4" w:space="0" w:color="auto"/>
              <w:right w:val="single" w:sz="4" w:space="0" w:color="auto"/>
            </w:tcBorders>
            <w:shd w:val="clear" w:color="auto" w:fill="auto"/>
            <w:hideMark/>
          </w:tcPr>
          <w:p w14:paraId="68C02CA1" w14:textId="4CB07B7C" w:rsidR="0005175C" w:rsidRPr="0005175C" w:rsidRDefault="007C5B61" w:rsidP="0005175C">
            <w:pPr>
              <w:rPr>
                <w:rFonts w:eastAsia="Times New Roman"/>
                <w:color w:val="000000"/>
                <w:sz w:val="20"/>
                <w:lang w:eastAsia="en-US"/>
              </w:rPr>
            </w:pPr>
            <w:r>
              <w:rPr>
                <w:rFonts w:eastAsia="Times New Roman"/>
                <w:color w:val="000000"/>
                <w:sz w:val="20"/>
                <w:lang w:eastAsia="en-US"/>
              </w:rPr>
              <w:t>A</w:t>
            </w:r>
            <w:r w:rsidRPr="0005175C">
              <w:rPr>
                <w:rFonts w:eastAsia="Times New Roman"/>
                <w:color w:val="000000"/>
                <w:sz w:val="20"/>
                <w:lang w:eastAsia="en-US"/>
              </w:rPr>
              <w:t xml:space="preserve"> proposed new Task</w:t>
            </w:r>
            <w:r>
              <w:rPr>
                <w:rFonts w:eastAsia="Times New Roman"/>
                <w:color w:val="000000"/>
                <w:sz w:val="20"/>
                <w:lang w:eastAsia="en-US"/>
              </w:rPr>
              <w:t xml:space="preserve"> (see document CWS/6/23)</w:t>
            </w:r>
          </w:p>
        </w:tc>
        <w:tc>
          <w:tcPr>
            <w:tcW w:w="1304" w:type="pct"/>
            <w:tcBorders>
              <w:top w:val="nil"/>
              <w:left w:val="nil"/>
              <w:bottom w:val="single" w:sz="4" w:space="0" w:color="auto"/>
              <w:right w:val="single" w:sz="4" w:space="0" w:color="auto"/>
            </w:tcBorders>
            <w:shd w:val="clear" w:color="auto" w:fill="auto"/>
            <w:hideMark/>
          </w:tcPr>
          <w:p w14:paraId="2F7D1247" w14:textId="44498ED8" w:rsidR="0005175C" w:rsidRPr="0005175C" w:rsidRDefault="0005175C" w:rsidP="0005175C">
            <w:pPr>
              <w:rPr>
                <w:rFonts w:eastAsia="Times New Roman"/>
                <w:color w:val="000000"/>
                <w:sz w:val="20"/>
                <w:lang w:eastAsia="en-US"/>
              </w:rPr>
            </w:pPr>
          </w:p>
        </w:tc>
      </w:tr>
      <w:tr w:rsidR="0005175C" w:rsidRPr="0005175C" w14:paraId="0AEA5A5C" w14:textId="77777777" w:rsidTr="002870FA">
        <w:trPr>
          <w:cantSplit/>
          <w:trHeight w:val="1020"/>
        </w:trPr>
        <w:tc>
          <w:tcPr>
            <w:tcW w:w="2102" w:type="pct"/>
            <w:tcBorders>
              <w:top w:val="nil"/>
              <w:left w:val="single" w:sz="4" w:space="0" w:color="auto"/>
              <w:bottom w:val="single" w:sz="4" w:space="0" w:color="auto"/>
              <w:right w:val="single" w:sz="4" w:space="0" w:color="auto"/>
            </w:tcBorders>
            <w:shd w:val="clear" w:color="auto" w:fill="auto"/>
            <w:hideMark/>
          </w:tcPr>
          <w:p w14:paraId="7A12420B"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R7. Explore the possibility of AI-powered automatic classification tools to enhance the use of, and control the quality of, classification symbols allotted to IP applications</w:t>
            </w:r>
          </w:p>
        </w:tc>
        <w:tc>
          <w:tcPr>
            <w:tcW w:w="615" w:type="pct"/>
            <w:tcBorders>
              <w:top w:val="nil"/>
              <w:left w:val="nil"/>
              <w:bottom w:val="single" w:sz="4" w:space="0" w:color="auto"/>
              <w:right w:val="single" w:sz="4" w:space="0" w:color="auto"/>
            </w:tcBorders>
            <w:shd w:val="clear" w:color="auto" w:fill="auto"/>
            <w:noWrap/>
            <w:hideMark/>
          </w:tcPr>
          <w:p w14:paraId="297C8706"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Group 3</w:t>
            </w:r>
          </w:p>
        </w:tc>
        <w:tc>
          <w:tcPr>
            <w:tcW w:w="975" w:type="pct"/>
            <w:tcBorders>
              <w:top w:val="nil"/>
              <w:left w:val="nil"/>
              <w:bottom w:val="single" w:sz="4" w:space="0" w:color="auto"/>
              <w:right w:val="single" w:sz="4" w:space="0" w:color="auto"/>
            </w:tcBorders>
            <w:shd w:val="clear" w:color="auto" w:fill="auto"/>
            <w:hideMark/>
          </w:tcPr>
          <w:p w14:paraId="2954C1BB"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ST.8</w:t>
            </w:r>
          </w:p>
        </w:tc>
        <w:tc>
          <w:tcPr>
            <w:tcW w:w="1304" w:type="pct"/>
            <w:tcBorders>
              <w:top w:val="nil"/>
              <w:left w:val="nil"/>
              <w:bottom w:val="single" w:sz="4" w:space="0" w:color="auto"/>
              <w:right w:val="single" w:sz="4" w:space="0" w:color="auto"/>
            </w:tcBorders>
            <w:shd w:val="clear" w:color="auto" w:fill="auto"/>
            <w:hideMark/>
          </w:tcPr>
          <w:p w14:paraId="3398E087"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 </w:t>
            </w:r>
          </w:p>
        </w:tc>
      </w:tr>
      <w:tr w:rsidR="00BF2417" w:rsidRPr="0005175C" w14:paraId="5C739D5A" w14:textId="77777777" w:rsidTr="002870FA">
        <w:trPr>
          <w:cantSplit/>
          <w:trHeight w:val="1275"/>
        </w:trPr>
        <w:tc>
          <w:tcPr>
            <w:tcW w:w="2102" w:type="pct"/>
            <w:tcBorders>
              <w:top w:val="nil"/>
              <w:left w:val="single" w:sz="4" w:space="0" w:color="auto"/>
              <w:bottom w:val="single" w:sz="4" w:space="0" w:color="auto"/>
              <w:right w:val="single" w:sz="4" w:space="0" w:color="auto"/>
            </w:tcBorders>
            <w:shd w:val="clear" w:color="auto" w:fill="auto"/>
            <w:hideMark/>
          </w:tcPr>
          <w:p w14:paraId="5B99418E"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lastRenderedPageBreak/>
              <w:t>R8. Strengthen international cooperation for internationally coherent practices of using international classifications and for the provision of technical support to make local language versions of international classifications available</w:t>
            </w:r>
          </w:p>
        </w:tc>
        <w:tc>
          <w:tcPr>
            <w:tcW w:w="615" w:type="pct"/>
            <w:tcBorders>
              <w:top w:val="nil"/>
              <w:left w:val="nil"/>
              <w:bottom w:val="single" w:sz="4" w:space="0" w:color="auto"/>
              <w:right w:val="single" w:sz="4" w:space="0" w:color="auto"/>
            </w:tcBorders>
            <w:shd w:val="clear" w:color="auto" w:fill="auto"/>
            <w:hideMark/>
          </w:tcPr>
          <w:p w14:paraId="2174BF07"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Group 3</w:t>
            </w:r>
          </w:p>
        </w:tc>
        <w:tc>
          <w:tcPr>
            <w:tcW w:w="975" w:type="pct"/>
            <w:tcBorders>
              <w:top w:val="nil"/>
              <w:left w:val="nil"/>
              <w:bottom w:val="single" w:sz="4" w:space="0" w:color="auto"/>
              <w:right w:val="single" w:sz="4" w:space="0" w:color="auto"/>
            </w:tcBorders>
            <w:shd w:val="clear" w:color="auto" w:fill="auto"/>
            <w:hideMark/>
          </w:tcPr>
          <w:p w14:paraId="16D12C3D"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ST.8</w:t>
            </w:r>
          </w:p>
        </w:tc>
        <w:tc>
          <w:tcPr>
            <w:tcW w:w="1304" w:type="pct"/>
            <w:tcBorders>
              <w:top w:val="nil"/>
              <w:left w:val="nil"/>
              <w:bottom w:val="single" w:sz="4" w:space="0" w:color="auto"/>
              <w:right w:val="single" w:sz="4" w:space="0" w:color="auto"/>
            </w:tcBorders>
            <w:shd w:val="clear" w:color="auto" w:fill="auto"/>
            <w:hideMark/>
          </w:tcPr>
          <w:p w14:paraId="719AD894" w14:textId="579D81CC" w:rsidR="00BF2417" w:rsidRPr="0005175C" w:rsidRDefault="00BF2417" w:rsidP="00BF2417">
            <w:pPr>
              <w:rPr>
                <w:rFonts w:eastAsia="Times New Roman"/>
                <w:color w:val="000000"/>
                <w:sz w:val="20"/>
                <w:lang w:eastAsia="en-US"/>
              </w:rPr>
            </w:pPr>
          </w:p>
        </w:tc>
      </w:tr>
      <w:tr w:rsidR="00BF2417" w:rsidRPr="0005175C" w14:paraId="22F18D4E" w14:textId="77777777" w:rsidTr="002870FA">
        <w:trPr>
          <w:cantSplit/>
          <w:trHeight w:val="1577"/>
        </w:trPr>
        <w:tc>
          <w:tcPr>
            <w:tcW w:w="2102" w:type="pct"/>
            <w:tcBorders>
              <w:top w:val="nil"/>
              <w:left w:val="single" w:sz="4" w:space="0" w:color="auto"/>
              <w:bottom w:val="single" w:sz="4" w:space="0" w:color="auto"/>
              <w:right w:val="single" w:sz="4" w:space="0" w:color="auto"/>
            </w:tcBorders>
            <w:shd w:val="clear" w:color="auto" w:fill="auto"/>
            <w:hideMark/>
          </w:tcPr>
          <w:p w14:paraId="5A685BA3"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R9. Share information on emerging search technologies, especially image search, classification tools and language tools, and consider ways in which the technology can be shared and made available to smaller IPOs to improve the quality and efficiency of IP information search</w:t>
            </w:r>
          </w:p>
        </w:tc>
        <w:tc>
          <w:tcPr>
            <w:tcW w:w="615" w:type="pct"/>
            <w:tcBorders>
              <w:top w:val="nil"/>
              <w:left w:val="nil"/>
              <w:bottom w:val="single" w:sz="4" w:space="0" w:color="auto"/>
              <w:right w:val="single" w:sz="4" w:space="0" w:color="auto"/>
            </w:tcBorders>
            <w:shd w:val="clear" w:color="auto" w:fill="auto"/>
            <w:noWrap/>
            <w:hideMark/>
          </w:tcPr>
          <w:p w14:paraId="7090632A"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Group 1</w:t>
            </w:r>
          </w:p>
        </w:tc>
        <w:tc>
          <w:tcPr>
            <w:tcW w:w="975" w:type="pct"/>
            <w:tcBorders>
              <w:top w:val="nil"/>
              <w:left w:val="nil"/>
              <w:bottom w:val="single" w:sz="4" w:space="0" w:color="auto"/>
              <w:right w:val="single" w:sz="4" w:space="0" w:color="auto"/>
            </w:tcBorders>
            <w:shd w:val="clear" w:color="auto" w:fill="auto"/>
            <w:hideMark/>
          </w:tcPr>
          <w:p w14:paraId="6E393220"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Task No. 57 - Electronic visual representation of design</w:t>
            </w:r>
          </w:p>
        </w:tc>
        <w:tc>
          <w:tcPr>
            <w:tcW w:w="1304" w:type="pct"/>
            <w:tcBorders>
              <w:top w:val="nil"/>
              <w:left w:val="nil"/>
              <w:bottom w:val="single" w:sz="4" w:space="0" w:color="auto"/>
              <w:right w:val="single" w:sz="4" w:space="0" w:color="auto"/>
            </w:tcBorders>
            <w:shd w:val="clear" w:color="auto" w:fill="auto"/>
            <w:hideMark/>
          </w:tcPr>
          <w:p w14:paraId="2344D6CF"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 </w:t>
            </w:r>
          </w:p>
        </w:tc>
      </w:tr>
      <w:tr w:rsidR="00BF2417" w:rsidRPr="0005175C" w14:paraId="0946CCFD" w14:textId="77777777" w:rsidTr="002870FA">
        <w:trPr>
          <w:cantSplit/>
          <w:trHeight w:val="2040"/>
        </w:trPr>
        <w:tc>
          <w:tcPr>
            <w:tcW w:w="2102" w:type="pct"/>
            <w:tcBorders>
              <w:top w:val="nil"/>
              <w:left w:val="single" w:sz="4" w:space="0" w:color="auto"/>
              <w:bottom w:val="single" w:sz="4" w:space="0" w:color="auto"/>
              <w:right w:val="single" w:sz="4" w:space="0" w:color="auto"/>
            </w:tcBorders>
            <w:shd w:val="clear" w:color="auto" w:fill="auto"/>
            <w:hideMark/>
          </w:tcPr>
          <w:p w14:paraId="27C6B577"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R10. Develop a reference platform for online publication and search, while contributing to the international cooperation under CWS about systems for providing access to publicly available patent information of IPOs participating in the CWS Task No. 52.  The platform would be linked to international and/or regional databases to automate the dissemination of information</w:t>
            </w:r>
          </w:p>
        </w:tc>
        <w:tc>
          <w:tcPr>
            <w:tcW w:w="615" w:type="pct"/>
            <w:tcBorders>
              <w:top w:val="nil"/>
              <w:left w:val="nil"/>
              <w:bottom w:val="single" w:sz="4" w:space="0" w:color="auto"/>
              <w:right w:val="single" w:sz="4" w:space="0" w:color="auto"/>
            </w:tcBorders>
            <w:shd w:val="clear" w:color="auto" w:fill="auto"/>
            <w:hideMark/>
          </w:tcPr>
          <w:p w14:paraId="0D2C5EB1"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Group 1</w:t>
            </w:r>
          </w:p>
        </w:tc>
        <w:tc>
          <w:tcPr>
            <w:tcW w:w="975" w:type="pct"/>
            <w:tcBorders>
              <w:top w:val="nil"/>
              <w:left w:val="nil"/>
              <w:bottom w:val="single" w:sz="4" w:space="0" w:color="auto"/>
              <w:right w:val="single" w:sz="4" w:space="0" w:color="auto"/>
            </w:tcBorders>
            <w:shd w:val="clear" w:color="auto" w:fill="auto"/>
            <w:hideMark/>
          </w:tcPr>
          <w:p w14:paraId="7A395236"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Task No. 52 - Public access to patent information</w:t>
            </w:r>
          </w:p>
        </w:tc>
        <w:tc>
          <w:tcPr>
            <w:tcW w:w="1304" w:type="pct"/>
            <w:tcBorders>
              <w:top w:val="nil"/>
              <w:left w:val="nil"/>
              <w:bottom w:val="single" w:sz="4" w:space="0" w:color="auto"/>
              <w:right w:val="single" w:sz="4" w:space="0" w:color="auto"/>
            </w:tcBorders>
            <w:shd w:val="clear" w:color="auto" w:fill="auto"/>
            <w:hideMark/>
          </w:tcPr>
          <w:p w14:paraId="0413DE60"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The ICTAI meeting noted that CWS is expected to discuss standardization of formats for online publication</w:t>
            </w:r>
          </w:p>
        </w:tc>
      </w:tr>
      <w:tr w:rsidR="00BF2417" w:rsidRPr="0005175C" w14:paraId="7C4ADB71" w14:textId="77777777" w:rsidTr="002870FA">
        <w:trPr>
          <w:cantSplit/>
          <w:trHeight w:val="1275"/>
        </w:trPr>
        <w:tc>
          <w:tcPr>
            <w:tcW w:w="2102" w:type="pct"/>
            <w:tcBorders>
              <w:top w:val="nil"/>
              <w:left w:val="single" w:sz="4" w:space="0" w:color="auto"/>
              <w:bottom w:val="single" w:sz="4" w:space="0" w:color="auto"/>
              <w:right w:val="single" w:sz="4" w:space="0" w:color="auto"/>
            </w:tcBorders>
            <w:shd w:val="clear" w:color="auto" w:fill="auto"/>
            <w:hideMark/>
          </w:tcPr>
          <w:p w14:paraId="7C32BDA7"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R11. IPOs should share information on ICT solutions for records management, in particular on the appropriate use of standard ICT packages and the solutions for guaranteeing authenticity of digital records, signatures, etc</w:t>
            </w:r>
          </w:p>
        </w:tc>
        <w:tc>
          <w:tcPr>
            <w:tcW w:w="615" w:type="pct"/>
            <w:tcBorders>
              <w:top w:val="nil"/>
              <w:left w:val="nil"/>
              <w:bottom w:val="single" w:sz="4" w:space="0" w:color="auto"/>
              <w:right w:val="single" w:sz="4" w:space="0" w:color="auto"/>
            </w:tcBorders>
            <w:shd w:val="clear" w:color="auto" w:fill="auto"/>
            <w:hideMark/>
          </w:tcPr>
          <w:p w14:paraId="41A2B544"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Group 1</w:t>
            </w:r>
          </w:p>
        </w:tc>
        <w:tc>
          <w:tcPr>
            <w:tcW w:w="975" w:type="pct"/>
            <w:tcBorders>
              <w:top w:val="nil"/>
              <w:left w:val="nil"/>
              <w:bottom w:val="single" w:sz="4" w:space="0" w:color="auto"/>
              <w:right w:val="single" w:sz="4" w:space="0" w:color="auto"/>
            </w:tcBorders>
            <w:shd w:val="clear" w:color="auto" w:fill="auto"/>
            <w:hideMark/>
          </w:tcPr>
          <w:p w14:paraId="1A10C673"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Task No.24 ATRs</w:t>
            </w:r>
            <w:r w:rsidRPr="0005175C">
              <w:rPr>
                <w:rFonts w:eastAsia="Times New Roman"/>
                <w:color w:val="000000"/>
                <w:sz w:val="20"/>
                <w:lang w:eastAsia="en-US"/>
              </w:rPr>
              <w:br/>
              <w:t>Task No. 56 - API standard,</w:t>
            </w:r>
          </w:p>
        </w:tc>
        <w:tc>
          <w:tcPr>
            <w:tcW w:w="1304" w:type="pct"/>
            <w:tcBorders>
              <w:top w:val="nil"/>
              <w:left w:val="nil"/>
              <w:bottom w:val="single" w:sz="4" w:space="0" w:color="auto"/>
              <w:right w:val="single" w:sz="4" w:space="0" w:color="auto"/>
            </w:tcBorders>
            <w:shd w:val="clear" w:color="auto" w:fill="auto"/>
            <w:hideMark/>
          </w:tcPr>
          <w:p w14:paraId="1099EDF7"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Blockchain - document CWS/6/4</w:t>
            </w:r>
          </w:p>
        </w:tc>
      </w:tr>
      <w:tr w:rsidR="00BF2417" w:rsidRPr="0005175C" w14:paraId="4476D60A" w14:textId="77777777" w:rsidTr="002870FA">
        <w:trPr>
          <w:cantSplit/>
          <w:trHeight w:val="3254"/>
        </w:trPr>
        <w:tc>
          <w:tcPr>
            <w:tcW w:w="2102" w:type="pct"/>
            <w:tcBorders>
              <w:top w:val="nil"/>
              <w:left w:val="single" w:sz="4" w:space="0" w:color="auto"/>
              <w:bottom w:val="single" w:sz="4" w:space="0" w:color="auto"/>
              <w:right w:val="single" w:sz="4" w:space="0" w:color="auto"/>
            </w:tcBorders>
            <w:shd w:val="clear" w:color="auto" w:fill="auto"/>
            <w:hideMark/>
          </w:tcPr>
          <w:p w14:paraId="5ED17F86"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R12. In cooperation with interested Member States, the IB should develop a prototype for a distributed IP registry.  The prototype could be used for IP applications to create an authentic registry of IP application numbers, for example to be used for validation of priority claims.  Study the possibility of using a distributed IP registry linking to WIPO CASE or the International Register.  The potential of blockchain technologies for linking such distributed registries should also be explored</w:t>
            </w:r>
          </w:p>
        </w:tc>
        <w:tc>
          <w:tcPr>
            <w:tcW w:w="615" w:type="pct"/>
            <w:tcBorders>
              <w:top w:val="nil"/>
              <w:left w:val="nil"/>
              <w:bottom w:val="single" w:sz="4" w:space="0" w:color="auto"/>
              <w:right w:val="single" w:sz="4" w:space="0" w:color="auto"/>
            </w:tcBorders>
            <w:shd w:val="clear" w:color="auto" w:fill="auto"/>
            <w:hideMark/>
          </w:tcPr>
          <w:p w14:paraId="26163317"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Group 1</w:t>
            </w:r>
          </w:p>
        </w:tc>
        <w:tc>
          <w:tcPr>
            <w:tcW w:w="975" w:type="pct"/>
            <w:tcBorders>
              <w:top w:val="nil"/>
              <w:left w:val="nil"/>
              <w:bottom w:val="single" w:sz="4" w:space="0" w:color="auto"/>
              <w:right w:val="single" w:sz="4" w:space="0" w:color="auto"/>
            </w:tcBorders>
            <w:shd w:val="clear" w:color="auto" w:fill="auto"/>
            <w:hideMark/>
          </w:tcPr>
          <w:p w14:paraId="3CB2B30D" w14:textId="663366C0" w:rsidR="00BF2417" w:rsidRPr="0005175C" w:rsidRDefault="007C5B61" w:rsidP="007C5B61">
            <w:pPr>
              <w:rPr>
                <w:rFonts w:eastAsia="Times New Roman"/>
                <w:color w:val="000000"/>
                <w:sz w:val="20"/>
                <w:lang w:eastAsia="en-US"/>
              </w:rPr>
            </w:pPr>
            <w:r>
              <w:rPr>
                <w:rFonts w:eastAsia="Times New Roman"/>
                <w:color w:val="000000"/>
                <w:sz w:val="20"/>
                <w:lang w:eastAsia="en-US"/>
              </w:rPr>
              <w:t>A</w:t>
            </w:r>
            <w:r w:rsidR="00BF2417" w:rsidRPr="0005175C">
              <w:rPr>
                <w:rFonts w:eastAsia="Times New Roman"/>
                <w:color w:val="000000"/>
                <w:sz w:val="20"/>
                <w:lang w:eastAsia="en-US"/>
              </w:rPr>
              <w:t xml:space="preserve"> proposed new Task</w:t>
            </w:r>
            <w:r>
              <w:rPr>
                <w:rFonts w:eastAsia="Times New Roman"/>
                <w:color w:val="000000"/>
                <w:sz w:val="20"/>
                <w:lang w:eastAsia="en-US"/>
              </w:rPr>
              <w:t xml:space="preserve"> (see document CWS/6/4)</w:t>
            </w:r>
          </w:p>
        </w:tc>
        <w:tc>
          <w:tcPr>
            <w:tcW w:w="1304" w:type="pct"/>
            <w:tcBorders>
              <w:top w:val="nil"/>
              <w:left w:val="nil"/>
              <w:bottom w:val="single" w:sz="4" w:space="0" w:color="auto"/>
              <w:right w:val="single" w:sz="4" w:space="0" w:color="auto"/>
            </w:tcBorders>
            <w:shd w:val="clear" w:color="auto" w:fill="auto"/>
            <w:hideMark/>
          </w:tcPr>
          <w:p w14:paraId="2E8BCE51" w14:textId="34ABBF6D" w:rsidR="00BF2417" w:rsidRPr="0005175C" w:rsidRDefault="00BF2417" w:rsidP="007B6DB6">
            <w:pPr>
              <w:rPr>
                <w:rFonts w:eastAsia="Times New Roman"/>
                <w:color w:val="000000"/>
                <w:sz w:val="20"/>
                <w:lang w:eastAsia="en-US"/>
              </w:rPr>
            </w:pPr>
            <w:r w:rsidRPr="0005175C">
              <w:rPr>
                <w:rFonts w:eastAsia="Times New Roman"/>
                <w:color w:val="000000"/>
                <w:sz w:val="20"/>
                <w:lang w:eastAsia="en-US"/>
              </w:rPr>
              <w:t>The ICTAI meeting noted that a proposal may be submitted to CWS to create a task force to study utilization of block chain technologies, while noting remarks made by some delegations that a federated model of registry and deep linking of those registries for search and retrieval may be more a practical short-term solution.</w:t>
            </w:r>
          </w:p>
        </w:tc>
      </w:tr>
      <w:tr w:rsidR="00BF2417" w:rsidRPr="0005175C" w14:paraId="5583267F" w14:textId="77777777" w:rsidTr="002870FA">
        <w:trPr>
          <w:cantSplit/>
          <w:trHeight w:val="1020"/>
        </w:trPr>
        <w:tc>
          <w:tcPr>
            <w:tcW w:w="2102" w:type="pct"/>
            <w:tcBorders>
              <w:top w:val="nil"/>
              <w:left w:val="single" w:sz="4" w:space="0" w:color="auto"/>
              <w:bottom w:val="single" w:sz="4" w:space="0" w:color="auto"/>
              <w:right w:val="single" w:sz="4" w:space="0" w:color="auto"/>
            </w:tcBorders>
            <w:shd w:val="clear" w:color="auto" w:fill="auto"/>
            <w:hideMark/>
          </w:tcPr>
          <w:p w14:paraId="1DFE0498"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R13. IPOs to work towards increasing the degree of exchanging standardized fully XML based data with the IB, considering synchronous models such as ePCT machine to machine services</w:t>
            </w:r>
          </w:p>
        </w:tc>
        <w:tc>
          <w:tcPr>
            <w:tcW w:w="615" w:type="pct"/>
            <w:tcBorders>
              <w:top w:val="nil"/>
              <w:left w:val="nil"/>
              <w:bottom w:val="single" w:sz="4" w:space="0" w:color="auto"/>
              <w:right w:val="single" w:sz="4" w:space="0" w:color="auto"/>
            </w:tcBorders>
            <w:shd w:val="clear" w:color="auto" w:fill="auto"/>
            <w:hideMark/>
          </w:tcPr>
          <w:p w14:paraId="3502EF38"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Group 1</w:t>
            </w:r>
          </w:p>
        </w:tc>
        <w:tc>
          <w:tcPr>
            <w:tcW w:w="975" w:type="pct"/>
            <w:tcBorders>
              <w:top w:val="nil"/>
              <w:left w:val="nil"/>
              <w:bottom w:val="single" w:sz="4" w:space="0" w:color="auto"/>
              <w:right w:val="single" w:sz="4" w:space="0" w:color="auto"/>
            </w:tcBorders>
            <w:shd w:val="clear" w:color="auto" w:fill="auto"/>
            <w:hideMark/>
          </w:tcPr>
          <w:p w14:paraId="4CA0136E"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Tas No.38- ST.36,</w:t>
            </w:r>
            <w:r w:rsidRPr="0005175C">
              <w:rPr>
                <w:rFonts w:eastAsia="Times New Roman"/>
                <w:color w:val="000000"/>
                <w:sz w:val="20"/>
                <w:lang w:eastAsia="en-US"/>
              </w:rPr>
              <w:br/>
              <w:t>Tas No.41- ST.96</w:t>
            </w:r>
          </w:p>
        </w:tc>
        <w:tc>
          <w:tcPr>
            <w:tcW w:w="1304" w:type="pct"/>
            <w:tcBorders>
              <w:top w:val="nil"/>
              <w:left w:val="nil"/>
              <w:bottom w:val="single" w:sz="4" w:space="0" w:color="auto"/>
              <w:right w:val="single" w:sz="4" w:space="0" w:color="auto"/>
            </w:tcBorders>
            <w:shd w:val="clear" w:color="auto" w:fill="auto"/>
            <w:hideMark/>
          </w:tcPr>
          <w:p w14:paraId="341645DE"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 </w:t>
            </w:r>
          </w:p>
        </w:tc>
      </w:tr>
      <w:tr w:rsidR="00BF2417" w:rsidRPr="0005175C" w14:paraId="72B571F4" w14:textId="77777777" w:rsidTr="002870FA">
        <w:trPr>
          <w:cantSplit/>
          <w:trHeight w:val="1275"/>
        </w:trPr>
        <w:tc>
          <w:tcPr>
            <w:tcW w:w="2102" w:type="pct"/>
            <w:tcBorders>
              <w:top w:val="nil"/>
              <w:left w:val="single" w:sz="4" w:space="0" w:color="auto"/>
              <w:bottom w:val="single" w:sz="4" w:space="0" w:color="auto"/>
              <w:right w:val="single" w:sz="4" w:space="0" w:color="auto"/>
            </w:tcBorders>
            <w:shd w:val="clear" w:color="auto" w:fill="auto"/>
            <w:hideMark/>
          </w:tcPr>
          <w:p w14:paraId="2368AF9A"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R14. The IB and IPOs should begin consultations on a standardized model for data exchange for the traditionally bilateral paper exchanges in the PCT, taking into account investments in assuring security requirements are optimized</w:t>
            </w:r>
          </w:p>
        </w:tc>
        <w:tc>
          <w:tcPr>
            <w:tcW w:w="615" w:type="pct"/>
            <w:tcBorders>
              <w:top w:val="nil"/>
              <w:left w:val="nil"/>
              <w:bottom w:val="single" w:sz="4" w:space="0" w:color="auto"/>
              <w:right w:val="single" w:sz="4" w:space="0" w:color="auto"/>
            </w:tcBorders>
            <w:shd w:val="clear" w:color="auto" w:fill="auto"/>
            <w:hideMark/>
          </w:tcPr>
          <w:p w14:paraId="02257C25"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Group 1</w:t>
            </w:r>
          </w:p>
        </w:tc>
        <w:tc>
          <w:tcPr>
            <w:tcW w:w="975" w:type="pct"/>
            <w:tcBorders>
              <w:top w:val="nil"/>
              <w:left w:val="nil"/>
              <w:bottom w:val="single" w:sz="4" w:space="0" w:color="auto"/>
              <w:right w:val="single" w:sz="4" w:space="0" w:color="auto"/>
            </w:tcBorders>
            <w:shd w:val="clear" w:color="auto" w:fill="auto"/>
            <w:hideMark/>
          </w:tcPr>
          <w:p w14:paraId="731838B5"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Task No.56- API standard</w:t>
            </w:r>
          </w:p>
        </w:tc>
        <w:tc>
          <w:tcPr>
            <w:tcW w:w="1304" w:type="pct"/>
            <w:tcBorders>
              <w:top w:val="nil"/>
              <w:left w:val="nil"/>
              <w:bottom w:val="single" w:sz="4" w:space="0" w:color="auto"/>
              <w:right w:val="single" w:sz="4" w:space="0" w:color="auto"/>
            </w:tcBorders>
            <w:shd w:val="clear" w:color="auto" w:fill="auto"/>
            <w:hideMark/>
          </w:tcPr>
          <w:p w14:paraId="03446A7A"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 </w:t>
            </w:r>
          </w:p>
        </w:tc>
      </w:tr>
      <w:tr w:rsidR="00BF2417" w:rsidRPr="0005175C" w14:paraId="6D1E6E19" w14:textId="77777777" w:rsidTr="002870FA">
        <w:trPr>
          <w:cantSplit/>
          <w:trHeight w:val="2805"/>
        </w:trPr>
        <w:tc>
          <w:tcPr>
            <w:tcW w:w="2102" w:type="pct"/>
            <w:tcBorders>
              <w:top w:val="nil"/>
              <w:left w:val="single" w:sz="4" w:space="0" w:color="auto"/>
              <w:bottom w:val="single" w:sz="4" w:space="0" w:color="auto"/>
              <w:right w:val="single" w:sz="4" w:space="0" w:color="auto"/>
            </w:tcBorders>
            <w:shd w:val="clear" w:color="auto" w:fill="auto"/>
            <w:hideMark/>
          </w:tcPr>
          <w:p w14:paraId="35E1A138"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lastRenderedPageBreak/>
              <w:t>R15. IPOs should investigate legal and technical possibilities for identifying patent families prior to publication and ensure permission for IPOs processing family members to access search and examination reports.  This recommendation should be considered in conjunction with R12 regarding the establishment of distributed registries, considering that a limited amount of information (e.g. priority references) could eventually be shared on a distributed registry prior to publication</w:t>
            </w:r>
          </w:p>
        </w:tc>
        <w:tc>
          <w:tcPr>
            <w:tcW w:w="615" w:type="pct"/>
            <w:tcBorders>
              <w:top w:val="nil"/>
              <w:left w:val="nil"/>
              <w:bottom w:val="single" w:sz="4" w:space="0" w:color="auto"/>
              <w:right w:val="single" w:sz="4" w:space="0" w:color="auto"/>
            </w:tcBorders>
            <w:shd w:val="clear" w:color="auto" w:fill="auto"/>
            <w:hideMark/>
          </w:tcPr>
          <w:p w14:paraId="2BF2AA66"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Group 1</w:t>
            </w:r>
          </w:p>
        </w:tc>
        <w:tc>
          <w:tcPr>
            <w:tcW w:w="975" w:type="pct"/>
            <w:tcBorders>
              <w:top w:val="nil"/>
              <w:left w:val="nil"/>
              <w:bottom w:val="single" w:sz="4" w:space="0" w:color="auto"/>
              <w:right w:val="single" w:sz="4" w:space="0" w:color="auto"/>
            </w:tcBorders>
            <w:shd w:val="clear" w:color="auto" w:fill="auto"/>
            <w:hideMark/>
          </w:tcPr>
          <w:p w14:paraId="177FE8B8" w14:textId="364CDE50" w:rsidR="00BF2417" w:rsidRPr="0005175C" w:rsidRDefault="007C5B61" w:rsidP="00BF2417">
            <w:pPr>
              <w:rPr>
                <w:rFonts w:eastAsia="Times New Roman"/>
                <w:color w:val="000000"/>
                <w:sz w:val="20"/>
                <w:lang w:eastAsia="en-US"/>
              </w:rPr>
            </w:pPr>
            <w:r>
              <w:rPr>
                <w:rFonts w:eastAsia="Times New Roman"/>
                <w:color w:val="000000"/>
                <w:sz w:val="20"/>
                <w:lang w:eastAsia="en-US"/>
              </w:rPr>
              <w:t>A</w:t>
            </w:r>
            <w:r w:rsidRPr="0005175C">
              <w:rPr>
                <w:rFonts w:eastAsia="Times New Roman"/>
                <w:color w:val="000000"/>
                <w:sz w:val="20"/>
                <w:lang w:eastAsia="en-US"/>
              </w:rPr>
              <w:t xml:space="preserve"> proposed new Task</w:t>
            </w:r>
            <w:r>
              <w:rPr>
                <w:rFonts w:eastAsia="Times New Roman"/>
                <w:color w:val="000000"/>
                <w:sz w:val="20"/>
                <w:lang w:eastAsia="en-US"/>
              </w:rPr>
              <w:t xml:space="preserve"> (see document CWS/6/4)</w:t>
            </w:r>
          </w:p>
        </w:tc>
        <w:tc>
          <w:tcPr>
            <w:tcW w:w="1304" w:type="pct"/>
            <w:tcBorders>
              <w:top w:val="nil"/>
              <w:left w:val="nil"/>
              <w:bottom w:val="single" w:sz="4" w:space="0" w:color="auto"/>
              <w:right w:val="single" w:sz="4" w:space="0" w:color="auto"/>
            </w:tcBorders>
            <w:shd w:val="clear" w:color="auto" w:fill="auto"/>
            <w:hideMark/>
          </w:tcPr>
          <w:p w14:paraId="210F9045" w14:textId="256A19A5" w:rsidR="00BF2417" w:rsidRPr="0005175C" w:rsidRDefault="00BF2417" w:rsidP="00BF2417">
            <w:pPr>
              <w:rPr>
                <w:rFonts w:eastAsia="Times New Roman"/>
                <w:color w:val="000000"/>
                <w:sz w:val="20"/>
                <w:lang w:eastAsia="en-US"/>
              </w:rPr>
            </w:pPr>
          </w:p>
        </w:tc>
      </w:tr>
      <w:tr w:rsidR="00BF2417" w:rsidRPr="0005175C" w14:paraId="55FC6279" w14:textId="77777777" w:rsidTr="002870FA">
        <w:trPr>
          <w:cantSplit/>
          <w:trHeight w:val="5411"/>
        </w:trPr>
        <w:tc>
          <w:tcPr>
            <w:tcW w:w="2102" w:type="pct"/>
            <w:tcBorders>
              <w:top w:val="nil"/>
              <w:left w:val="single" w:sz="4" w:space="0" w:color="auto"/>
              <w:bottom w:val="single" w:sz="4" w:space="0" w:color="auto"/>
              <w:right w:val="single" w:sz="4" w:space="0" w:color="auto"/>
            </w:tcBorders>
            <w:shd w:val="clear" w:color="auto" w:fill="auto"/>
            <w:hideMark/>
          </w:tcPr>
          <w:p w14:paraId="4372966A"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R16. The application body formats for WIPO Standard ST.36 and ST.96 should be carefully analyzed and recommendations made for more specific, practical forms of implementation than the general standards (which allow for an enormous number of options) which meet all the needs for patent processing and allow reliable two way transformations between the two</w:t>
            </w:r>
          </w:p>
        </w:tc>
        <w:tc>
          <w:tcPr>
            <w:tcW w:w="615" w:type="pct"/>
            <w:tcBorders>
              <w:top w:val="nil"/>
              <w:left w:val="nil"/>
              <w:bottom w:val="single" w:sz="4" w:space="0" w:color="auto"/>
              <w:right w:val="single" w:sz="4" w:space="0" w:color="auto"/>
            </w:tcBorders>
            <w:shd w:val="clear" w:color="auto" w:fill="auto"/>
            <w:hideMark/>
          </w:tcPr>
          <w:p w14:paraId="1E01388D"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Group 1</w:t>
            </w:r>
          </w:p>
        </w:tc>
        <w:tc>
          <w:tcPr>
            <w:tcW w:w="975" w:type="pct"/>
            <w:tcBorders>
              <w:top w:val="nil"/>
              <w:left w:val="nil"/>
              <w:bottom w:val="single" w:sz="4" w:space="0" w:color="auto"/>
              <w:right w:val="single" w:sz="4" w:space="0" w:color="auto"/>
            </w:tcBorders>
            <w:shd w:val="clear" w:color="auto" w:fill="auto"/>
            <w:hideMark/>
          </w:tcPr>
          <w:p w14:paraId="2FE33D1C" w14:textId="045C5215"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Tas</w:t>
            </w:r>
            <w:r w:rsidR="007C5B61">
              <w:rPr>
                <w:rFonts w:eastAsia="Times New Roman"/>
                <w:color w:val="000000"/>
                <w:sz w:val="20"/>
                <w:lang w:eastAsia="en-US"/>
              </w:rPr>
              <w:t>k</w:t>
            </w:r>
            <w:r w:rsidRPr="0005175C">
              <w:rPr>
                <w:rFonts w:eastAsia="Times New Roman"/>
                <w:color w:val="000000"/>
                <w:sz w:val="20"/>
                <w:lang w:eastAsia="en-US"/>
              </w:rPr>
              <w:t xml:space="preserve"> No.38- ST.36,</w:t>
            </w:r>
            <w:r w:rsidRPr="0005175C">
              <w:rPr>
                <w:rFonts w:eastAsia="Times New Roman"/>
                <w:color w:val="000000"/>
                <w:sz w:val="20"/>
                <w:lang w:eastAsia="en-US"/>
              </w:rPr>
              <w:br/>
              <w:t>Tas</w:t>
            </w:r>
            <w:r w:rsidR="007C5B61">
              <w:rPr>
                <w:rFonts w:eastAsia="Times New Roman"/>
                <w:color w:val="000000"/>
                <w:sz w:val="20"/>
                <w:lang w:eastAsia="en-US"/>
              </w:rPr>
              <w:t>k</w:t>
            </w:r>
            <w:r w:rsidRPr="0005175C">
              <w:rPr>
                <w:rFonts w:eastAsia="Times New Roman"/>
                <w:color w:val="000000"/>
                <w:sz w:val="20"/>
                <w:lang w:eastAsia="en-US"/>
              </w:rPr>
              <w:t xml:space="preserve"> No.41- ST.96</w:t>
            </w:r>
          </w:p>
        </w:tc>
        <w:tc>
          <w:tcPr>
            <w:tcW w:w="1304" w:type="pct"/>
            <w:tcBorders>
              <w:top w:val="nil"/>
              <w:left w:val="nil"/>
              <w:bottom w:val="single" w:sz="4" w:space="0" w:color="auto"/>
              <w:right w:val="single" w:sz="4" w:space="0" w:color="auto"/>
            </w:tcBorders>
            <w:shd w:val="clear" w:color="auto" w:fill="auto"/>
            <w:hideMark/>
          </w:tcPr>
          <w:p w14:paraId="3BAC2461"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The ICTAI meeting noted that IPOs are considering migration to WIPO Standard ST.96, noting issues with convertibility and dealing with multiple formats in reality.  The CWS XML4IP Task Force is expected to consider new elements for ST.96, including search and examination reports and possible expansion of the Task Force work to cover the implementation issues including XML validation mechanisms to enhance interoperability between offices (R16 and R17).  Additional legal and operational expertise may be needed for these additional elements.</w:t>
            </w:r>
          </w:p>
        </w:tc>
      </w:tr>
      <w:tr w:rsidR="00BF2417" w:rsidRPr="0005175C" w14:paraId="1D471A41" w14:textId="77777777" w:rsidTr="002870FA">
        <w:trPr>
          <w:cantSplit/>
          <w:trHeight w:val="2040"/>
        </w:trPr>
        <w:tc>
          <w:tcPr>
            <w:tcW w:w="2102" w:type="pct"/>
            <w:tcBorders>
              <w:top w:val="nil"/>
              <w:left w:val="single" w:sz="4" w:space="0" w:color="auto"/>
              <w:bottom w:val="single" w:sz="4" w:space="0" w:color="auto"/>
              <w:right w:val="single" w:sz="4" w:space="0" w:color="auto"/>
            </w:tcBorders>
            <w:shd w:val="clear" w:color="auto" w:fill="auto"/>
            <w:hideMark/>
          </w:tcPr>
          <w:p w14:paraId="4E5A8F80"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R17. The work on development of search and examination report standards for WIPO Standard ST.96 should not simply convert the ST.36 standard to the expectations of ST.96, but analyze whether the structures encourage easy reuse of data between stages of search and examination both with an IPO and between different IPOs.</w:t>
            </w:r>
          </w:p>
        </w:tc>
        <w:tc>
          <w:tcPr>
            <w:tcW w:w="615" w:type="pct"/>
            <w:tcBorders>
              <w:top w:val="nil"/>
              <w:left w:val="nil"/>
              <w:bottom w:val="single" w:sz="4" w:space="0" w:color="auto"/>
              <w:right w:val="single" w:sz="4" w:space="0" w:color="auto"/>
            </w:tcBorders>
            <w:shd w:val="clear" w:color="auto" w:fill="auto"/>
            <w:noWrap/>
            <w:hideMark/>
          </w:tcPr>
          <w:p w14:paraId="03400FA6"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Group 1</w:t>
            </w:r>
          </w:p>
        </w:tc>
        <w:tc>
          <w:tcPr>
            <w:tcW w:w="975" w:type="pct"/>
            <w:tcBorders>
              <w:top w:val="nil"/>
              <w:left w:val="nil"/>
              <w:bottom w:val="single" w:sz="4" w:space="0" w:color="auto"/>
              <w:right w:val="single" w:sz="4" w:space="0" w:color="auto"/>
            </w:tcBorders>
            <w:shd w:val="clear" w:color="auto" w:fill="auto"/>
            <w:hideMark/>
          </w:tcPr>
          <w:p w14:paraId="4BA5073B" w14:textId="106C8908"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Tas</w:t>
            </w:r>
            <w:r w:rsidR="007C5B61">
              <w:rPr>
                <w:rFonts w:eastAsia="Times New Roman"/>
                <w:color w:val="000000"/>
                <w:sz w:val="20"/>
                <w:lang w:eastAsia="en-US"/>
              </w:rPr>
              <w:t>k</w:t>
            </w:r>
            <w:r w:rsidRPr="0005175C">
              <w:rPr>
                <w:rFonts w:eastAsia="Times New Roman"/>
                <w:color w:val="000000"/>
                <w:sz w:val="20"/>
                <w:lang w:eastAsia="en-US"/>
              </w:rPr>
              <w:t xml:space="preserve"> No.38- ST.36,</w:t>
            </w:r>
            <w:r w:rsidRPr="0005175C">
              <w:rPr>
                <w:rFonts w:eastAsia="Times New Roman"/>
                <w:color w:val="000000"/>
                <w:sz w:val="20"/>
                <w:lang w:eastAsia="en-US"/>
              </w:rPr>
              <w:br/>
              <w:t>Tas</w:t>
            </w:r>
            <w:r w:rsidR="007C5B61">
              <w:rPr>
                <w:rFonts w:eastAsia="Times New Roman"/>
                <w:color w:val="000000"/>
                <w:sz w:val="20"/>
                <w:lang w:eastAsia="en-US"/>
              </w:rPr>
              <w:t>k</w:t>
            </w:r>
            <w:r w:rsidRPr="0005175C">
              <w:rPr>
                <w:rFonts w:eastAsia="Times New Roman"/>
                <w:color w:val="000000"/>
                <w:sz w:val="20"/>
                <w:lang w:eastAsia="en-US"/>
              </w:rPr>
              <w:t xml:space="preserve"> No.41- ST.96</w:t>
            </w:r>
          </w:p>
        </w:tc>
        <w:tc>
          <w:tcPr>
            <w:tcW w:w="1304" w:type="pct"/>
            <w:tcBorders>
              <w:top w:val="nil"/>
              <w:left w:val="nil"/>
              <w:bottom w:val="single" w:sz="4" w:space="0" w:color="auto"/>
              <w:right w:val="single" w:sz="4" w:space="0" w:color="auto"/>
            </w:tcBorders>
            <w:shd w:val="clear" w:color="auto" w:fill="auto"/>
            <w:hideMark/>
          </w:tcPr>
          <w:p w14:paraId="1513378F"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 </w:t>
            </w:r>
          </w:p>
        </w:tc>
      </w:tr>
      <w:tr w:rsidR="00BF2417" w:rsidRPr="0005175C" w14:paraId="7C91BDA0" w14:textId="77777777" w:rsidTr="002870FA">
        <w:trPr>
          <w:cantSplit/>
          <w:trHeight w:val="4080"/>
        </w:trPr>
        <w:tc>
          <w:tcPr>
            <w:tcW w:w="2102" w:type="pct"/>
            <w:tcBorders>
              <w:top w:val="nil"/>
              <w:left w:val="single" w:sz="4" w:space="0" w:color="auto"/>
              <w:bottom w:val="single" w:sz="4" w:space="0" w:color="auto"/>
              <w:right w:val="single" w:sz="4" w:space="0" w:color="auto"/>
            </w:tcBorders>
            <w:shd w:val="clear" w:color="auto" w:fill="auto"/>
            <w:hideMark/>
          </w:tcPr>
          <w:p w14:paraId="4BC6F705"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lastRenderedPageBreak/>
              <w:t>R18. Common conversion software should be developed for the validation and conversion of major document types (initially DOCX;  other formats could also be considered) into simplified XML formats.  The software should be carefully version controlled, be suitable for integration into national processing systems both by local deployment and by reference to an API for centralized instances and be capable of producing either WIPO Standard ST.36 or ST.96 output in formats which allow for accurate conversion between the two at a later stage, if required.  Converters for the other direction (ST.36 or ST.96 to DOCX) should be considered at a later stage if it will assist the process of effective amendment/correction of applications.</w:t>
            </w:r>
          </w:p>
        </w:tc>
        <w:tc>
          <w:tcPr>
            <w:tcW w:w="615" w:type="pct"/>
            <w:tcBorders>
              <w:top w:val="nil"/>
              <w:left w:val="nil"/>
              <w:bottom w:val="single" w:sz="4" w:space="0" w:color="auto"/>
              <w:right w:val="single" w:sz="4" w:space="0" w:color="auto"/>
            </w:tcBorders>
            <w:shd w:val="clear" w:color="auto" w:fill="auto"/>
            <w:hideMark/>
          </w:tcPr>
          <w:p w14:paraId="2AFF58A1"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Group 1</w:t>
            </w:r>
          </w:p>
        </w:tc>
        <w:tc>
          <w:tcPr>
            <w:tcW w:w="975" w:type="pct"/>
            <w:tcBorders>
              <w:top w:val="nil"/>
              <w:left w:val="nil"/>
              <w:bottom w:val="single" w:sz="4" w:space="0" w:color="auto"/>
              <w:right w:val="single" w:sz="4" w:space="0" w:color="auto"/>
            </w:tcBorders>
            <w:shd w:val="clear" w:color="auto" w:fill="auto"/>
            <w:hideMark/>
          </w:tcPr>
          <w:p w14:paraId="20F7DBDA" w14:textId="55AEAD0F"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Tas</w:t>
            </w:r>
            <w:r w:rsidR="007C5B61">
              <w:rPr>
                <w:rFonts w:eastAsia="Times New Roman"/>
                <w:color w:val="000000"/>
                <w:sz w:val="20"/>
                <w:lang w:eastAsia="en-US"/>
              </w:rPr>
              <w:t>k</w:t>
            </w:r>
            <w:r w:rsidRPr="0005175C">
              <w:rPr>
                <w:rFonts w:eastAsia="Times New Roman"/>
                <w:color w:val="000000"/>
                <w:sz w:val="20"/>
                <w:lang w:eastAsia="en-US"/>
              </w:rPr>
              <w:t xml:space="preserve"> No.38- ST.36,</w:t>
            </w:r>
            <w:r w:rsidRPr="0005175C">
              <w:rPr>
                <w:rFonts w:eastAsia="Times New Roman"/>
                <w:color w:val="000000"/>
                <w:sz w:val="20"/>
                <w:lang w:eastAsia="en-US"/>
              </w:rPr>
              <w:br/>
              <w:t>Tas</w:t>
            </w:r>
            <w:r w:rsidR="007C5B61">
              <w:rPr>
                <w:rFonts w:eastAsia="Times New Roman"/>
                <w:color w:val="000000"/>
                <w:sz w:val="20"/>
                <w:lang w:eastAsia="en-US"/>
              </w:rPr>
              <w:t>k</w:t>
            </w:r>
            <w:r w:rsidRPr="0005175C">
              <w:rPr>
                <w:rFonts w:eastAsia="Times New Roman"/>
                <w:color w:val="000000"/>
                <w:sz w:val="20"/>
                <w:lang w:eastAsia="en-US"/>
              </w:rPr>
              <w:t xml:space="preserve"> No.41- ST.96</w:t>
            </w:r>
          </w:p>
        </w:tc>
        <w:tc>
          <w:tcPr>
            <w:tcW w:w="1304" w:type="pct"/>
            <w:tcBorders>
              <w:top w:val="nil"/>
              <w:left w:val="nil"/>
              <w:bottom w:val="single" w:sz="4" w:space="0" w:color="auto"/>
              <w:right w:val="single" w:sz="4" w:space="0" w:color="auto"/>
            </w:tcBorders>
            <w:shd w:val="clear" w:color="auto" w:fill="auto"/>
            <w:hideMark/>
          </w:tcPr>
          <w:p w14:paraId="5FB9F8FC"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 </w:t>
            </w:r>
          </w:p>
        </w:tc>
      </w:tr>
      <w:tr w:rsidR="00BF2417" w:rsidRPr="0005175C" w14:paraId="27F6BF42" w14:textId="77777777" w:rsidTr="002870FA">
        <w:trPr>
          <w:cantSplit/>
          <w:trHeight w:val="2550"/>
        </w:trPr>
        <w:tc>
          <w:tcPr>
            <w:tcW w:w="2102" w:type="pct"/>
            <w:tcBorders>
              <w:top w:val="nil"/>
              <w:left w:val="single" w:sz="4" w:space="0" w:color="auto"/>
              <w:bottom w:val="single" w:sz="4" w:space="0" w:color="auto"/>
              <w:right w:val="single" w:sz="4" w:space="0" w:color="auto"/>
            </w:tcBorders>
            <w:shd w:val="clear" w:color="auto" w:fill="auto"/>
            <w:hideMark/>
          </w:tcPr>
          <w:p w14:paraId="7E249A68"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R19. IPOs and the IB should agree PLT-compatible bibliographic/description data packages for use in their online filing systems, together with a common method of coding Office-specific sections, allowing more effective reuse of bibliographic/description data from previously filed applications and development of third party IP management systems to deliver bibliographic/description data without the need for conversion or retyping.</w:t>
            </w:r>
          </w:p>
        </w:tc>
        <w:tc>
          <w:tcPr>
            <w:tcW w:w="615" w:type="pct"/>
            <w:tcBorders>
              <w:top w:val="nil"/>
              <w:left w:val="nil"/>
              <w:bottom w:val="single" w:sz="4" w:space="0" w:color="auto"/>
              <w:right w:val="single" w:sz="4" w:space="0" w:color="auto"/>
            </w:tcBorders>
            <w:shd w:val="clear" w:color="auto" w:fill="auto"/>
            <w:hideMark/>
          </w:tcPr>
          <w:p w14:paraId="5D448E93"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Group 1</w:t>
            </w:r>
          </w:p>
        </w:tc>
        <w:tc>
          <w:tcPr>
            <w:tcW w:w="975" w:type="pct"/>
            <w:tcBorders>
              <w:top w:val="nil"/>
              <w:left w:val="nil"/>
              <w:bottom w:val="single" w:sz="4" w:space="0" w:color="auto"/>
              <w:right w:val="single" w:sz="4" w:space="0" w:color="auto"/>
            </w:tcBorders>
            <w:shd w:val="clear" w:color="auto" w:fill="auto"/>
            <w:hideMark/>
          </w:tcPr>
          <w:p w14:paraId="2A1E94EA" w14:textId="4F692FF3"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Tas</w:t>
            </w:r>
            <w:r w:rsidR="007C5B61">
              <w:rPr>
                <w:rFonts w:eastAsia="Times New Roman"/>
                <w:color w:val="000000"/>
                <w:sz w:val="20"/>
                <w:lang w:eastAsia="en-US"/>
              </w:rPr>
              <w:t>k</w:t>
            </w:r>
            <w:r w:rsidRPr="0005175C">
              <w:rPr>
                <w:rFonts w:eastAsia="Times New Roman"/>
                <w:color w:val="000000"/>
                <w:sz w:val="20"/>
                <w:lang w:eastAsia="en-US"/>
              </w:rPr>
              <w:t xml:space="preserve"> No.41- ST.96</w:t>
            </w:r>
          </w:p>
        </w:tc>
        <w:tc>
          <w:tcPr>
            <w:tcW w:w="1304" w:type="pct"/>
            <w:tcBorders>
              <w:top w:val="nil"/>
              <w:left w:val="nil"/>
              <w:bottom w:val="single" w:sz="4" w:space="0" w:color="auto"/>
              <w:right w:val="single" w:sz="4" w:space="0" w:color="auto"/>
            </w:tcBorders>
            <w:shd w:val="clear" w:color="auto" w:fill="auto"/>
            <w:hideMark/>
          </w:tcPr>
          <w:p w14:paraId="7243A3FB"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 xml:space="preserve">ST.96 version 3.0 covers most of data components which can be used in model international forms under the PLT (http://www.wipo.int/plt-forum/en/#mif) </w:t>
            </w:r>
          </w:p>
        </w:tc>
      </w:tr>
      <w:tr w:rsidR="00BF2417" w:rsidRPr="0005175C" w14:paraId="651C6C8F" w14:textId="77777777" w:rsidTr="002870FA">
        <w:trPr>
          <w:cantSplit/>
          <w:trHeight w:val="2040"/>
        </w:trPr>
        <w:tc>
          <w:tcPr>
            <w:tcW w:w="2102" w:type="pct"/>
            <w:tcBorders>
              <w:top w:val="nil"/>
              <w:left w:val="single" w:sz="4" w:space="0" w:color="auto"/>
              <w:bottom w:val="single" w:sz="4" w:space="0" w:color="auto"/>
              <w:right w:val="single" w:sz="4" w:space="0" w:color="auto"/>
            </w:tcBorders>
            <w:shd w:val="clear" w:color="auto" w:fill="auto"/>
            <w:hideMark/>
          </w:tcPr>
          <w:p w14:paraId="4014102F"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R20. IPOs and the IB should agree formats for packages (for PCT, this could be based on the existing PCT Annex F packages), which can be readily prepared by third party software (also including export of a filed application from another IPO) and pushed to Office servers to prepopulate most of a draft application prior to completion in an online filing system.</w:t>
            </w:r>
          </w:p>
        </w:tc>
        <w:tc>
          <w:tcPr>
            <w:tcW w:w="615" w:type="pct"/>
            <w:tcBorders>
              <w:top w:val="nil"/>
              <w:left w:val="nil"/>
              <w:bottom w:val="single" w:sz="4" w:space="0" w:color="auto"/>
              <w:right w:val="single" w:sz="4" w:space="0" w:color="auto"/>
            </w:tcBorders>
            <w:shd w:val="clear" w:color="auto" w:fill="auto"/>
            <w:noWrap/>
            <w:hideMark/>
          </w:tcPr>
          <w:p w14:paraId="5CBDA04E"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Group 2</w:t>
            </w:r>
          </w:p>
        </w:tc>
        <w:tc>
          <w:tcPr>
            <w:tcW w:w="975" w:type="pct"/>
            <w:tcBorders>
              <w:top w:val="nil"/>
              <w:left w:val="nil"/>
              <w:bottom w:val="single" w:sz="4" w:space="0" w:color="auto"/>
              <w:right w:val="single" w:sz="4" w:space="0" w:color="auto"/>
            </w:tcBorders>
            <w:shd w:val="clear" w:color="auto" w:fill="auto"/>
            <w:hideMark/>
          </w:tcPr>
          <w:p w14:paraId="71BBCA3E"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 </w:t>
            </w:r>
          </w:p>
        </w:tc>
        <w:tc>
          <w:tcPr>
            <w:tcW w:w="1304" w:type="pct"/>
            <w:tcBorders>
              <w:top w:val="nil"/>
              <w:left w:val="nil"/>
              <w:bottom w:val="single" w:sz="4" w:space="0" w:color="auto"/>
              <w:right w:val="single" w:sz="4" w:space="0" w:color="auto"/>
            </w:tcBorders>
            <w:shd w:val="clear" w:color="auto" w:fill="auto"/>
            <w:hideMark/>
          </w:tcPr>
          <w:p w14:paraId="4C4A9AAB"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 </w:t>
            </w:r>
          </w:p>
        </w:tc>
      </w:tr>
      <w:tr w:rsidR="00BF2417" w:rsidRPr="0005175C" w14:paraId="725AB27F" w14:textId="77777777" w:rsidTr="002870FA">
        <w:trPr>
          <w:cantSplit/>
          <w:trHeight w:val="1530"/>
        </w:trPr>
        <w:tc>
          <w:tcPr>
            <w:tcW w:w="2102" w:type="pct"/>
            <w:tcBorders>
              <w:top w:val="nil"/>
              <w:left w:val="single" w:sz="4" w:space="0" w:color="auto"/>
              <w:bottom w:val="single" w:sz="4" w:space="0" w:color="auto"/>
              <w:right w:val="single" w:sz="4" w:space="0" w:color="auto"/>
            </w:tcBorders>
            <w:shd w:val="clear" w:color="auto" w:fill="auto"/>
            <w:hideMark/>
          </w:tcPr>
          <w:p w14:paraId="0E7D8D02"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R21. IPOs should participate in WIPO projects to use global common tools and platforms to which ICT systems of IPOs should be connected, such as WIPO CASE, WIPO global portal of IP registries, and provide IP data in accordance with relevant WIPO Standards</w:t>
            </w:r>
          </w:p>
        </w:tc>
        <w:tc>
          <w:tcPr>
            <w:tcW w:w="615" w:type="pct"/>
            <w:tcBorders>
              <w:top w:val="nil"/>
              <w:left w:val="nil"/>
              <w:bottom w:val="single" w:sz="4" w:space="0" w:color="auto"/>
              <w:right w:val="single" w:sz="4" w:space="0" w:color="auto"/>
            </w:tcBorders>
            <w:shd w:val="clear" w:color="auto" w:fill="auto"/>
            <w:hideMark/>
          </w:tcPr>
          <w:p w14:paraId="01973E27"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Group 1</w:t>
            </w:r>
          </w:p>
        </w:tc>
        <w:tc>
          <w:tcPr>
            <w:tcW w:w="975" w:type="pct"/>
            <w:tcBorders>
              <w:top w:val="nil"/>
              <w:left w:val="nil"/>
              <w:bottom w:val="single" w:sz="4" w:space="0" w:color="auto"/>
              <w:right w:val="single" w:sz="4" w:space="0" w:color="auto"/>
            </w:tcBorders>
            <w:shd w:val="clear" w:color="auto" w:fill="auto"/>
            <w:hideMark/>
          </w:tcPr>
          <w:p w14:paraId="22380907"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Various WIPO Standards, and Task No.44-ST.26 Software Tool</w:t>
            </w:r>
          </w:p>
        </w:tc>
        <w:tc>
          <w:tcPr>
            <w:tcW w:w="1304" w:type="pct"/>
            <w:tcBorders>
              <w:top w:val="nil"/>
              <w:left w:val="nil"/>
              <w:bottom w:val="single" w:sz="4" w:space="0" w:color="auto"/>
              <w:right w:val="single" w:sz="4" w:space="0" w:color="auto"/>
            </w:tcBorders>
            <w:shd w:val="clear" w:color="auto" w:fill="auto"/>
            <w:hideMark/>
          </w:tcPr>
          <w:p w14:paraId="5ABF277C"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 </w:t>
            </w:r>
          </w:p>
        </w:tc>
      </w:tr>
      <w:tr w:rsidR="002870FA" w:rsidRPr="0005175C" w14:paraId="63718F3D" w14:textId="77777777" w:rsidTr="002870FA">
        <w:trPr>
          <w:cantSplit/>
          <w:trHeight w:val="3570"/>
        </w:trPr>
        <w:tc>
          <w:tcPr>
            <w:tcW w:w="2102" w:type="pct"/>
            <w:tcBorders>
              <w:top w:val="nil"/>
              <w:left w:val="single" w:sz="4" w:space="0" w:color="auto"/>
              <w:bottom w:val="single" w:sz="4" w:space="0" w:color="auto"/>
              <w:right w:val="single" w:sz="4" w:space="0" w:color="auto"/>
            </w:tcBorders>
            <w:shd w:val="clear" w:color="auto" w:fill="auto"/>
            <w:hideMark/>
          </w:tcPr>
          <w:p w14:paraId="1C7EB09E"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lastRenderedPageBreak/>
              <w:t>R22. IPOs need to share and disseminate patent information and data without any barriers and free-of-charge or at a marginal cost</w:t>
            </w:r>
          </w:p>
        </w:tc>
        <w:tc>
          <w:tcPr>
            <w:tcW w:w="615" w:type="pct"/>
            <w:tcBorders>
              <w:top w:val="nil"/>
              <w:left w:val="nil"/>
              <w:bottom w:val="single" w:sz="4" w:space="0" w:color="auto"/>
              <w:right w:val="single" w:sz="4" w:space="0" w:color="auto"/>
            </w:tcBorders>
            <w:shd w:val="clear" w:color="auto" w:fill="auto"/>
            <w:hideMark/>
          </w:tcPr>
          <w:p w14:paraId="434A6840"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Group 1</w:t>
            </w:r>
          </w:p>
        </w:tc>
        <w:tc>
          <w:tcPr>
            <w:tcW w:w="975" w:type="pct"/>
            <w:tcBorders>
              <w:top w:val="nil"/>
              <w:left w:val="nil"/>
              <w:bottom w:val="single" w:sz="4" w:space="0" w:color="auto"/>
              <w:right w:val="single" w:sz="4" w:space="0" w:color="auto"/>
            </w:tcBorders>
            <w:shd w:val="clear" w:color="auto" w:fill="auto"/>
            <w:hideMark/>
          </w:tcPr>
          <w:p w14:paraId="188E4AB3"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Task No. 52 - Public access to patent information</w:t>
            </w:r>
          </w:p>
        </w:tc>
        <w:tc>
          <w:tcPr>
            <w:tcW w:w="1304" w:type="pct"/>
            <w:tcBorders>
              <w:top w:val="nil"/>
              <w:left w:val="nil"/>
              <w:bottom w:val="single" w:sz="4" w:space="0" w:color="auto"/>
              <w:right w:val="single" w:sz="4" w:space="0" w:color="auto"/>
            </w:tcBorders>
            <w:shd w:val="clear" w:color="000000" w:fill="FFFFFF"/>
            <w:hideMark/>
          </w:tcPr>
          <w:p w14:paraId="25D47AA3"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The ICTAI meeting noted that there is no global policy on barrier-free exchange of patent information, although many delegations already have such a policy and would like to see it more widely implemented.  Such a policy should specify the scope of patent information (bibliographic data, full-text data, citation and classification data, and work products of offices)</w:t>
            </w:r>
          </w:p>
        </w:tc>
      </w:tr>
      <w:tr w:rsidR="002870FA" w:rsidRPr="0005175C" w14:paraId="631CB238" w14:textId="77777777" w:rsidTr="002870FA">
        <w:trPr>
          <w:cantSplit/>
          <w:trHeight w:val="2040"/>
        </w:trPr>
        <w:tc>
          <w:tcPr>
            <w:tcW w:w="2102" w:type="pct"/>
            <w:tcBorders>
              <w:top w:val="nil"/>
              <w:left w:val="single" w:sz="4" w:space="0" w:color="auto"/>
              <w:bottom w:val="single" w:sz="4" w:space="0" w:color="auto"/>
              <w:right w:val="single" w:sz="4" w:space="0" w:color="auto"/>
            </w:tcBorders>
            <w:shd w:val="clear" w:color="auto" w:fill="auto"/>
            <w:hideMark/>
          </w:tcPr>
          <w:p w14:paraId="1690F0B4"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R23. IPOs are encouraged to provide their authority file or the link to their website of authority file to the IB</w:t>
            </w:r>
          </w:p>
        </w:tc>
        <w:tc>
          <w:tcPr>
            <w:tcW w:w="615" w:type="pct"/>
            <w:tcBorders>
              <w:top w:val="nil"/>
              <w:left w:val="nil"/>
              <w:bottom w:val="single" w:sz="4" w:space="0" w:color="auto"/>
              <w:right w:val="single" w:sz="4" w:space="0" w:color="auto"/>
            </w:tcBorders>
            <w:shd w:val="clear" w:color="auto" w:fill="auto"/>
            <w:hideMark/>
          </w:tcPr>
          <w:p w14:paraId="516EDF30"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Group 1</w:t>
            </w:r>
          </w:p>
        </w:tc>
        <w:tc>
          <w:tcPr>
            <w:tcW w:w="975" w:type="pct"/>
            <w:tcBorders>
              <w:top w:val="nil"/>
              <w:left w:val="nil"/>
              <w:bottom w:val="single" w:sz="4" w:space="0" w:color="auto"/>
              <w:right w:val="single" w:sz="4" w:space="0" w:color="auto"/>
            </w:tcBorders>
            <w:shd w:val="clear" w:color="auto" w:fill="auto"/>
            <w:hideMark/>
          </w:tcPr>
          <w:p w14:paraId="25751E50"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Task No.51 - ST.37</w:t>
            </w:r>
          </w:p>
        </w:tc>
        <w:tc>
          <w:tcPr>
            <w:tcW w:w="1304" w:type="pct"/>
            <w:tcBorders>
              <w:top w:val="nil"/>
              <w:left w:val="nil"/>
              <w:bottom w:val="single" w:sz="4" w:space="0" w:color="auto"/>
              <w:right w:val="single" w:sz="4" w:space="0" w:color="auto"/>
            </w:tcBorders>
            <w:shd w:val="clear" w:color="auto" w:fill="auto"/>
            <w:hideMark/>
          </w:tcPr>
          <w:p w14:paraId="1918AFCB"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 xml:space="preserve">The ICTAI meeting noted that authority files are already made available by some offices and have been standardized in WIPO standard ST.37.  Other offices are encouraged to implement the standard. </w:t>
            </w:r>
          </w:p>
        </w:tc>
      </w:tr>
      <w:tr w:rsidR="002870FA" w:rsidRPr="0005175C" w14:paraId="4D8CCFC6" w14:textId="77777777" w:rsidTr="002870FA">
        <w:trPr>
          <w:cantSplit/>
          <w:trHeight w:val="1020"/>
        </w:trPr>
        <w:tc>
          <w:tcPr>
            <w:tcW w:w="2102" w:type="pct"/>
            <w:tcBorders>
              <w:top w:val="nil"/>
              <w:left w:val="single" w:sz="4" w:space="0" w:color="auto"/>
              <w:bottom w:val="single" w:sz="4" w:space="0" w:color="auto"/>
              <w:right w:val="single" w:sz="4" w:space="0" w:color="auto"/>
            </w:tcBorders>
            <w:shd w:val="clear" w:color="auto" w:fill="auto"/>
            <w:hideMark/>
          </w:tcPr>
          <w:p w14:paraId="5EEE0661"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R24. Explore the possibility of an international Fund-in-Trust voluntarily contributed by IPOs to enhance international cooperation for digitizing IP data as a global public good</w:t>
            </w:r>
          </w:p>
        </w:tc>
        <w:tc>
          <w:tcPr>
            <w:tcW w:w="615" w:type="pct"/>
            <w:tcBorders>
              <w:top w:val="nil"/>
              <w:left w:val="nil"/>
              <w:bottom w:val="single" w:sz="4" w:space="0" w:color="auto"/>
              <w:right w:val="single" w:sz="4" w:space="0" w:color="auto"/>
            </w:tcBorders>
            <w:shd w:val="clear" w:color="auto" w:fill="auto"/>
            <w:hideMark/>
          </w:tcPr>
          <w:p w14:paraId="6C7790A0"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Group 3</w:t>
            </w:r>
          </w:p>
        </w:tc>
        <w:tc>
          <w:tcPr>
            <w:tcW w:w="975" w:type="pct"/>
            <w:tcBorders>
              <w:top w:val="nil"/>
              <w:left w:val="nil"/>
              <w:bottom w:val="single" w:sz="4" w:space="0" w:color="auto"/>
              <w:right w:val="single" w:sz="4" w:space="0" w:color="auto"/>
            </w:tcBorders>
            <w:shd w:val="clear" w:color="auto" w:fill="auto"/>
            <w:hideMark/>
          </w:tcPr>
          <w:p w14:paraId="41F43EB7"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 </w:t>
            </w:r>
          </w:p>
        </w:tc>
        <w:tc>
          <w:tcPr>
            <w:tcW w:w="1304" w:type="pct"/>
            <w:tcBorders>
              <w:top w:val="nil"/>
              <w:left w:val="nil"/>
              <w:bottom w:val="single" w:sz="4" w:space="0" w:color="auto"/>
              <w:right w:val="single" w:sz="4" w:space="0" w:color="auto"/>
            </w:tcBorders>
            <w:shd w:val="clear" w:color="auto" w:fill="auto"/>
            <w:hideMark/>
          </w:tcPr>
          <w:p w14:paraId="5216BE3B"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 </w:t>
            </w:r>
          </w:p>
        </w:tc>
      </w:tr>
      <w:tr w:rsidR="002870FA" w:rsidRPr="0005175C" w14:paraId="516C7F37" w14:textId="77777777" w:rsidTr="002870FA">
        <w:trPr>
          <w:cantSplit/>
          <w:trHeight w:val="765"/>
        </w:trPr>
        <w:tc>
          <w:tcPr>
            <w:tcW w:w="2102" w:type="pct"/>
            <w:tcBorders>
              <w:top w:val="nil"/>
              <w:left w:val="single" w:sz="4" w:space="0" w:color="auto"/>
              <w:bottom w:val="single" w:sz="4" w:space="0" w:color="auto"/>
              <w:right w:val="single" w:sz="4" w:space="0" w:color="auto"/>
            </w:tcBorders>
            <w:shd w:val="clear" w:color="auto" w:fill="auto"/>
            <w:hideMark/>
          </w:tcPr>
          <w:p w14:paraId="2E0BBFD0"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R25. IPOs should consider the use of WIPO DAS, particularly for processing patent and design applications</w:t>
            </w:r>
          </w:p>
        </w:tc>
        <w:tc>
          <w:tcPr>
            <w:tcW w:w="615" w:type="pct"/>
            <w:tcBorders>
              <w:top w:val="nil"/>
              <w:left w:val="nil"/>
              <w:bottom w:val="single" w:sz="4" w:space="0" w:color="auto"/>
              <w:right w:val="single" w:sz="4" w:space="0" w:color="auto"/>
            </w:tcBorders>
            <w:shd w:val="clear" w:color="auto" w:fill="auto"/>
            <w:hideMark/>
          </w:tcPr>
          <w:p w14:paraId="13CA6316"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Group 3</w:t>
            </w:r>
          </w:p>
        </w:tc>
        <w:tc>
          <w:tcPr>
            <w:tcW w:w="975" w:type="pct"/>
            <w:tcBorders>
              <w:top w:val="nil"/>
              <w:left w:val="nil"/>
              <w:bottom w:val="single" w:sz="4" w:space="0" w:color="auto"/>
              <w:right w:val="single" w:sz="4" w:space="0" w:color="auto"/>
            </w:tcBorders>
            <w:shd w:val="clear" w:color="auto" w:fill="auto"/>
            <w:hideMark/>
          </w:tcPr>
          <w:p w14:paraId="5647F245"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 </w:t>
            </w:r>
          </w:p>
        </w:tc>
        <w:tc>
          <w:tcPr>
            <w:tcW w:w="1304" w:type="pct"/>
            <w:tcBorders>
              <w:top w:val="nil"/>
              <w:left w:val="nil"/>
              <w:bottom w:val="single" w:sz="4" w:space="0" w:color="auto"/>
              <w:right w:val="single" w:sz="4" w:space="0" w:color="auto"/>
            </w:tcBorders>
            <w:shd w:val="clear" w:color="auto" w:fill="auto"/>
            <w:hideMark/>
          </w:tcPr>
          <w:p w14:paraId="21263283"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 </w:t>
            </w:r>
          </w:p>
        </w:tc>
      </w:tr>
      <w:tr w:rsidR="002870FA" w:rsidRPr="0005175C" w14:paraId="2B78998F" w14:textId="77777777" w:rsidTr="002870FA">
        <w:trPr>
          <w:cantSplit/>
          <w:trHeight w:val="1785"/>
        </w:trPr>
        <w:tc>
          <w:tcPr>
            <w:tcW w:w="2102" w:type="pct"/>
            <w:tcBorders>
              <w:top w:val="nil"/>
              <w:left w:val="single" w:sz="4" w:space="0" w:color="auto"/>
              <w:bottom w:val="single" w:sz="4" w:space="0" w:color="auto"/>
              <w:right w:val="single" w:sz="4" w:space="0" w:color="auto"/>
            </w:tcBorders>
            <w:shd w:val="clear" w:color="auto" w:fill="auto"/>
            <w:hideMark/>
          </w:tcPr>
          <w:p w14:paraId="4A594097"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R26. Develop further a new recommendation on a signed electronic package format for priority documents, including application bodies in full text formats (where available) and bibliographic data in XML format as a part of WIPO Standards.  The new format could be exchanged via WIPO DAS or directly between applicants and IPOs</w:t>
            </w:r>
          </w:p>
        </w:tc>
        <w:tc>
          <w:tcPr>
            <w:tcW w:w="615" w:type="pct"/>
            <w:tcBorders>
              <w:top w:val="nil"/>
              <w:left w:val="nil"/>
              <w:bottom w:val="single" w:sz="4" w:space="0" w:color="auto"/>
              <w:right w:val="single" w:sz="4" w:space="0" w:color="auto"/>
            </w:tcBorders>
            <w:shd w:val="clear" w:color="auto" w:fill="auto"/>
            <w:hideMark/>
          </w:tcPr>
          <w:p w14:paraId="5D0FB200"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Group 1</w:t>
            </w:r>
          </w:p>
        </w:tc>
        <w:tc>
          <w:tcPr>
            <w:tcW w:w="975" w:type="pct"/>
            <w:tcBorders>
              <w:top w:val="nil"/>
              <w:left w:val="nil"/>
              <w:bottom w:val="single" w:sz="4" w:space="0" w:color="auto"/>
              <w:right w:val="single" w:sz="4" w:space="0" w:color="auto"/>
            </w:tcBorders>
            <w:shd w:val="clear" w:color="auto" w:fill="auto"/>
            <w:hideMark/>
          </w:tcPr>
          <w:p w14:paraId="3E2C9F57" w14:textId="1E29EC64"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Tas</w:t>
            </w:r>
            <w:r w:rsidR="007C5B61">
              <w:rPr>
                <w:rFonts w:eastAsia="Times New Roman"/>
                <w:color w:val="000000"/>
                <w:sz w:val="20"/>
                <w:lang w:eastAsia="en-US"/>
              </w:rPr>
              <w:t>k</w:t>
            </w:r>
            <w:r w:rsidRPr="0005175C">
              <w:rPr>
                <w:rFonts w:eastAsia="Times New Roman"/>
                <w:color w:val="000000"/>
                <w:sz w:val="20"/>
                <w:lang w:eastAsia="en-US"/>
              </w:rPr>
              <w:t xml:space="preserve"> No.38- ST.36,</w:t>
            </w:r>
            <w:r w:rsidRPr="0005175C">
              <w:rPr>
                <w:rFonts w:eastAsia="Times New Roman"/>
                <w:color w:val="000000"/>
                <w:sz w:val="20"/>
                <w:lang w:eastAsia="en-US"/>
              </w:rPr>
              <w:br/>
              <w:t>Tas</w:t>
            </w:r>
            <w:r w:rsidR="007C5B61">
              <w:rPr>
                <w:rFonts w:eastAsia="Times New Roman"/>
                <w:color w:val="000000"/>
                <w:sz w:val="20"/>
                <w:lang w:eastAsia="en-US"/>
              </w:rPr>
              <w:t>k</w:t>
            </w:r>
            <w:r w:rsidRPr="0005175C">
              <w:rPr>
                <w:rFonts w:eastAsia="Times New Roman"/>
                <w:color w:val="000000"/>
                <w:sz w:val="20"/>
                <w:lang w:eastAsia="en-US"/>
              </w:rPr>
              <w:t xml:space="preserve"> No.41- ST.96</w:t>
            </w:r>
          </w:p>
        </w:tc>
        <w:tc>
          <w:tcPr>
            <w:tcW w:w="1304" w:type="pct"/>
            <w:tcBorders>
              <w:top w:val="nil"/>
              <w:left w:val="nil"/>
              <w:bottom w:val="single" w:sz="4" w:space="0" w:color="auto"/>
              <w:right w:val="single" w:sz="4" w:space="0" w:color="auto"/>
            </w:tcBorders>
            <w:shd w:val="clear" w:color="auto" w:fill="auto"/>
            <w:hideMark/>
          </w:tcPr>
          <w:p w14:paraId="50E99150"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 </w:t>
            </w:r>
          </w:p>
        </w:tc>
      </w:tr>
      <w:tr w:rsidR="002870FA" w:rsidRPr="0005175C" w14:paraId="263F3DD3" w14:textId="77777777" w:rsidTr="002870FA">
        <w:trPr>
          <w:cantSplit/>
          <w:trHeight w:val="1785"/>
        </w:trPr>
        <w:tc>
          <w:tcPr>
            <w:tcW w:w="2102" w:type="pct"/>
            <w:tcBorders>
              <w:top w:val="nil"/>
              <w:left w:val="single" w:sz="4" w:space="0" w:color="auto"/>
              <w:bottom w:val="single" w:sz="4" w:space="0" w:color="auto"/>
              <w:right w:val="single" w:sz="4" w:space="0" w:color="auto"/>
            </w:tcBorders>
            <w:shd w:val="clear" w:color="auto" w:fill="auto"/>
            <w:hideMark/>
          </w:tcPr>
          <w:p w14:paraId="4CA7C137"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R27. Encourage the wider use of existing standardized data exchange mechanisms, promote wider use of electronic filing and prioritize creation of additional electronic forms to improve the quality and reliability of data received from applicants, thereby reduce the errors caused by data content and format inconsistencies</w:t>
            </w:r>
          </w:p>
        </w:tc>
        <w:tc>
          <w:tcPr>
            <w:tcW w:w="615" w:type="pct"/>
            <w:tcBorders>
              <w:top w:val="nil"/>
              <w:left w:val="nil"/>
              <w:bottom w:val="single" w:sz="4" w:space="0" w:color="auto"/>
              <w:right w:val="single" w:sz="4" w:space="0" w:color="auto"/>
            </w:tcBorders>
            <w:shd w:val="clear" w:color="auto" w:fill="auto"/>
            <w:hideMark/>
          </w:tcPr>
          <w:p w14:paraId="5AAC32A5"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Group 1</w:t>
            </w:r>
          </w:p>
        </w:tc>
        <w:tc>
          <w:tcPr>
            <w:tcW w:w="975" w:type="pct"/>
            <w:tcBorders>
              <w:top w:val="nil"/>
              <w:left w:val="nil"/>
              <w:bottom w:val="single" w:sz="4" w:space="0" w:color="auto"/>
              <w:right w:val="single" w:sz="4" w:space="0" w:color="auto"/>
            </w:tcBorders>
            <w:shd w:val="clear" w:color="auto" w:fill="auto"/>
            <w:hideMark/>
          </w:tcPr>
          <w:p w14:paraId="1B1FD1B7" w14:textId="3B6B197E" w:rsidR="003379E2" w:rsidRPr="0005175C" w:rsidRDefault="003379E2" w:rsidP="007C5B61">
            <w:pPr>
              <w:rPr>
                <w:rFonts w:eastAsia="Times New Roman"/>
                <w:color w:val="000000"/>
                <w:sz w:val="20"/>
                <w:lang w:eastAsia="en-US"/>
              </w:rPr>
            </w:pPr>
            <w:r w:rsidRPr="0005175C">
              <w:rPr>
                <w:rFonts w:eastAsia="Times New Roman"/>
                <w:color w:val="000000"/>
                <w:sz w:val="20"/>
                <w:lang w:eastAsia="en-US"/>
              </w:rPr>
              <w:t>Tas</w:t>
            </w:r>
            <w:r w:rsidR="007C5B61">
              <w:rPr>
                <w:rFonts w:eastAsia="Times New Roman"/>
                <w:color w:val="000000"/>
                <w:sz w:val="20"/>
                <w:lang w:eastAsia="en-US"/>
              </w:rPr>
              <w:t>k</w:t>
            </w:r>
            <w:r w:rsidRPr="0005175C">
              <w:rPr>
                <w:rFonts w:eastAsia="Times New Roman"/>
                <w:color w:val="000000"/>
                <w:sz w:val="20"/>
                <w:lang w:eastAsia="en-US"/>
              </w:rPr>
              <w:t xml:space="preserve"> No.41- ST.96,</w:t>
            </w:r>
            <w:r w:rsidRPr="0005175C">
              <w:rPr>
                <w:rFonts w:eastAsia="Times New Roman"/>
                <w:color w:val="000000"/>
                <w:sz w:val="20"/>
                <w:lang w:eastAsia="en-US"/>
              </w:rPr>
              <w:br/>
            </w:r>
            <w:r w:rsidR="007C5B61">
              <w:rPr>
                <w:rFonts w:eastAsia="Times New Roman"/>
                <w:color w:val="000000"/>
                <w:sz w:val="20"/>
                <w:lang w:eastAsia="en-US"/>
              </w:rPr>
              <w:t>A</w:t>
            </w:r>
            <w:r w:rsidRPr="0005175C">
              <w:rPr>
                <w:rFonts w:eastAsia="Times New Roman"/>
                <w:color w:val="000000"/>
                <w:sz w:val="20"/>
                <w:lang w:eastAsia="en-US"/>
              </w:rPr>
              <w:t xml:space="preserve"> proposed new Task</w:t>
            </w:r>
            <w:r w:rsidR="007C5B61">
              <w:rPr>
                <w:rFonts w:eastAsia="Times New Roman"/>
                <w:color w:val="000000"/>
                <w:sz w:val="20"/>
                <w:lang w:eastAsia="en-US"/>
              </w:rPr>
              <w:t xml:space="preserve"> (see </w:t>
            </w:r>
            <w:r w:rsidR="007C5B61" w:rsidRPr="0005175C">
              <w:rPr>
                <w:rFonts w:eastAsia="Times New Roman"/>
                <w:color w:val="000000"/>
                <w:sz w:val="20"/>
                <w:lang w:eastAsia="en-US"/>
              </w:rPr>
              <w:t>document CWS/6/23</w:t>
            </w:r>
            <w:r w:rsidR="007C5B61">
              <w:rPr>
                <w:rFonts w:eastAsia="Times New Roman"/>
                <w:color w:val="000000"/>
                <w:sz w:val="20"/>
                <w:lang w:eastAsia="en-US"/>
              </w:rPr>
              <w:t>)</w:t>
            </w:r>
          </w:p>
        </w:tc>
        <w:tc>
          <w:tcPr>
            <w:tcW w:w="1304" w:type="pct"/>
            <w:tcBorders>
              <w:top w:val="nil"/>
              <w:left w:val="nil"/>
              <w:bottom w:val="single" w:sz="4" w:space="0" w:color="auto"/>
              <w:right w:val="single" w:sz="4" w:space="0" w:color="auto"/>
            </w:tcBorders>
            <w:shd w:val="clear" w:color="auto" w:fill="auto"/>
            <w:hideMark/>
          </w:tcPr>
          <w:p w14:paraId="2EBD10EE" w14:textId="02314D7E" w:rsidR="003379E2" w:rsidRPr="0005175C" w:rsidRDefault="003379E2" w:rsidP="003379E2">
            <w:pPr>
              <w:rPr>
                <w:rFonts w:eastAsia="Times New Roman"/>
                <w:color w:val="000000"/>
                <w:sz w:val="20"/>
                <w:lang w:eastAsia="en-US"/>
              </w:rPr>
            </w:pPr>
          </w:p>
        </w:tc>
      </w:tr>
      <w:tr w:rsidR="002870FA" w:rsidRPr="0005175C" w14:paraId="4965245B" w14:textId="77777777" w:rsidTr="002870FA">
        <w:trPr>
          <w:cantSplit/>
          <w:trHeight w:val="2040"/>
        </w:trPr>
        <w:tc>
          <w:tcPr>
            <w:tcW w:w="2102" w:type="pct"/>
            <w:tcBorders>
              <w:top w:val="nil"/>
              <w:left w:val="single" w:sz="4" w:space="0" w:color="auto"/>
              <w:bottom w:val="single" w:sz="4" w:space="0" w:color="auto"/>
              <w:right w:val="single" w:sz="4" w:space="0" w:color="auto"/>
            </w:tcBorders>
            <w:shd w:val="clear" w:color="auto" w:fill="auto"/>
            <w:hideMark/>
          </w:tcPr>
          <w:p w14:paraId="63338671"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lastRenderedPageBreak/>
              <w:t>R28. Establish a self-service, centralized transaction processing model wherein users and IPOs connect to a central IB platform for data services.  This will change the paradigm from one based around batch transmission of forms and responses to one of real-time updates to the International Register entered directly by the parties concerned</w:t>
            </w:r>
          </w:p>
        </w:tc>
        <w:tc>
          <w:tcPr>
            <w:tcW w:w="615" w:type="pct"/>
            <w:tcBorders>
              <w:top w:val="nil"/>
              <w:left w:val="nil"/>
              <w:bottom w:val="single" w:sz="4" w:space="0" w:color="auto"/>
              <w:right w:val="single" w:sz="4" w:space="0" w:color="auto"/>
            </w:tcBorders>
            <w:shd w:val="clear" w:color="auto" w:fill="auto"/>
            <w:hideMark/>
          </w:tcPr>
          <w:p w14:paraId="4AB97F22"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Group 1</w:t>
            </w:r>
          </w:p>
        </w:tc>
        <w:tc>
          <w:tcPr>
            <w:tcW w:w="975" w:type="pct"/>
            <w:tcBorders>
              <w:top w:val="nil"/>
              <w:left w:val="nil"/>
              <w:bottom w:val="single" w:sz="4" w:space="0" w:color="auto"/>
              <w:right w:val="single" w:sz="4" w:space="0" w:color="auto"/>
            </w:tcBorders>
            <w:shd w:val="clear" w:color="auto" w:fill="auto"/>
            <w:hideMark/>
          </w:tcPr>
          <w:p w14:paraId="494F0C46"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Task No. 56 - API standard</w:t>
            </w:r>
          </w:p>
        </w:tc>
        <w:tc>
          <w:tcPr>
            <w:tcW w:w="1304" w:type="pct"/>
            <w:tcBorders>
              <w:top w:val="nil"/>
              <w:left w:val="nil"/>
              <w:bottom w:val="single" w:sz="4" w:space="0" w:color="auto"/>
              <w:right w:val="single" w:sz="4" w:space="0" w:color="auto"/>
            </w:tcBorders>
            <w:shd w:val="clear" w:color="auto" w:fill="auto"/>
            <w:hideMark/>
          </w:tcPr>
          <w:p w14:paraId="7896B9DC"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 </w:t>
            </w:r>
          </w:p>
        </w:tc>
      </w:tr>
      <w:tr w:rsidR="002870FA" w:rsidRPr="0005175C" w14:paraId="5F6F5650" w14:textId="77777777" w:rsidTr="002870FA">
        <w:trPr>
          <w:cantSplit/>
          <w:trHeight w:val="1275"/>
        </w:trPr>
        <w:tc>
          <w:tcPr>
            <w:tcW w:w="2102" w:type="pct"/>
            <w:tcBorders>
              <w:top w:val="nil"/>
              <w:left w:val="single" w:sz="4" w:space="0" w:color="auto"/>
              <w:bottom w:val="single" w:sz="4" w:space="0" w:color="auto"/>
              <w:right w:val="single" w:sz="4" w:space="0" w:color="auto"/>
            </w:tcBorders>
            <w:shd w:val="clear" w:color="auto" w:fill="auto"/>
            <w:hideMark/>
          </w:tcPr>
          <w:p w14:paraId="4830A594"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R29. Promote wider sharing of data concerning terms of goods and services that are acceptable or not by IP Offices to further reduce the need for costly and time-consuming processes (irregularity and refusal processes)</w:t>
            </w:r>
          </w:p>
        </w:tc>
        <w:tc>
          <w:tcPr>
            <w:tcW w:w="615" w:type="pct"/>
            <w:tcBorders>
              <w:top w:val="nil"/>
              <w:left w:val="nil"/>
              <w:bottom w:val="single" w:sz="4" w:space="0" w:color="auto"/>
              <w:right w:val="single" w:sz="4" w:space="0" w:color="auto"/>
            </w:tcBorders>
            <w:shd w:val="clear" w:color="auto" w:fill="auto"/>
            <w:hideMark/>
          </w:tcPr>
          <w:p w14:paraId="0D4CF589"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Group 3</w:t>
            </w:r>
          </w:p>
        </w:tc>
        <w:tc>
          <w:tcPr>
            <w:tcW w:w="975" w:type="pct"/>
            <w:tcBorders>
              <w:top w:val="nil"/>
              <w:left w:val="nil"/>
              <w:bottom w:val="single" w:sz="4" w:space="0" w:color="auto"/>
              <w:right w:val="single" w:sz="4" w:space="0" w:color="auto"/>
            </w:tcBorders>
            <w:shd w:val="clear" w:color="auto" w:fill="auto"/>
            <w:hideMark/>
          </w:tcPr>
          <w:p w14:paraId="5C744948"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 </w:t>
            </w:r>
          </w:p>
        </w:tc>
        <w:tc>
          <w:tcPr>
            <w:tcW w:w="1304" w:type="pct"/>
            <w:tcBorders>
              <w:top w:val="nil"/>
              <w:left w:val="nil"/>
              <w:bottom w:val="single" w:sz="4" w:space="0" w:color="auto"/>
              <w:right w:val="single" w:sz="4" w:space="0" w:color="auto"/>
            </w:tcBorders>
            <w:shd w:val="clear" w:color="auto" w:fill="auto"/>
            <w:hideMark/>
          </w:tcPr>
          <w:p w14:paraId="742C380E"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 </w:t>
            </w:r>
          </w:p>
        </w:tc>
      </w:tr>
      <w:tr w:rsidR="002870FA" w:rsidRPr="0005175C" w14:paraId="0FDBCF70" w14:textId="77777777" w:rsidTr="002870FA">
        <w:trPr>
          <w:cantSplit/>
          <w:trHeight w:val="765"/>
        </w:trPr>
        <w:tc>
          <w:tcPr>
            <w:tcW w:w="2102" w:type="pct"/>
            <w:tcBorders>
              <w:top w:val="nil"/>
              <w:left w:val="single" w:sz="4" w:space="0" w:color="auto"/>
              <w:bottom w:val="single" w:sz="4" w:space="0" w:color="auto"/>
              <w:right w:val="single" w:sz="4" w:space="0" w:color="auto"/>
            </w:tcBorders>
            <w:shd w:val="clear" w:color="auto" w:fill="auto"/>
            <w:hideMark/>
          </w:tcPr>
          <w:p w14:paraId="4D4F2430"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R30. Create a more comprehensive, user-friendly and machine accessible database of terms of goods and services that could reduce irregularities</w:t>
            </w:r>
          </w:p>
        </w:tc>
        <w:tc>
          <w:tcPr>
            <w:tcW w:w="615" w:type="pct"/>
            <w:tcBorders>
              <w:top w:val="nil"/>
              <w:left w:val="nil"/>
              <w:bottom w:val="single" w:sz="4" w:space="0" w:color="auto"/>
              <w:right w:val="single" w:sz="4" w:space="0" w:color="auto"/>
            </w:tcBorders>
            <w:shd w:val="clear" w:color="auto" w:fill="auto"/>
            <w:hideMark/>
          </w:tcPr>
          <w:p w14:paraId="702C1934"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Group 3</w:t>
            </w:r>
          </w:p>
        </w:tc>
        <w:tc>
          <w:tcPr>
            <w:tcW w:w="975" w:type="pct"/>
            <w:tcBorders>
              <w:top w:val="nil"/>
              <w:left w:val="nil"/>
              <w:bottom w:val="single" w:sz="4" w:space="0" w:color="auto"/>
              <w:right w:val="single" w:sz="4" w:space="0" w:color="auto"/>
            </w:tcBorders>
            <w:shd w:val="clear" w:color="auto" w:fill="auto"/>
            <w:hideMark/>
          </w:tcPr>
          <w:p w14:paraId="66CFE2F0"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 </w:t>
            </w:r>
          </w:p>
        </w:tc>
        <w:tc>
          <w:tcPr>
            <w:tcW w:w="1304" w:type="pct"/>
            <w:tcBorders>
              <w:top w:val="nil"/>
              <w:left w:val="nil"/>
              <w:bottom w:val="single" w:sz="4" w:space="0" w:color="auto"/>
              <w:right w:val="single" w:sz="4" w:space="0" w:color="auto"/>
            </w:tcBorders>
            <w:shd w:val="clear" w:color="auto" w:fill="auto"/>
            <w:hideMark/>
          </w:tcPr>
          <w:p w14:paraId="5042058D"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 </w:t>
            </w:r>
          </w:p>
        </w:tc>
      </w:tr>
      <w:tr w:rsidR="002870FA" w:rsidRPr="0005175C" w14:paraId="4F1A41DA" w14:textId="77777777" w:rsidTr="002870FA">
        <w:trPr>
          <w:cantSplit/>
          <w:trHeight w:val="510"/>
        </w:trPr>
        <w:tc>
          <w:tcPr>
            <w:tcW w:w="2102" w:type="pct"/>
            <w:tcBorders>
              <w:top w:val="nil"/>
              <w:left w:val="single" w:sz="4" w:space="0" w:color="auto"/>
              <w:bottom w:val="single" w:sz="4" w:space="0" w:color="auto"/>
              <w:right w:val="single" w:sz="4" w:space="0" w:color="auto"/>
            </w:tcBorders>
            <w:shd w:val="clear" w:color="auto" w:fill="auto"/>
            <w:hideMark/>
          </w:tcPr>
          <w:p w14:paraId="7EB1ADA9"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R31. IPOs should continue and expand their use of standard grounds of refusal</w:t>
            </w:r>
          </w:p>
        </w:tc>
        <w:tc>
          <w:tcPr>
            <w:tcW w:w="615" w:type="pct"/>
            <w:tcBorders>
              <w:top w:val="nil"/>
              <w:left w:val="nil"/>
              <w:bottom w:val="single" w:sz="4" w:space="0" w:color="auto"/>
              <w:right w:val="single" w:sz="4" w:space="0" w:color="auto"/>
            </w:tcBorders>
            <w:shd w:val="clear" w:color="auto" w:fill="auto"/>
            <w:hideMark/>
          </w:tcPr>
          <w:p w14:paraId="01603285"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Group 3</w:t>
            </w:r>
          </w:p>
        </w:tc>
        <w:tc>
          <w:tcPr>
            <w:tcW w:w="975" w:type="pct"/>
            <w:tcBorders>
              <w:top w:val="nil"/>
              <w:left w:val="nil"/>
              <w:bottom w:val="single" w:sz="4" w:space="0" w:color="auto"/>
              <w:right w:val="single" w:sz="4" w:space="0" w:color="auto"/>
            </w:tcBorders>
            <w:shd w:val="clear" w:color="auto" w:fill="auto"/>
            <w:hideMark/>
          </w:tcPr>
          <w:p w14:paraId="627ED12F"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 </w:t>
            </w:r>
          </w:p>
        </w:tc>
        <w:tc>
          <w:tcPr>
            <w:tcW w:w="1304" w:type="pct"/>
            <w:tcBorders>
              <w:top w:val="nil"/>
              <w:left w:val="nil"/>
              <w:bottom w:val="single" w:sz="4" w:space="0" w:color="auto"/>
              <w:right w:val="single" w:sz="4" w:space="0" w:color="auto"/>
            </w:tcBorders>
            <w:shd w:val="clear" w:color="auto" w:fill="auto"/>
            <w:hideMark/>
          </w:tcPr>
          <w:p w14:paraId="362BF31C"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 </w:t>
            </w:r>
          </w:p>
        </w:tc>
      </w:tr>
      <w:tr w:rsidR="002870FA" w:rsidRPr="0005175C" w14:paraId="59412935" w14:textId="77777777" w:rsidTr="002870FA">
        <w:trPr>
          <w:cantSplit/>
          <w:trHeight w:val="1020"/>
        </w:trPr>
        <w:tc>
          <w:tcPr>
            <w:tcW w:w="2102" w:type="pct"/>
            <w:tcBorders>
              <w:top w:val="nil"/>
              <w:left w:val="single" w:sz="4" w:space="0" w:color="auto"/>
              <w:bottom w:val="single" w:sz="4" w:space="0" w:color="auto"/>
              <w:right w:val="single" w:sz="4" w:space="0" w:color="auto"/>
            </w:tcBorders>
            <w:shd w:val="clear" w:color="auto" w:fill="auto"/>
            <w:hideMark/>
          </w:tcPr>
          <w:p w14:paraId="3D5D2961"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R32. The quality of exchange between IPOs and with the IB would be improved if IPOs move to using WIPO Standard ST96 for Hague-related XML components</w:t>
            </w:r>
          </w:p>
        </w:tc>
        <w:tc>
          <w:tcPr>
            <w:tcW w:w="615" w:type="pct"/>
            <w:tcBorders>
              <w:top w:val="nil"/>
              <w:left w:val="nil"/>
              <w:bottom w:val="single" w:sz="4" w:space="0" w:color="auto"/>
              <w:right w:val="single" w:sz="4" w:space="0" w:color="auto"/>
            </w:tcBorders>
            <w:shd w:val="clear" w:color="auto" w:fill="auto"/>
            <w:hideMark/>
          </w:tcPr>
          <w:p w14:paraId="3A093845"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Group 1</w:t>
            </w:r>
          </w:p>
        </w:tc>
        <w:tc>
          <w:tcPr>
            <w:tcW w:w="975" w:type="pct"/>
            <w:tcBorders>
              <w:top w:val="nil"/>
              <w:left w:val="nil"/>
              <w:bottom w:val="single" w:sz="4" w:space="0" w:color="auto"/>
              <w:right w:val="single" w:sz="4" w:space="0" w:color="auto"/>
            </w:tcBorders>
            <w:shd w:val="clear" w:color="auto" w:fill="auto"/>
            <w:hideMark/>
          </w:tcPr>
          <w:p w14:paraId="0EC0743B" w14:textId="5A982F90"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Tas</w:t>
            </w:r>
            <w:r w:rsidR="007C5B61">
              <w:rPr>
                <w:rFonts w:eastAsia="Times New Roman"/>
                <w:color w:val="000000"/>
                <w:sz w:val="20"/>
                <w:lang w:eastAsia="en-US"/>
              </w:rPr>
              <w:t>k</w:t>
            </w:r>
            <w:r w:rsidRPr="0005175C">
              <w:rPr>
                <w:rFonts w:eastAsia="Times New Roman"/>
                <w:color w:val="000000"/>
                <w:sz w:val="20"/>
                <w:lang w:eastAsia="en-US"/>
              </w:rPr>
              <w:t xml:space="preserve"> No.41- ST.96</w:t>
            </w:r>
          </w:p>
        </w:tc>
        <w:tc>
          <w:tcPr>
            <w:tcW w:w="1304" w:type="pct"/>
            <w:tcBorders>
              <w:top w:val="nil"/>
              <w:left w:val="nil"/>
              <w:bottom w:val="single" w:sz="4" w:space="0" w:color="auto"/>
              <w:right w:val="single" w:sz="4" w:space="0" w:color="auto"/>
            </w:tcBorders>
            <w:shd w:val="clear" w:color="auto" w:fill="auto"/>
            <w:hideMark/>
          </w:tcPr>
          <w:p w14:paraId="0837A1A7"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The ICTAI meeting noted that the relevant CWS Task Forces need to consider a wider range of issues.</w:t>
            </w:r>
          </w:p>
        </w:tc>
      </w:tr>
      <w:tr w:rsidR="002870FA" w:rsidRPr="0005175C" w14:paraId="291491AA" w14:textId="77777777" w:rsidTr="002870FA">
        <w:trPr>
          <w:cantSplit/>
          <w:trHeight w:val="1275"/>
        </w:trPr>
        <w:tc>
          <w:tcPr>
            <w:tcW w:w="2102" w:type="pct"/>
            <w:tcBorders>
              <w:top w:val="nil"/>
              <w:left w:val="single" w:sz="4" w:space="0" w:color="auto"/>
              <w:bottom w:val="single" w:sz="4" w:space="0" w:color="auto"/>
              <w:right w:val="single" w:sz="4" w:space="0" w:color="auto"/>
            </w:tcBorders>
            <w:shd w:val="clear" w:color="auto" w:fill="auto"/>
            <w:hideMark/>
          </w:tcPr>
          <w:p w14:paraId="33D6B02B"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R33. Technical issues related to the acceptance of moving images need to be considered, alongside the associated preparations with regards to integrity in terms of transmission and storage – as well as publication and sharing</w:t>
            </w:r>
          </w:p>
        </w:tc>
        <w:tc>
          <w:tcPr>
            <w:tcW w:w="615" w:type="pct"/>
            <w:tcBorders>
              <w:top w:val="nil"/>
              <w:left w:val="nil"/>
              <w:bottom w:val="single" w:sz="4" w:space="0" w:color="auto"/>
              <w:right w:val="single" w:sz="4" w:space="0" w:color="auto"/>
            </w:tcBorders>
            <w:shd w:val="clear" w:color="auto" w:fill="auto"/>
            <w:hideMark/>
          </w:tcPr>
          <w:p w14:paraId="4E313A43"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Group 2</w:t>
            </w:r>
          </w:p>
        </w:tc>
        <w:tc>
          <w:tcPr>
            <w:tcW w:w="975" w:type="pct"/>
            <w:tcBorders>
              <w:top w:val="nil"/>
              <w:left w:val="nil"/>
              <w:bottom w:val="single" w:sz="4" w:space="0" w:color="auto"/>
              <w:right w:val="single" w:sz="4" w:space="0" w:color="auto"/>
            </w:tcBorders>
            <w:shd w:val="clear" w:color="auto" w:fill="auto"/>
            <w:hideMark/>
          </w:tcPr>
          <w:p w14:paraId="5194F19C"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 </w:t>
            </w:r>
          </w:p>
        </w:tc>
        <w:tc>
          <w:tcPr>
            <w:tcW w:w="1304" w:type="pct"/>
            <w:tcBorders>
              <w:top w:val="nil"/>
              <w:left w:val="nil"/>
              <w:bottom w:val="single" w:sz="4" w:space="0" w:color="auto"/>
              <w:right w:val="single" w:sz="4" w:space="0" w:color="auto"/>
            </w:tcBorders>
            <w:shd w:val="clear" w:color="auto" w:fill="auto"/>
            <w:hideMark/>
          </w:tcPr>
          <w:p w14:paraId="5A05BC45"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The ICTAI meeting noted that the relevant CWS Task Forces need to consider a wider range of issues.</w:t>
            </w:r>
          </w:p>
        </w:tc>
      </w:tr>
      <w:tr w:rsidR="002870FA" w:rsidRPr="0005175C" w14:paraId="15645CDF" w14:textId="77777777" w:rsidTr="002870FA">
        <w:trPr>
          <w:cantSplit/>
          <w:trHeight w:val="1530"/>
        </w:trPr>
        <w:tc>
          <w:tcPr>
            <w:tcW w:w="2102" w:type="pct"/>
            <w:tcBorders>
              <w:top w:val="nil"/>
              <w:left w:val="single" w:sz="4" w:space="0" w:color="auto"/>
              <w:bottom w:val="single" w:sz="4" w:space="0" w:color="auto"/>
              <w:right w:val="single" w:sz="4" w:space="0" w:color="auto"/>
            </w:tcBorders>
            <w:shd w:val="clear" w:color="auto" w:fill="auto"/>
            <w:hideMark/>
          </w:tcPr>
          <w:p w14:paraId="1524DE22"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R34. IPOs are encouraged to consider participating in DAS as depositing and accessing IPOs for design priority documents, which would potentially reduce costs and risk with regard to provision of certified copies in respect of Hague international registrations</w:t>
            </w:r>
          </w:p>
        </w:tc>
        <w:tc>
          <w:tcPr>
            <w:tcW w:w="615" w:type="pct"/>
            <w:tcBorders>
              <w:top w:val="nil"/>
              <w:left w:val="nil"/>
              <w:bottom w:val="single" w:sz="4" w:space="0" w:color="auto"/>
              <w:right w:val="single" w:sz="4" w:space="0" w:color="auto"/>
            </w:tcBorders>
            <w:shd w:val="clear" w:color="auto" w:fill="auto"/>
            <w:hideMark/>
          </w:tcPr>
          <w:p w14:paraId="426A7ABE"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Group 3</w:t>
            </w:r>
          </w:p>
        </w:tc>
        <w:tc>
          <w:tcPr>
            <w:tcW w:w="975" w:type="pct"/>
            <w:tcBorders>
              <w:top w:val="nil"/>
              <w:left w:val="nil"/>
              <w:bottom w:val="single" w:sz="4" w:space="0" w:color="auto"/>
              <w:right w:val="single" w:sz="4" w:space="0" w:color="auto"/>
            </w:tcBorders>
            <w:shd w:val="clear" w:color="auto" w:fill="auto"/>
            <w:hideMark/>
          </w:tcPr>
          <w:p w14:paraId="09F3B44D"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 </w:t>
            </w:r>
          </w:p>
        </w:tc>
        <w:tc>
          <w:tcPr>
            <w:tcW w:w="1304" w:type="pct"/>
            <w:tcBorders>
              <w:top w:val="nil"/>
              <w:left w:val="nil"/>
              <w:bottom w:val="single" w:sz="4" w:space="0" w:color="auto"/>
              <w:right w:val="single" w:sz="4" w:space="0" w:color="auto"/>
            </w:tcBorders>
            <w:shd w:val="clear" w:color="auto" w:fill="auto"/>
            <w:hideMark/>
          </w:tcPr>
          <w:p w14:paraId="6558A950"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 </w:t>
            </w:r>
          </w:p>
        </w:tc>
      </w:tr>
      <w:tr w:rsidR="002870FA" w:rsidRPr="0005175C" w14:paraId="14EA0CC6" w14:textId="77777777" w:rsidTr="002870FA">
        <w:trPr>
          <w:cantSplit/>
          <w:trHeight w:val="1275"/>
        </w:trPr>
        <w:tc>
          <w:tcPr>
            <w:tcW w:w="2102" w:type="pct"/>
            <w:tcBorders>
              <w:top w:val="nil"/>
              <w:left w:val="single" w:sz="4" w:space="0" w:color="auto"/>
              <w:bottom w:val="single" w:sz="4" w:space="0" w:color="auto"/>
              <w:right w:val="single" w:sz="4" w:space="0" w:color="auto"/>
            </w:tcBorders>
            <w:shd w:val="clear" w:color="auto" w:fill="auto"/>
            <w:hideMark/>
          </w:tcPr>
          <w:p w14:paraId="464BA5B0" w14:textId="076BC0E7" w:rsidR="00BF2417" w:rsidRPr="0005175C" w:rsidRDefault="002D1209" w:rsidP="00BF2417">
            <w:pPr>
              <w:rPr>
                <w:rFonts w:eastAsia="Times New Roman"/>
                <w:color w:val="000000"/>
                <w:sz w:val="20"/>
                <w:lang w:eastAsia="en-US"/>
              </w:rPr>
            </w:pPr>
            <w:r>
              <w:br w:type="page"/>
            </w:r>
            <w:r w:rsidR="00BF2417" w:rsidRPr="0005175C">
              <w:rPr>
                <w:rFonts w:eastAsia="Times New Roman"/>
                <w:color w:val="000000"/>
                <w:sz w:val="20"/>
                <w:lang w:eastAsia="en-US"/>
              </w:rPr>
              <w:t>R35. Enhance international cooperation among IPOs and the IB to adhere to agreed settlement timetables, the use of web-forms for data collection and the adoption of standardized electronic filing systems</w:t>
            </w:r>
          </w:p>
        </w:tc>
        <w:tc>
          <w:tcPr>
            <w:tcW w:w="615" w:type="pct"/>
            <w:tcBorders>
              <w:top w:val="nil"/>
              <w:left w:val="nil"/>
              <w:bottom w:val="single" w:sz="4" w:space="0" w:color="auto"/>
              <w:right w:val="single" w:sz="4" w:space="0" w:color="auto"/>
            </w:tcBorders>
            <w:shd w:val="clear" w:color="auto" w:fill="auto"/>
            <w:hideMark/>
          </w:tcPr>
          <w:p w14:paraId="5F202023"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Group 2</w:t>
            </w:r>
          </w:p>
        </w:tc>
        <w:tc>
          <w:tcPr>
            <w:tcW w:w="975" w:type="pct"/>
            <w:tcBorders>
              <w:top w:val="nil"/>
              <w:left w:val="nil"/>
              <w:bottom w:val="single" w:sz="4" w:space="0" w:color="auto"/>
              <w:right w:val="single" w:sz="4" w:space="0" w:color="auto"/>
            </w:tcBorders>
            <w:shd w:val="clear" w:color="auto" w:fill="auto"/>
            <w:hideMark/>
          </w:tcPr>
          <w:p w14:paraId="6E7DB854"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 </w:t>
            </w:r>
          </w:p>
        </w:tc>
        <w:tc>
          <w:tcPr>
            <w:tcW w:w="1304" w:type="pct"/>
            <w:tcBorders>
              <w:top w:val="nil"/>
              <w:left w:val="nil"/>
              <w:bottom w:val="single" w:sz="4" w:space="0" w:color="auto"/>
              <w:right w:val="single" w:sz="4" w:space="0" w:color="auto"/>
            </w:tcBorders>
            <w:shd w:val="clear" w:color="auto" w:fill="auto"/>
            <w:hideMark/>
          </w:tcPr>
          <w:p w14:paraId="681551A5"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 </w:t>
            </w:r>
          </w:p>
        </w:tc>
      </w:tr>
      <w:tr w:rsidR="002870FA" w:rsidRPr="0005175C" w14:paraId="10B4A8F5" w14:textId="77777777" w:rsidTr="002870FA">
        <w:trPr>
          <w:cantSplit/>
          <w:trHeight w:val="3570"/>
        </w:trPr>
        <w:tc>
          <w:tcPr>
            <w:tcW w:w="2102" w:type="pct"/>
            <w:tcBorders>
              <w:top w:val="nil"/>
              <w:left w:val="single" w:sz="4" w:space="0" w:color="auto"/>
              <w:bottom w:val="single" w:sz="4" w:space="0" w:color="auto"/>
              <w:right w:val="single" w:sz="4" w:space="0" w:color="auto"/>
            </w:tcBorders>
            <w:shd w:val="clear" w:color="auto" w:fill="auto"/>
            <w:hideMark/>
          </w:tcPr>
          <w:p w14:paraId="71F8B5A2"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lastRenderedPageBreak/>
              <w:t>R36. Agree on an international standard for information security such as ISO/IEC 27001 as a means to demonstrate reasonable assurance of internal control effectiveness by Offices. Where Offices are required to comply with their own national information security standard, a mapping to the international standard can be provided to demonstrate a healthy information security management system. For external Cloud service providers, agree on minimum certification and independent audits against standards prescribed by the Cloud Security Alliance STAR or SSAE (ISAE) SOC II Type 2 as a means of information security assurance in the Cloud</w:t>
            </w:r>
          </w:p>
        </w:tc>
        <w:tc>
          <w:tcPr>
            <w:tcW w:w="615" w:type="pct"/>
            <w:tcBorders>
              <w:top w:val="nil"/>
              <w:left w:val="nil"/>
              <w:bottom w:val="single" w:sz="4" w:space="0" w:color="auto"/>
              <w:right w:val="single" w:sz="4" w:space="0" w:color="auto"/>
            </w:tcBorders>
            <w:shd w:val="clear" w:color="auto" w:fill="auto"/>
            <w:hideMark/>
          </w:tcPr>
          <w:p w14:paraId="6D5D0069"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Group 1</w:t>
            </w:r>
          </w:p>
        </w:tc>
        <w:tc>
          <w:tcPr>
            <w:tcW w:w="975" w:type="pct"/>
            <w:tcBorders>
              <w:top w:val="nil"/>
              <w:left w:val="nil"/>
              <w:bottom w:val="single" w:sz="4" w:space="0" w:color="auto"/>
              <w:right w:val="single" w:sz="4" w:space="0" w:color="auto"/>
            </w:tcBorders>
            <w:shd w:val="clear" w:color="auto" w:fill="auto"/>
            <w:hideMark/>
          </w:tcPr>
          <w:p w14:paraId="23E5A007"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Task No. 56 - API standard</w:t>
            </w:r>
          </w:p>
        </w:tc>
        <w:tc>
          <w:tcPr>
            <w:tcW w:w="1304" w:type="pct"/>
            <w:tcBorders>
              <w:top w:val="nil"/>
              <w:left w:val="nil"/>
              <w:bottom w:val="single" w:sz="4" w:space="0" w:color="auto"/>
              <w:right w:val="single" w:sz="4" w:space="0" w:color="auto"/>
            </w:tcBorders>
            <w:shd w:val="clear" w:color="auto" w:fill="auto"/>
            <w:hideMark/>
          </w:tcPr>
          <w:p w14:paraId="3B38E4F7"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 </w:t>
            </w:r>
          </w:p>
        </w:tc>
      </w:tr>
      <w:tr w:rsidR="002870FA" w:rsidRPr="0005175C" w14:paraId="20E456B6" w14:textId="77777777" w:rsidTr="002870FA">
        <w:trPr>
          <w:cantSplit/>
          <w:trHeight w:val="510"/>
        </w:trPr>
        <w:tc>
          <w:tcPr>
            <w:tcW w:w="2102" w:type="pct"/>
            <w:tcBorders>
              <w:top w:val="nil"/>
              <w:left w:val="single" w:sz="4" w:space="0" w:color="auto"/>
              <w:bottom w:val="single" w:sz="4" w:space="0" w:color="auto"/>
              <w:right w:val="single" w:sz="4" w:space="0" w:color="auto"/>
            </w:tcBorders>
            <w:shd w:val="clear" w:color="auto" w:fill="auto"/>
            <w:hideMark/>
          </w:tcPr>
          <w:p w14:paraId="7DC26E94"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R37. Consider standardized security mechanisms as part of the review of data exchange protocols</w:t>
            </w:r>
          </w:p>
        </w:tc>
        <w:tc>
          <w:tcPr>
            <w:tcW w:w="615" w:type="pct"/>
            <w:tcBorders>
              <w:top w:val="nil"/>
              <w:left w:val="nil"/>
              <w:bottom w:val="single" w:sz="4" w:space="0" w:color="auto"/>
              <w:right w:val="single" w:sz="4" w:space="0" w:color="auto"/>
            </w:tcBorders>
            <w:shd w:val="clear" w:color="auto" w:fill="auto"/>
            <w:hideMark/>
          </w:tcPr>
          <w:p w14:paraId="27193115"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Group 1</w:t>
            </w:r>
          </w:p>
        </w:tc>
        <w:tc>
          <w:tcPr>
            <w:tcW w:w="975" w:type="pct"/>
            <w:tcBorders>
              <w:top w:val="nil"/>
              <w:left w:val="nil"/>
              <w:bottom w:val="single" w:sz="4" w:space="0" w:color="auto"/>
              <w:right w:val="single" w:sz="4" w:space="0" w:color="auto"/>
            </w:tcBorders>
            <w:shd w:val="clear" w:color="auto" w:fill="auto"/>
            <w:hideMark/>
          </w:tcPr>
          <w:p w14:paraId="0C7CBC49"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Task No. 56 - API standard</w:t>
            </w:r>
          </w:p>
        </w:tc>
        <w:tc>
          <w:tcPr>
            <w:tcW w:w="1304" w:type="pct"/>
            <w:tcBorders>
              <w:top w:val="nil"/>
              <w:left w:val="nil"/>
              <w:bottom w:val="single" w:sz="4" w:space="0" w:color="auto"/>
              <w:right w:val="single" w:sz="4" w:space="0" w:color="auto"/>
            </w:tcBorders>
            <w:shd w:val="clear" w:color="auto" w:fill="auto"/>
            <w:hideMark/>
          </w:tcPr>
          <w:p w14:paraId="28500534"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 </w:t>
            </w:r>
          </w:p>
        </w:tc>
      </w:tr>
      <w:tr w:rsidR="002870FA" w:rsidRPr="0005175C" w14:paraId="70555DB1" w14:textId="77777777" w:rsidTr="002870FA">
        <w:trPr>
          <w:cantSplit/>
          <w:trHeight w:val="2040"/>
        </w:trPr>
        <w:tc>
          <w:tcPr>
            <w:tcW w:w="2102" w:type="pct"/>
            <w:tcBorders>
              <w:top w:val="nil"/>
              <w:left w:val="single" w:sz="4" w:space="0" w:color="auto"/>
              <w:bottom w:val="single" w:sz="4" w:space="0" w:color="auto"/>
              <w:right w:val="single" w:sz="4" w:space="0" w:color="auto"/>
            </w:tcBorders>
            <w:shd w:val="clear" w:color="auto" w:fill="auto"/>
            <w:hideMark/>
          </w:tcPr>
          <w:p w14:paraId="72DF4E25"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R38. Improved methods should be explored for integration with international systems and for centralized systems.  Create a centralized service, as a demonstration/prototype, with open and standard APIs, for dissemination of classification and standards data and for transactional data exchange between IPOs and regional/international IP systems</w:t>
            </w:r>
          </w:p>
        </w:tc>
        <w:tc>
          <w:tcPr>
            <w:tcW w:w="615" w:type="pct"/>
            <w:tcBorders>
              <w:top w:val="nil"/>
              <w:left w:val="nil"/>
              <w:bottom w:val="single" w:sz="4" w:space="0" w:color="auto"/>
              <w:right w:val="single" w:sz="4" w:space="0" w:color="auto"/>
            </w:tcBorders>
            <w:shd w:val="clear" w:color="auto" w:fill="auto"/>
            <w:hideMark/>
          </w:tcPr>
          <w:p w14:paraId="7BC5CCF6"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Group 1</w:t>
            </w:r>
          </w:p>
        </w:tc>
        <w:tc>
          <w:tcPr>
            <w:tcW w:w="975" w:type="pct"/>
            <w:tcBorders>
              <w:top w:val="nil"/>
              <w:left w:val="nil"/>
              <w:bottom w:val="single" w:sz="4" w:space="0" w:color="auto"/>
              <w:right w:val="single" w:sz="4" w:space="0" w:color="auto"/>
            </w:tcBorders>
            <w:shd w:val="clear" w:color="auto" w:fill="auto"/>
            <w:hideMark/>
          </w:tcPr>
          <w:p w14:paraId="6E54EC61"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Task No. 56 - API standard</w:t>
            </w:r>
          </w:p>
        </w:tc>
        <w:tc>
          <w:tcPr>
            <w:tcW w:w="1304" w:type="pct"/>
            <w:tcBorders>
              <w:top w:val="nil"/>
              <w:left w:val="nil"/>
              <w:bottom w:val="single" w:sz="4" w:space="0" w:color="auto"/>
              <w:right w:val="single" w:sz="4" w:space="0" w:color="auto"/>
            </w:tcBorders>
            <w:shd w:val="clear" w:color="auto" w:fill="auto"/>
            <w:hideMark/>
          </w:tcPr>
          <w:p w14:paraId="4AFD3E8C"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 </w:t>
            </w:r>
          </w:p>
        </w:tc>
      </w:tr>
      <w:tr w:rsidR="002870FA" w:rsidRPr="0005175C" w14:paraId="7A3F351F" w14:textId="77777777" w:rsidTr="002870FA">
        <w:trPr>
          <w:cantSplit/>
          <w:trHeight w:val="1785"/>
        </w:trPr>
        <w:tc>
          <w:tcPr>
            <w:tcW w:w="2102" w:type="pct"/>
            <w:tcBorders>
              <w:top w:val="nil"/>
              <w:left w:val="single" w:sz="4" w:space="0" w:color="auto"/>
              <w:bottom w:val="single" w:sz="4" w:space="0" w:color="auto"/>
              <w:right w:val="single" w:sz="4" w:space="0" w:color="auto"/>
            </w:tcBorders>
            <w:shd w:val="clear" w:color="auto" w:fill="auto"/>
            <w:hideMark/>
          </w:tcPr>
          <w:p w14:paraId="15F85187"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R39. Share information about online services (filing, subsequent transactions, etc) with the aim of identifying common transactions and services that could be made available through APIs to enable interoperability of systems, including systems developed by third party solution providers</w:t>
            </w:r>
          </w:p>
        </w:tc>
        <w:tc>
          <w:tcPr>
            <w:tcW w:w="615" w:type="pct"/>
            <w:tcBorders>
              <w:top w:val="nil"/>
              <w:left w:val="nil"/>
              <w:bottom w:val="single" w:sz="4" w:space="0" w:color="auto"/>
              <w:right w:val="single" w:sz="4" w:space="0" w:color="auto"/>
            </w:tcBorders>
            <w:shd w:val="clear" w:color="auto" w:fill="auto"/>
            <w:hideMark/>
          </w:tcPr>
          <w:p w14:paraId="725C7631"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Group 1</w:t>
            </w:r>
          </w:p>
        </w:tc>
        <w:tc>
          <w:tcPr>
            <w:tcW w:w="975" w:type="pct"/>
            <w:tcBorders>
              <w:top w:val="nil"/>
              <w:left w:val="nil"/>
              <w:bottom w:val="single" w:sz="4" w:space="0" w:color="auto"/>
              <w:right w:val="single" w:sz="4" w:space="0" w:color="auto"/>
            </w:tcBorders>
            <w:shd w:val="clear" w:color="auto" w:fill="auto"/>
            <w:hideMark/>
          </w:tcPr>
          <w:p w14:paraId="602F20F2"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Task No. 56 - API standard</w:t>
            </w:r>
          </w:p>
        </w:tc>
        <w:tc>
          <w:tcPr>
            <w:tcW w:w="1304" w:type="pct"/>
            <w:tcBorders>
              <w:top w:val="nil"/>
              <w:left w:val="nil"/>
              <w:bottom w:val="single" w:sz="4" w:space="0" w:color="auto"/>
              <w:right w:val="single" w:sz="4" w:space="0" w:color="auto"/>
            </w:tcBorders>
            <w:shd w:val="clear" w:color="auto" w:fill="auto"/>
            <w:hideMark/>
          </w:tcPr>
          <w:p w14:paraId="0B0FDA87"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 </w:t>
            </w:r>
          </w:p>
        </w:tc>
      </w:tr>
      <w:tr w:rsidR="002870FA" w:rsidRPr="0005175C" w14:paraId="0E3AEB9C" w14:textId="77777777" w:rsidTr="002870FA">
        <w:trPr>
          <w:cantSplit/>
          <w:trHeight w:val="765"/>
        </w:trPr>
        <w:tc>
          <w:tcPr>
            <w:tcW w:w="2102" w:type="pct"/>
            <w:tcBorders>
              <w:top w:val="nil"/>
              <w:left w:val="single" w:sz="4" w:space="0" w:color="auto"/>
              <w:bottom w:val="single" w:sz="4" w:space="0" w:color="auto"/>
              <w:right w:val="single" w:sz="4" w:space="0" w:color="auto"/>
            </w:tcBorders>
            <w:shd w:val="clear" w:color="auto" w:fill="auto"/>
            <w:hideMark/>
          </w:tcPr>
          <w:p w14:paraId="65E5DC6C"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R40. Explore the possibility of global joint projects to capitalize on common interests and synergy of IPOs</w:t>
            </w:r>
          </w:p>
        </w:tc>
        <w:tc>
          <w:tcPr>
            <w:tcW w:w="615" w:type="pct"/>
            <w:tcBorders>
              <w:top w:val="nil"/>
              <w:left w:val="nil"/>
              <w:bottom w:val="single" w:sz="4" w:space="0" w:color="auto"/>
              <w:right w:val="single" w:sz="4" w:space="0" w:color="auto"/>
            </w:tcBorders>
            <w:shd w:val="clear" w:color="auto" w:fill="auto"/>
            <w:hideMark/>
          </w:tcPr>
          <w:p w14:paraId="3E46064F"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Group 3</w:t>
            </w:r>
          </w:p>
        </w:tc>
        <w:tc>
          <w:tcPr>
            <w:tcW w:w="975" w:type="pct"/>
            <w:tcBorders>
              <w:top w:val="nil"/>
              <w:left w:val="nil"/>
              <w:bottom w:val="single" w:sz="4" w:space="0" w:color="auto"/>
              <w:right w:val="single" w:sz="4" w:space="0" w:color="auto"/>
            </w:tcBorders>
            <w:shd w:val="clear" w:color="auto" w:fill="auto"/>
            <w:hideMark/>
          </w:tcPr>
          <w:p w14:paraId="1F6CCDD5"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 </w:t>
            </w:r>
          </w:p>
        </w:tc>
        <w:tc>
          <w:tcPr>
            <w:tcW w:w="1304" w:type="pct"/>
            <w:tcBorders>
              <w:top w:val="nil"/>
              <w:left w:val="nil"/>
              <w:bottom w:val="single" w:sz="4" w:space="0" w:color="auto"/>
              <w:right w:val="single" w:sz="4" w:space="0" w:color="auto"/>
            </w:tcBorders>
            <w:shd w:val="clear" w:color="auto" w:fill="auto"/>
            <w:hideMark/>
          </w:tcPr>
          <w:p w14:paraId="2C2122A5"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 </w:t>
            </w:r>
          </w:p>
        </w:tc>
      </w:tr>
    </w:tbl>
    <w:p w14:paraId="1BCE3EEA" w14:textId="77777777" w:rsidR="0005175C" w:rsidRPr="0005175C" w:rsidRDefault="0005175C" w:rsidP="0005175C"/>
    <w:p w14:paraId="0C5F1B9F" w14:textId="77777777" w:rsidR="00E91EDB" w:rsidRPr="00184C27" w:rsidRDefault="00E91EDB" w:rsidP="00A74BFA">
      <w:pPr>
        <w:rPr>
          <w:szCs w:val="22"/>
        </w:rPr>
      </w:pPr>
    </w:p>
    <w:p w14:paraId="27A1812D" w14:textId="77777777" w:rsidR="00EA137E" w:rsidRPr="00440C7D" w:rsidRDefault="00EA137E" w:rsidP="00EA137E">
      <w:pPr>
        <w:pStyle w:val="Endofdocument-Annex"/>
        <w:rPr>
          <w:lang w:val="en-GB"/>
        </w:rPr>
      </w:pPr>
      <w:r w:rsidRPr="00440C7D">
        <w:rPr>
          <w:lang w:val="en-GB"/>
        </w:rPr>
        <w:t>[End of Annex and of document]</w:t>
      </w:r>
    </w:p>
    <w:sectPr w:rsidR="00EA137E" w:rsidRPr="00440C7D" w:rsidSect="00F53755">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B0DA1" w14:textId="77777777" w:rsidR="00A831D4" w:rsidRDefault="00A831D4">
      <w:r>
        <w:separator/>
      </w:r>
    </w:p>
  </w:endnote>
  <w:endnote w:type="continuationSeparator" w:id="0">
    <w:p w14:paraId="278546C8" w14:textId="77777777" w:rsidR="00A831D4" w:rsidRDefault="00A831D4" w:rsidP="003B38C1">
      <w:r>
        <w:separator/>
      </w:r>
    </w:p>
    <w:p w14:paraId="3EF940B8" w14:textId="77777777" w:rsidR="00A831D4" w:rsidRPr="003B38C1" w:rsidRDefault="00A831D4" w:rsidP="003B38C1">
      <w:pPr>
        <w:spacing w:after="60"/>
        <w:rPr>
          <w:sz w:val="17"/>
        </w:rPr>
      </w:pPr>
      <w:r>
        <w:rPr>
          <w:sz w:val="17"/>
        </w:rPr>
        <w:t>[Endnote continued from previous page]</w:t>
      </w:r>
    </w:p>
  </w:endnote>
  <w:endnote w:type="continuationNotice" w:id="1">
    <w:p w14:paraId="30BA3143" w14:textId="77777777" w:rsidR="00A831D4" w:rsidRPr="003B38C1" w:rsidRDefault="00A831D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008B2" w14:textId="77777777" w:rsidR="0023427B" w:rsidRDefault="002342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3152E" w14:textId="77777777" w:rsidR="0023427B" w:rsidRDefault="002342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7F350" w14:textId="77777777" w:rsidR="0023427B" w:rsidRDefault="00234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F9D68" w14:textId="77777777" w:rsidR="00A831D4" w:rsidRDefault="00A831D4">
      <w:r>
        <w:separator/>
      </w:r>
    </w:p>
  </w:footnote>
  <w:footnote w:type="continuationSeparator" w:id="0">
    <w:p w14:paraId="4F2E47FC" w14:textId="77777777" w:rsidR="00A831D4" w:rsidRDefault="00A831D4" w:rsidP="008B60B2">
      <w:r>
        <w:separator/>
      </w:r>
    </w:p>
    <w:p w14:paraId="3D8C7833" w14:textId="77777777" w:rsidR="00A831D4" w:rsidRPr="00ED77FB" w:rsidRDefault="00A831D4" w:rsidP="008B60B2">
      <w:pPr>
        <w:spacing w:after="60"/>
        <w:rPr>
          <w:sz w:val="17"/>
          <w:szCs w:val="17"/>
        </w:rPr>
      </w:pPr>
      <w:r w:rsidRPr="00ED77FB">
        <w:rPr>
          <w:sz w:val="17"/>
          <w:szCs w:val="17"/>
        </w:rPr>
        <w:t>[Footnote continued from previous page]</w:t>
      </w:r>
    </w:p>
  </w:footnote>
  <w:footnote w:type="continuationNotice" w:id="1">
    <w:p w14:paraId="0A7C58D6" w14:textId="77777777" w:rsidR="00A831D4" w:rsidRPr="00ED77FB" w:rsidRDefault="00A831D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9BC8D" w14:textId="77777777" w:rsidR="0023427B" w:rsidRDefault="002342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46792" w14:textId="77777777" w:rsidR="002D1209" w:rsidRDefault="002D1209">
    <w:pPr>
      <w:pStyle w:val="Header"/>
      <w:jc w:val="right"/>
    </w:pPr>
    <w:r>
      <w:t>CWS/6/3</w:t>
    </w:r>
  </w:p>
  <w:p w14:paraId="3C4590D3" w14:textId="1C03F080" w:rsidR="002D1209" w:rsidRDefault="0023427B">
    <w:pPr>
      <w:pStyle w:val="Header"/>
      <w:jc w:val="right"/>
    </w:pPr>
    <w:r>
      <w:t xml:space="preserve">Annex, </w:t>
    </w:r>
    <w:r w:rsidR="002D1209">
      <w:t xml:space="preserve">page </w:t>
    </w:r>
    <w:sdt>
      <w:sdtPr>
        <w:id w:val="1758014859"/>
        <w:docPartObj>
          <w:docPartGallery w:val="Page Numbers (Top of Page)"/>
          <w:docPartUnique/>
        </w:docPartObj>
      </w:sdtPr>
      <w:sdtEndPr>
        <w:rPr>
          <w:noProof/>
        </w:rPr>
      </w:sdtEndPr>
      <w:sdtContent>
        <w:r w:rsidR="002D1209">
          <w:fldChar w:fldCharType="begin"/>
        </w:r>
        <w:r w:rsidR="002D1209">
          <w:instrText xml:space="preserve"> PAGE   \* MERGEFORMAT </w:instrText>
        </w:r>
        <w:r w:rsidR="002D1209">
          <w:fldChar w:fldCharType="separate"/>
        </w:r>
        <w:r w:rsidR="00C708C2">
          <w:rPr>
            <w:noProof/>
          </w:rPr>
          <w:t>2</w:t>
        </w:r>
        <w:r w:rsidR="002D1209">
          <w:rPr>
            <w:noProof/>
          </w:rPr>
          <w:fldChar w:fldCharType="end"/>
        </w:r>
      </w:sdtContent>
    </w:sdt>
  </w:p>
  <w:p w14:paraId="0B6D4289" w14:textId="4BD09924" w:rsidR="002D1209" w:rsidRDefault="002D1209" w:rsidP="002D1209">
    <w:pPr>
      <w:pStyle w:val="Header"/>
      <w:jc w:val="right"/>
    </w:pPr>
  </w:p>
  <w:p w14:paraId="1C8FE9F3" w14:textId="77777777" w:rsidR="002D1209" w:rsidRDefault="002D1209" w:rsidP="002D120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EB399" w14:textId="15D30BA7" w:rsidR="006428F3" w:rsidRDefault="006428F3" w:rsidP="006428F3">
    <w:pPr>
      <w:pStyle w:val="Header"/>
      <w:jc w:val="right"/>
      <w:rPr>
        <w:lang w:val="en-GB"/>
      </w:rPr>
    </w:pPr>
    <w:r>
      <w:rPr>
        <w:lang w:val="en-GB"/>
      </w:rPr>
      <w:t>CWS/6/3</w:t>
    </w:r>
  </w:p>
  <w:p w14:paraId="5C72B70B" w14:textId="25190A65" w:rsidR="006428F3" w:rsidRDefault="006428F3" w:rsidP="006428F3">
    <w:pPr>
      <w:pStyle w:val="Header"/>
      <w:jc w:val="right"/>
      <w:rPr>
        <w:lang w:val="en-GB"/>
      </w:rPr>
    </w:pPr>
    <w:r>
      <w:rPr>
        <w:lang w:val="en-GB"/>
      </w:rPr>
      <w:t>ANNEX</w:t>
    </w:r>
  </w:p>
  <w:p w14:paraId="4CB0788B" w14:textId="7736F737" w:rsidR="006428F3" w:rsidRDefault="006428F3" w:rsidP="006428F3">
    <w:pPr>
      <w:pStyle w:val="Header"/>
      <w:jc w:val="right"/>
      <w:rPr>
        <w:lang w:val="en-GB"/>
      </w:rPr>
    </w:pPr>
  </w:p>
  <w:p w14:paraId="12B6DF1D" w14:textId="77777777" w:rsidR="006428F3" w:rsidRPr="006428F3" w:rsidRDefault="006428F3" w:rsidP="006428F3">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277854"/>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 w15:restartNumberingAfterBreak="0">
    <w:nsid w:val="116C7F0F"/>
    <w:multiLevelType w:val="multilevel"/>
    <w:tmpl w:val="D5B2AED6"/>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left"/>
      <w:pPr>
        <w:tabs>
          <w:tab w:val="num" w:pos="1701"/>
        </w:tabs>
        <w:ind w:left="1134" w:firstLine="0"/>
      </w:pPr>
      <w:rPr>
        <w:rFonts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AF01094"/>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3DE441C"/>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15:restartNumberingAfterBreak="0">
    <w:nsid w:val="2D2D5CED"/>
    <w:multiLevelType w:val="hybridMultilevel"/>
    <w:tmpl w:val="6BF4078C"/>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278BB"/>
    <w:multiLevelType w:val="multilevel"/>
    <w:tmpl w:val="92E6FA06"/>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right"/>
      <w:pPr>
        <w:tabs>
          <w:tab w:val="num" w:pos="1701"/>
        </w:tabs>
        <w:ind w:left="1134"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3DD7228F"/>
    <w:multiLevelType w:val="hybridMultilevel"/>
    <w:tmpl w:val="9F82CDB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5812C76"/>
    <w:multiLevelType w:val="hybridMultilevel"/>
    <w:tmpl w:val="BA9A5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A9154D"/>
    <w:multiLevelType w:val="hybridMultilevel"/>
    <w:tmpl w:val="6590B77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15" w15:restartNumberingAfterBreak="0">
    <w:nsid w:val="549F3214"/>
    <w:multiLevelType w:val="hybridMultilevel"/>
    <w:tmpl w:val="B2A052E6"/>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6" w15:restartNumberingAfterBreak="0">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15:restartNumberingAfterBreak="0">
    <w:nsid w:val="65B50DFD"/>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15:restartNumberingAfterBreak="0">
    <w:nsid w:val="6C887D14"/>
    <w:multiLevelType w:val="multilevel"/>
    <w:tmpl w:val="D5B2AED6"/>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left"/>
      <w:pPr>
        <w:tabs>
          <w:tab w:val="num" w:pos="1701"/>
        </w:tabs>
        <w:ind w:left="1134" w:firstLine="0"/>
      </w:pPr>
      <w:rPr>
        <w:rFonts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73C34E91"/>
    <w:multiLevelType w:val="hybridMultilevel"/>
    <w:tmpl w:val="7E608AAC"/>
    <w:lvl w:ilvl="0" w:tplc="1DA24D1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76D52CF3"/>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15:restartNumberingAfterBreak="0">
    <w:nsid w:val="78B47308"/>
    <w:multiLevelType w:val="hybridMultilevel"/>
    <w:tmpl w:val="73F26FF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0"/>
  </w:num>
  <w:num w:numId="4">
    <w:abstractNumId w:val="13"/>
  </w:num>
  <w:num w:numId="5">
    <w:abstractNumId w:val="1"/>
  </w:num>
  <w:num w:numId="6">
    <w:abstractNumId w:val="6"/>
  </w:num>
  <w:num w:numId="7">
    <w:abstractNumId w:val="16"/>
  </w:num>
  <w:num w:numId="8">
    <w:abstractNumId w:val="9"/>
  </w:num>
  <w:num w:numId="9">
    <w:abstractNumId w:val="18"/>
  </w:num>
  <w:num w:numId="10">
    <w:abstractNumId w:val="14"/>
  </w:num>
  <w:num w:numId="11">
    <w:abstractNumId w:val="1"/>
  </w:num>
  <w:num w:numId="12">
    <w:abstractNumId w:val="1"/>
  </w:num>
  <w:num w:numId="13">
    <w:abstractNumId w:val="1"/>
  </w:num>
  <w:num w:numId="14">
    <w:abstractNumId w:val="15"/>
  </w:num>
  <w:num w:numId="15">
    <w:abstractNumId w:val="17"/>
  </w:num>
  <w:num w:numId="16">
    <w:abstractNumId w:val="20"/>
  </w:num>
  <w:num w:numId="17">
    <w:abstractNumId w:val="2"/>
  </w:num>
  <w:num w:numId="18">
    <w:abstractNumId w:val="7"/>
  </w:num>
  <w:num w:numId="19">
    <w:abstractNumId w:val="5"/>
  </w:num>
  <w:num w:numId="20">
    <w:abstractNumId w:val="3"/>
  </w:num>
  <w:num w:numId="21">
    <w:abstractNumId w:val="10"/>
  </w:num>
  <w:num w:numId="22">
    <w:abstractNumId w:val="19"/>
  </w:num>
  <w:num w:numId="23">
    <w:abstractNumId w:val="1"/>
  </w:num>
  <w:num w:numId="24">
    <w:abstractNumId w:val="12"/>
  </w:num>
  <w:num w:numId="25">
    <w:abstractNumId w:val="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1B4"/>
    <w:rsid w:val="000338C4"/>
    <w:rsid w:val="00043503"/>
    <w:rsid w:val="00043CAA"/>
    <w:rsid w:val="0005175C"/>
    <w:rsid w:val="000517DD"/>
    <w:rsid w:val="00053713"/>
    <w:rsid w:val="00054D4F"/>
    <w:rsid w:val="00056FB9"/>
    <w:rsid w:val="00075432"/>
    <w:rsid w:val="0008638A"/>
    <w:rsid w:val="000968ED"/>
    <w:rsid w:val="000A08C3"/>
    <w:rsid w:val="000D4D4E"/>
    <w:rsid w:val="000E39FE"/>
    <w:rsid w:val="000F5E56"/>
    <w:rsid w:val="00124503"/>
    <w:rsid w:val="001362EE"/>
    <w:rsid w:val="0014069E"/>
    <w:rsid w:val="00157944"/>
    <w:rsid w:val="00160526"/>
    <w:rsid w:val="00161BA2"/>
    <w:rsid w:val="001647D5"/>
    <w:rsid w:val="001775AC"/>
    <w:rsid w:val="001832A6"/>
    <w:rsid w:val="00184A78"/>
    <w:rsid w:val="00184C27"/>
    <w:rsid w:val="00192903"/>
    <w:rsid w:val="0019705A"/>
    <w:rsid w:val="001A2699"/>
    <w:rsid w:val="001B3A19"/>
    <w:rsid w:val="001E103A"/>
    <w:rsid w:val="001E3B16"/>
    <w:rsid w:val="001E6537"/>
    <w:rsid w:val="001F2D93"/>
    <w:rsid w:val="001F447E"/>
    <w:rsid w:val="00210005"/>
    <w:rsid w:val="0021217E"/>
    <w:rsid w:val="0023427B"/>
    <w:rsid w:val="00236ABF"/>
    <w:rsid w:val="002634C4"/>
    <w:rsid w:val="00263F42"/>
    <w:rsid w:val="00271285"/>
    <w:rsid w:val="00272E13"/>
    <w:rsid w:val="002870FA"/>
    <w:rsid w:val="002928D3"/>
    <w:rsid w:val="002C0E29"/>
    <w:rsid w:val="002C41B4"/>
    <w:rsid w:val="002C72BA"/>
    <w:rsid w:val="002D1209"/>
    <w:rsid w:val="002F1FE6"/>
    <w:rsid w:val="002F4E68"/>
    <w:rsid w:val="00312F7F"/>
    <w:rsid w:val="003169B6"/>
    <w:rsid w:val="003304C2"/>
    <w:rsid w:val="00332A65"/>
    <w:rsid w:val="003379E2"/>
    <w:rsid w:val="00361450"/>
    <w:rsid w:val="00362156"/>
    <w:rsid w:val="003673CF"/>
    <w:rsid w:val="003845C1"/>
    <w:rsid w:val="003A6F89"/>
    <w:rsid w:val="003B2D40"/>
    <w:rsid w:val="003B38C1"/>
    <w:rsid w:val="003C4471"/>
    <w:rsid w:val="003D7EB4"/>
    <w:rsid w:val="00423E3E"/>
    <w:rsid w:val="00427AF4"/>
    <w:rsid w:val="00437662"/>
    <w:rsid w:val="00441D88"/>
    <w:rsid w:val="00447D80"/>
    <w:rsid w:val="00455100"/>
    <w:rsid w:val="00456F68"/>
    <w:rsid w:val="004647DA"/>
    <w:rsid w:val="004676EC"/>
    <w:rsid w:val="00474062"/>
    <w:rsid w:val="00477D6B"/>
    <w:rsid w:val="004819F1"/>
    <w:rsid w:val="004A0B4E"/>
    <w:rsid w:val="004A476F"/>
    <w:rsid w:val="004B414D"/>
    <w:rsid w:val="004C012F"/>
    <w:rsid w:val="004E6BD5"/>
    <w:rsid w:val="004F30C9"/>
    <w:rsid w:val="005019FF"/>
    <w:rsid w:val="005076B2"/>
    <w:rsid w:val="00507F98"/>
    <w:rsid w:val="005149C4"/>
    <w:rsid w:val="00524CAC"/>
    <w:rsid w:val="0053057A"/>
    <w:rsid w:val="00560A29"/>
    <w:rsid w:val="00562E45"/>
    <w:rsid w:val="0057116D"/>
    <w:rsid w:val="00576076"/>
    <w:rsid w:val="00582AD1"/>
    <w:rsid w:val="00590E83"/>
    <w:rsid w:val="00596EE4"/>
    <w:rsid w:val="005A082C"/>
    <w:rsid w:val="005C6649"/>
    <w:rsid w:val="005C6F68"/>
    <w:rsid w:val="005D2EC4"/>
    <w:rsid w:val="00605827"/>
    <w:rsid w:val="00615D53"/>
    <w:rsid w:val="006201A5"/>
    <w:rsid w:val="00624A21"/>
    <w:rsid w:val="006428F3"/>
    <w:rsid w:val="00642B4D"/>
    <w:rsid w:val="00646050"/>
    <w:rsid w:val="00655BA5"/>
    <w:rsid w:val="0066417E"/>
    <w:rsid w:val="00666786"/>
    <w:rsid w:val="006713CA"/>
    <w:rsid w:val="00676C5C"/>
    <w:rsid w:val="00693951"/>
    <w:rsid w:val="006B768F"/>
    <w:rsid w:val="006D3E92"/>
    <w:rsid w:val="006D43C8"/>
    <w:rsid w:val="006D6DF6"/>
    <w:rsid w:val="006E448A"/>
    <w:rsid w:val="006E4B1B"/>
    <w:rsid w:val="006E7E60"/>
    <w:rsid w:val="007226C9"/>
    <w:rsid w:val="007252C6"/>
    <w:rsid w:val="007353A3"/>
    <w:rsid w:val="00760A6D"/>
    <w:rsid w:val="00790C8B"/>
    <w:rsid w:val="007B6DB6"/>
    <w:rsid w:val="007C5B61"/>
    <w:rsid w:val="007C7390"/>
    <w:rsid w:val="007D1613"/>
    <w:rsid w:val="007D2AF0"/>
    <w:rsid w:val="007E4C0E"/>
    <w:rsid w:val="007F7A27"/>
    <w:rsid w:val="00812B47"/>
    <w:rsid w:val="008138C7"/>
    <w:rsid w:val="00835BC8"/>
    <w:rsid w:val="00842651"/>
    <w:rsid w:val="0084453C"/>
    <w:rsid w:val="0084496E"/>
    <w:rsid w:val="008504D8"/>
    <w:rsid w:val="008606AA"/>
    <w:rsid w:val="00864F25"/>
    <w:rsid w:val="00875B30"/>
    <w:rsid w:val="008B2CC1"/>
    <w:rsid w:val="008B60B2"/>
    <w:rsid w:val="008B66FE"/>
    <w:rsid w:val="0090731E"/>
    <w:rsid w:val="00916EE2"/>
    <w:rsid w:val="00927544"/>
    <w:rsid w:val="0093689C"/>
    <w:rsid w:val="00943771"/>
    <w:rsid w:val="00951C8F"/>
    <w:rsid w:val="00952214"/>
    <w:rsid w:val="00966536"/>
    <w:rsid w:val="00966A22"/>
    <w:rsid w:val="0096722F"/>
    <w:rsid w:val="009724CC"/>
    <w:rsid w:val="00980843"/>
    <w:rsid w:val="009A045E"/>
    <w:rsid w:val="009A572F"/>
    <w:rsid w:val="009B1DDA"/>
    <w:rsid w:val="009B29B0"/>
    <w:rsid w:val="009E2791"/>
    <w:rsid w:val="009E3F6F"/>
    <w:rsid w:val="009F499F"/>
    <w:rsid w:val="00A024A5"/>
    <w:rsid w:val="00A17968"/>
    <w:rsid w:val="00A42DAF"/>
    <w:rsid w:val="00A45BD8"/>
    <w:rsid w:val="00A618E1"/>
    <w:rsid w:val="00A66712"/>
    <w:rsid w:val="00A74BFA"/>
    <w:rsid w:val="00A831D4"/>
    <w:rsid w:val="00A869B7"/>
    <w:rsid w:val="00A925C4"/>
    <w:rsid w:val="00AA25BE"/>
    <w:rsid w:val="00AC205C"/>
    <w:rsid w:val="00AE0B17"/>
    <w:rsid w:val="00AE0E7A"/>
    <w:rsid w:val="00AF0A6B"/>
    <w:rsid w:val="00B01337"/>
    <w:rsid w:val="00B05A69"/>
    <w:rsid w:val="00B57F73"/>
    <w:rsid w:val="00B6308A"/>
    <w:rsid w:val="00B9734B"/>
    <w:rsid w:val="00BA0EE0"/>
    <w:rsid w:val="00BA30E2"/>
    <w:rsid w:val="00BD10B7"/>
    <w:rsid w:val="00BD4002"/>
    <w:rsid w:val="00BF1443"/>
    <w:rsid w:val="00BF2417"/>
    <w:rsid w:val="00C11BFE"/>
    <w:rsid w:val="00C17C4C"/>
    <w:rsid w:val="00C23A27"/>
    <w:rsid w:val="00C5068F"/>
    <w:rsid w:val="00C64774"/>
    <w:rsid w:val="00C66B38"/>
    <w:rsid w:val="00C708C2"/>
    <w:rsid w:val="00C73370"/>
    <w:rsid w:val="00C8405E"/>
    <w:rsid w:val="00C86D74"/>
    <w:rsid w:val="00C91957"/>
    <w:rsid w:val="00CC3D12"/>
    <w:rsid w:val="00CD04F1"/>
    <w:rsid w:val="00CE629D"/>
    <w:rsid w:val="00CF0AB2"/>
    <w:rsid w:val="00D04957"/>
    <w:rsid w:val="00D33424"/>
    <w:rsid w:val="00D45252"/>
    <w:rsid w:val="00D631F3"/>
    <w:rsid w:val="00D66C1D"/>
    <w:rsid w:val="00D71B4D"/>
    <w:rsid w:val="00D830F1"/>
    <w:rsid w:val="00D93D55"/>
    <w:rsid w:val="00DA42B5"/>
    <w:rsid w:val="00DC6B39"/>
    <w:rsid w:val="00DD0FBF"/>
    <w:rsid w:val="00DE7F0A"/>
    <w:rsid w:val="00E072AE"/>
    <w:rsid w:val="00E1036A"/>
    <w:rsid w:val="00E15015"/>
    <w:rsid w:val="00E251D8"/>
    <w:rsid w:val="00E335FE"/>
    <w:rsid w:val="00E5578A"/>
    <w:rsid w:val="00E624BC"/>
    <w:rsid w:val="00E7076C"/>
    <w:rsid w:val="00E91EDB"/>
    <w:rsid w:val="00EA137E"/>
    <w:rsid w:val="00EC4E49"/>
    <w:rsid w:val="00EC7635"/>
    <w:rsid w:val="00ED77FB"/>
    <w:rsid w:val="00EE45FA"/>
    <w:rsid w:val="00F40F28"/>
    <w:rsid w:val="00F53755"/>
    <w:rsid w:val="00F617DC"/>
    <w:rsid w:val="00F66152"/>
    <w:rsid w:val="00F727E6"/>
    <w:rsid w:val="00F7384F"/>
    <w:rsid w:val="00F80F26"/>
    <w:rsid w:val="00F9616D"/>
    <w:rsid w:val="00F974DF"/>
    <w:rsid w:val="00FA153F"/>
    <w:rsid w:val="00FB6F49"/>
    <w:rsid w:val="00FC5E6D"/>
    <w:rsid w:val="00FD2015"/>
    <w:rsid w:val="00FF28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07EE8DE"/>
  <w15:docId w15:val="{3223CA1A-2319-4441-9AFE-596080C51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41B4"/>
    <w:rPr>
      <w:rFonts w:ascii="Tahoma" w:hAnsi="Tahoma" w:cs="Tahoma"/>
      <w:sz w:val="16"/>
      <w:szCs w:val="16"/>
    </w:rPr>
  </w:style>
  <w:style w:type="character" w:customStyle="1" w:styleId="BalloonTextChar">
    <w:name w:val="Balloon Text Char"/>
    <w:basedOn w:val="DefaultParagraphFont"/>
    <w:link w:val="BalloonText"/>
    <w:rsid w:val="002C41B4"/>
    <w:rPr>
      <w:rFonts w:ascii="Tahoma" w:eastAsia="SimSun" w:hAnsi="Tahoma" w:cs="Tahoma"/>
      <w:sz w:val="16"/>
      <w:szCs w:val="16"/>
      <w:lang w:eastAsia="zh-CN"/>
    </w:rPr>
  </w:style>
  <w:style w:type="paragraph" w:customStyle="1" w:styleId="OHIMTEXT">
    <w:name w:val="OHIM TEXT"/>
    <w:basedOn w:val="Normal"/>
    <w:link w:val="OHIMTEXTChar"/>
    <w:qFormat/>
    <w:rsid w:val="00596EE4"/>
    <w:pPr>
      <w:jc w:val="both"/>
    </w:pPr>
    <w:rPr>
      <w:rFonts w:eastAsia="Times New Roman"/>
      <w:color w:val="404040" w:themeColor="text1" w:themeTint="BF"/>
      <w:szCs w:val="26"/>
      <w:lang w:val="en-GB" w:eastAsia="en-IE"/>
    </w:rPr>
  </w:style>
  <w:style w:type="character" w:customStyle="1" w:styleId="OHIMTEXTChar">
    <w:name w:val="OHIM TEXT Char"/>
    <w:basedOn w:val="DefaultParagraphFont"/>
    <w:link w:val="OHIMTEXT"/>
    <w:rsid w:val="00596EE4"/>
    <w:rPr>
      <w:rFonts w:ascii="Arial" w:hAnsi="Arial" w:cs="Arial"/>
      <w:color w:val="404040" w:themeColor="text1" w:themeTint="BF"/>
      <w:sz w:val="22"/>
      <w:szCs w:val="26"/>
      <w:lang w:val="en-GB" w:eastAsia="en-IE"/>
    </w:rPr>
  </w:style>
  <w:style w:type="character" w:styleId="Hyperlink">
    <w:name w:val="Hyperlink"/>
    <w:uiPriority w:val="99"/>
    <w:unhideWhenUsed/>
    <w:rsid w:val="00596EE4"/>
    <w:rPr>
      <w:color w:val="0000FF"/>
      <w:u w:val="single"/>
    </w:rPr>
  </w:style>
  <w:style w:type="character" w:customStyle="1" w:styleId="FootnoteTextChar">
    <w:name w:val="Footnote Text Char"/>
    <w:basedOn w:val="DefaultParagraphFont"/>
    <w:link w:val="FootnoteText"/>
    <w:uiPriority w:val="99"/>
    <w:semiHidden/>
    <w:rsid w:val="00596EE4"/>
    <w:rPr>
      <w:rFonts w:ascii="Arial" w:eastAsia="SimSun" w:hAnsi="Arial" w:cs="Arial"/>
      <w:sz w:val="18"/>
      <w:lang w:eastAsia="zh-CN"/>
    </w:rPr>
  </w:style>
  <w:style w:type="character" w:styleId="FootnoteReference">
    <w:name w:val="footnote reference"/>
    <w:basedOn w:val="DefaultParagraphFont"/>
    <w:uiPriority w:val="99"/>
    <w:unhideWhenUsed/>
    <w:rsid w:val="00596EE4"/>
    <w:rPr>
      <w:vertAlign w:val="superscript"/>
    </w:rPr>
  </w:style>
  <w:style w:type="paragraph" w:customStyle="1" w:styleId="TownDate">
    <w:name w:val="Town Date"/>
    <w:basedOn w:val="Normal"/>
    <w:link w:val="TownDateChar"/>
    <w:qFormat/>
    <w:rsid w:val="00596EE4"/>
    <w:pPr>
      <w:widowControl w:val="0"/>
      <w:spacing w:line="240" w:lineRule="atLeast"/>
      <w:ind w:right="95"/>
      <w:jc w:val="right"/>
    </w:pPr>
    <w:rPr>
      <w:rFonts w:eastAsia="Times New Roman"/>
      <w:color w:val="595959" w:themeColor="text1" w:themeTint="A6"/>
      <w:szCs w:val="22"/>
      <w:lang w:val="en-IE" w:eastAsia="en-US"/>
    </w:rPr>
  </w:style>
  <w:style w:type="character" w:customStyle="1" w:styleId="TownDateChar">
    <w:name w:val="Town Date Char"/>
    <w:basedOn w:val="DefaultParagraphFont"/>
    <w:link w:val="TownDate"/>
    <w:rsid w:val="00596EE4"/>
    <w:rPr>
      <w:rFonts w:ascii="Arial" w:hAnsi="Arial" w:cs="Arial"/>
      <w:color w:val="595959" w:themeColor="text1" w:themeTint="A6"/>
      <w:sz w:val="22"/>
      <w:szCs w:val="22"/>
      <w:lang w:val="en-IE"/>
    </w:rPr>
  </w:style>
  <w:style w:type="paragraph" w:customStyle="1" w:styleId="Refnumber">
    <w:name w:val="Ref number"/>
    <w:basedOn w:val="Normal"/>
    <w:link w:val="RefnumberChar"/>
    <w:qFormat/>
    <w:rsid w:val="00596EE4"/>
    <w:pPr>
      <w:widowControl w:val="0"/>
      <w:spacing w:line="240" w:lineRule="atLeast"/>
      <w:ind w:right="95"/>
      <w:jc w:val="right"/>
    </w:pPr>
    <w:rPr>
      <w:rFonts w:eastAsia="Times New Roman"/>
      <w:color w:val="595959" w:themeColor="text1" w:themeTint="A6"/>
      <w:sz w:val="18"/>
      <w:szCs w:val="18"/>
      <w:lang w:val="en-GB" w:eastAsia="en-US"/>
    </w:rPr>
  </w:style>
  <w:style w:type="character" w:customStyle="1" w:styleId="RefnumberChar">
    <w:name w:val="Ref number Char"/>
    <w:basedOn w:val="DefaultParagraphFont"/>
    <w:link w:val="Refnumber"/>
    <w:rsid w:val="00596EE4"/>
    <w:rPr>
      <w:rFonts w:ascii="Arial" w:hAnsi="Arial" w:cs="Arial"/>
      <w:color w:val="595959" w:themeColor="text1" w:themeTint="A6"/>
      <w:sz w:val="18"/>
      <w:szCs w:val="18"/>
      <w:lang w:val="en-GB"/>
    </w:rPr>
  </w:style>
  <w:style w:type="character" w:customStyle="1" w:styleId="ONUMEChar">
    <w:name w:val="ONUM E Char"/>
    <w:link w:val="ONUME"/>
    <w:rsid w:val="00596EE4"/>
    <w:rPr>
      <w:rFonts w:ascii="Arial" w:eastAsia="SimSun" w:hAnsi="Arial" w:cs="Arial"/>
      <w:sz w:val="22"/>
      <w:lang w:eastAsia="zh-CN"/>
    </w:rPr>
  </w:style>
  <w:style w:type="paragraph" w:customStyle="1" w:styleId="H3-Decision">
    <w:name w:val="H3-Decision"/>
    <w:basedOn w:val="Heading3"/>
    <w:link w:val="H3-DecisionChar"/>
    <w:rsid w:val="00596EE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596EE4"/>
    <w:rPr>
      <w:i/>
      <w:sz w:val="24"/>
      <w:szCs w:val="24"/>
      <w:lang w:eastAsia="zh-CN"/>
    </w:rPr>
  </w:style>
  <w:style w:type="paragraph" w:customStyle="1" w:styleId="Indent1">
    <w:name w:val="Indent 1"/>
    <w:basedOn w:val="Normal"/>
    <w:rsid w:val="00596EE4"/>
    <w:pPr>
      <w:spacing w:after="120" w:line="260" w:lineRule="atLeast"/>
      <w:ind w:left="2268" w:hanging="567"/>
    </w:pPr>
    <w:rPr>
      <w:rFonts w:eastAsia="Times New Roman" w:cs="Times New Roman"/>
      <w:sz w:val="20"/>
      <w:lang w:eastAsia="en-US"/>
    </w:rPr>
  </w:style>
  <w:style w:type="character" w:customStyle="1" w:styleId="HeaderChar">
    <w:name w:val="Header Char"/>
    <w:basedOn w:val="DefaultParagraphFont"/>
    <w:link w:val="Header"/>
    <w:uiPriority w:val="99"/>
    <w:rsid w:val="00EA137E"/>
    <w:rPr>
      <w:rFonts w:ascii="Arial" w:eastAsia="SimSun" w:hAnsi="Arial" w:cs="Arial"/>
      <w:sz w:val="22"/>
      <w:lang w:eastAsia="zh-CN"/>
    </w:rPr>
  </w:style>
  <w:style w:type="character" w:customStyle="1" w:styleId="NormalBold2">
    <w:name w:val="Normal Bold2"/>
    <w:uiPriority w:val="1"/>
    <w:qFormat/>
    <w:rsid w:val="00272E13"/>
    <w:rPr>
      <w:rFonts w:ascii="Arial" w:hAnsi="Arial" w:cs="Arial"/>
      <w:b/>
      <w:color w:val="1D252C"/>
      <w:sz w:val="20"/>
    </w:rPr>
  </w:style>
  <w:style w:type="paragraph" w:styleId="ListParagraph">
    <w:name w:val="List Paragraph"/>
    <w:basedOn w:val="Normal"/>
    <w:uiPriority w:val="34"/>
    <w:qFormat/>
    <w:rsid w:val="00272E13"/>
    <w:pPr>
      <w:ind w:left="720"/>
      <w:contextualSpacing/>
    </w:pPr>
  </w:style>
  <w:style w:type="character" w:styleId="FollowedHyperlink">
    <w:name w:val="FollowedHyperlink"/>
    <w:basedOn w:val="DefaultParagraphFont"/>
    <w:semiHidden/>
    <w:unhideWhenUsed/>
    <w:rsid w:val="00966536"/>
    <w:rPr>
      <w:color w:val="800080" w:themeColor="followedHyperlink"/>
      <w:u w:val="single"/>
    </w:rPr>
  </w:style>
  <w:style w:type="character" w:customStyle="1" w:styleId="BodyTextChar">
    <w:name w:val="Body Text Char"/>
    <w:basedOn w:val="DefaultParagraphFont"/>
    <w:link w:val="BodyText"/>
    <w:rsid w:val="00966536"/>
    <w:rPr>
      <w:rFonts w:ascii="Arial" w:eastAsia="SimSun" w:hAnsi="Arial" w:cs="Arial"/>
      <w:sz w:val="22"/>
      <w:lang w:eastAsia="zh-CN"/>
    </w:rPr>
  </w:style>
  <w:style w:type="character" w:styleId="CommentReference">
    <w:name w:val="annotation reference"/>
    <w:basedOn w:val="DefaultParagraphFont"/>
    <w:semiHidden/>
    <w:unhideWhenUsed/>
    <w:rsid w:val="00576076"/>
    <w:rPr>
      <w:sz w:val="16"/>
      <w:szCs w:val="16"/>
    </w:rPr>
  </w:style>
  <w:style w:type="paragraph" w:styleId="CommentSubject">
    <w:name w:val="annotation subject"/>
    <w:basedOn w:val="CommentText"/>
    <w:next w:val="CommentText"/>
    <w:link w:val="CommentSubjectChar"/>
    <w:semiHidden/>
    <w:unhideWhenUsed/>
    <w:rsid w:val="00576076"/>
    <w:rPr>
      <w:b/>
      <w:bCs/>
      <w:sz w:val="20"/>
    </w:rPr>
  </w:style>
  <w:style w:type="character" w:customStyle="1" w:styleId="CommentTextChar">
    <w:name w:val="Comment Text Char"/>
    <w:basedOn w:val="DefaultParagraphFont"/>
    <w:link w:val="CommentText"/>
    <w:semiHidden/>
    <w:rsid w:val="00576076"/>
    <w:rPr>
      <w:rFonts w:ascii="Arial" w:eastAsia="SimSun" w:hAnsi="Arial" w:cs="Arial"/>
      <w:sz w:val="18"/>
      <w:lang w:eastAsia="zh-CN"/>
    </w:rPr>
  </w:style>
  <w:style w:type="character" w:customStyle="1" w:styleId="CommentSubjectChar">
    <w:name w:val="Comment Subject Char"/>
    <w:basedOn w:val="CommentTextChar"/>
    <w:link w:val="CommentSubject"/>
    <w:semiHidden/>
    <w:rsid w:val="00576076"/>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487094">
      <w:bodyDiv w:val="1"/>
      <w:marLeft w:val="0"/>
      <w:marRight w:val="0"/>
      <w:marTop w:val="0"/>
      <w:marBottom w:val="0"/>
      <w:divBdr>
        <w:top w:val="none" w:sz="0" w:space="0" w:color="auto"/>
        <w:left w:val="none" w:sz="0" w:space="0" w:color="auto"/>
        <w:bottom w:val="none" w:sz="0" w:space="0" w:color="auto"/>
        <w:right w:val="none" w:sz="0" w:space="0" w:color="auto"/>
      </w:divBdr>
    </w:div>
    <w:div w:id="166064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992B3-AAF1-4D6F-8855-13FAF309D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2231</Words>
  <Characters>12399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CWS/6/18 Annex  (in English)</vt:lpstr>
    </vt:vector>
  </TitlesOfParts>
  <Company>WIPO</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CWS/6/3 Annex  (in English)</dc:title>
  <dc:subject>40 RECOMMENDATIONS AND CWS ACTIVITIES </dc:subject>
  <dc:creator>WIPO</dc:creator>
  <cp:keywords>CWS</cp:keywords>
  <cp:lastModifiedBy>DRAKE Sophie</cp:lastModifiedBy>
  <cp:revision>25</cp:revision>
  <cp:lastPrinted>2018-09-12T14:37:00Z</cp:lastPrinted>
  <dcterms:created xsi:type="dcterms:W3CDTF">2018-09-13T09:03:00Z</dcterms:created>
  <dcterms:modified xsi:type="dcterms:W3CDTF">2018-10-02T11:19:00Z</dcterms:modified>
  <cp:category>CWS (in English)</cp:category>
</cp:coreProperties>
</file>