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78CC2672" wp14:editId="4AEBC917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="00C406B9">
              <w:rPr>
                <w:rFonts w:ascii="Arial Black" w:hAnsi="Arial Black"/>
                <w:caps/>
                <w:sz w:val="15"/>
              </w:rPr>
              <w:t>28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C406B9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C406B9"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745428">
              <w:rPr>
                <w:rFonts w:ascii="Arial Black" w:hAnsi="Arial Black"/>
                <w:caps/>
                <w:sz w:val="15"/>
              </w:rPr>
              <w:t>8</w:t>
            </w:r>
            <w:r w:rsidR="00C406B9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 Session</w:t>
      </w:r>
    </w:p>
    <w:p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15 to 19,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406B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 ON TASK NO.57 BY THE DESIGN REPRESENTATION TASK FORCE</w:t>
      </w:r>
    </w:p>
    <w:p w:rsidR="008B2CC1" w:rsidRDefault="008B2CC1" w:rsidP="008B2CC1"/>
    <w:p w:rsidR="007D3FA3" w:rsidRDefault="00C406B9" w:rsidP="008B2CC1">
      <w:pPr>
        <w:rPr>
          <w:i/>
        </w:rPr>
      </w:pPr>
      <w:bookmarkStart w:id="5" w:name="Prepared"/>
      <w:bookmarkEnd w:id="5"/>
      <w:r>
        <w:rPr>
          <w:i/>
        </w:rPr>
        <w:t>D</w:t>
      </w:r>
      <w:r w:rsidR="007D3FA3">
        <w:rPr>
          <w:i/>
        </w:rPr>
        <w:t xml:space="preserve">ocument prepared by the </w:t>
      </w:r>
      <w:r w:rsidR="0053010C">
        <w:rPr>
          <w:i/>
        </w:rPr>
        <w:t>Design Representation Task Force</w:t>
      </w:r>
      <w:r w:rsidR="00900A72">
        <w:rPr>
          <w:i/>
        </w:rPr>
        <w:t xml:space="preserve"> </w:t>
      </w:r>
    </w:p>
    <w:p w:rsidR="00900A72" w:rsidRDefault="00900A72" w:rsidP="00065569"/>
    <w:p w:rsidR="00595195" w:rsidRDefault="00595195" w:rsidP="00065569"/>
    <w:p w:rsidR="00595195" w:rsidRDefault="00595195" w:rsidP="00065569"/>
    <w:p w:rsidR="00595195" w:rsidRDefault="00595195" w:rsidP="00065569"/>
    <w:p w:rsidR="00595195" w:rsidRPr="006E5628" w:rsidRDefault="00595195" w:rsidP="00065569"/>
    <w:p w:rsidR="006E5628" w:rsidRDefault="00900A72" w:rsidP="006E5628">
      <w:pPr>
        <w:pStyle w:val="Heading2"/>
      </w:pPr>
      <w:r>
        <w:rPr>
          <w:caps w:val="0"/>
        </w:rPr>
        <w:t>BACKGROUND</w:t>
      </w:r>
    </w:p>
    <w:p w:rsidR="008B7421" w:rsidRDefault="006E5628" w:rsidP="008B742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3010C">
        <w:t>The Committee on WIPO Standards (CWS) at its fifth session</w:t>
      </w:r>
      <w:r w:rsidR="00443256">
        <w:t xml:space="preserve"> held in Geneva from May 29 to June 2, 2017</w:t>
      </w:r>
      <w:r w:rsidR="0053010C">
        <w:t xml:space="preserve">, </w:t>
      </w:r>
      <w:r w:rsidR="00443256">
        <w:t xml:space="preserve">created </w:t>
      </w:r>
      <w:r>
        <w:t>Task No. 57</w:t>
      </w:r>
      <w:r w:rsidR="00443256">
        <w:t xml:space="preserve"> to</w:t>
      </w:r>
      <w:r w:rsidR="00A033D9">
        <w:t xml:space="preserve"> </w:t>
      </w:r>
      <w:r>
        <w:t>“</w:t>
      </w:r>
      <w:r w:rsidRPr="007443C6">
        <w:t>Collect information about the requirements from industrial property offices and customers; and prepare recommendations for electronic visual representations of designs</w:t>
      </w:r>
      <w:r>
        <w:t>”</w:t>
      </w:r>
      <w:r w:rsidR="0053010C">
        <w:t xml:space="preserve"> </w:t>
      </w:r>
      <w:r w:rsidR="008B7421">
        <w:t>(</w:t>
      </w:r>
      <w:r w:rsidR="00443256">
        <w:t>s</w:t>
      </w:r>
      <w:r w:rsidR="008B7421" w:rsidRPr="00BA323C">
        <w:t>ee paragraph 10</w:t>
      </w:r>
      <w:r w:rsidR="008B7421">
        <w:t>3</w:t>
      </w:r>
      <w:r w:rsidR="008B7421" w:rsidRPr="00BA323C">
        <w:t xml:space="preserve"> of document CWS/5/22)</w:t>
      </w:r>
      <w:r w:rsidR="00443256">
        <w:t>.</w:t>
      </w:r>
    </w:p>
    <w:p w:rsidR="006E5628" w:rsidRDefault="006E5628" w:rsidP="006E5628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3010C">
        <w:t>The CWS also established the Design Representation Task Force (DRTF)</w:t>
      </w:r>
      <w:r w:rsidR="00443256">
        <w:t xml:space="preserve"> to carry out the Task</w:t>
      </w:r>
      <w:r w:rsidR="0053010C">
        <w:t xml:space="preserve">, and </w:t>
      </w:r>
      <w:r w:rsidRPr="00BA323C">
        <w:t>IP Australia and the International Bureau were designated</w:t>
      </w:r>
      <w:r>
        <w:t xml:space="preserve"> as co-leaders of the DRTF </w:t>
      </w:r>
      <w:r w:rsidRPr="00BA323C">
        <w:t>(</w:t>
      </w:r>
      <w:r w:rsidR="00443256">
        <w:t>s</w:t>
      </w:r>
      <w:r w:rsidRPr="00BA323C">
        <w:t>ee paragraph 104 of document CWS/5/22)</w:t>
      </w:r>
      <w:r w:rsidR="00443256">
        <w:t>.</w:t>
      </w:r>
    </w:p>
    <w:p w:rsidR="006E5628" w:rsidRDefault="00572F59" w:rsidP="00493F1A">
      <w:pPr>
        <w:pStyle w:val="Heading2"/>
      </w:pPr>
      <w:r>
        <w:rPr>
          <w:caps w:val="0"/>
        </w:rPr>
        <w:t>PROGRESS REPORT</w:t>
      </w:r>
    </w:p>
    <w:p w:rsidR="00540FFE" w:rsidRDefault="006E5628" w:rsidP="009159D4">
      <w:pPr>
        <w:sectPr w:rsidR="00540FFE" w:rsidSect="00540FFE">
          <w:headerReference w:type="default" r:id="rId10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Following the above-mentioned decision by the CWS/5, representatives of 11 IP offices and the International Bureau were nominated to participate in the Task Force</w:t>
      </w:r>
      <w:r w:rsidR="007201E0">
        <w:t>.  T</w:t>
      </w:r>
      <w:r>
        <w:t>his was in response to the invitation sent by the International Bureau in Circular C. CWS 87 of August 16, 2017</w:t>
      </w:r>
      <w:r w:rsidR="007201E0">
        <w:t>.  A</w:t>
      </w:r>
      <w:r>
        <w:t xml:space="preserve"> Wiki forum was established on the WIPO Wiki for the Task Force discussions.</w:t>
      </w:r>
    </w:p>
    <w:p w:rsidR="00827663" w:rsidRDefault="006E5628" w:rsidP="00827663">
      <w:pPr>
        <w:pStyle w:val="ONUME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The Task Force discussed and created a Table of Contents (</w:t>
      </w:r>
      <w:proofErr w:type="spellStart"/>
      <w:r>
        <w:t>ToC</w:t>
      </w:r>
      <w:proofErr w:type="spellEnd"/>
      <w:r>
        <w:t xml:space="preserve">) for the </w:t>
      </w:r>
      <w:r w:rsidR="00443256">
        <w:t xml:space="preserve">new </w:t>
      </w:r>
      <w:r>
        <w:t xml:space="preserve">WIPO </w:t>
      </w:r>
      <w:r w:rsidR="00443256">
        <w:t>s</w:t>
      </w:r>
      <w:r>
        <w:t xml:space="preserve">tandard on the </w:t>
      </w:r>
      <w:r w:rsidRPr="008B6100">
        <w:t>recommendations for the electr</w:t>
      </w:r>
      <w:r>
        <w:t>onic representation of industrial designs</w:t>
      </w:r>
      <w:r w:rsidR="007201E0">
        <w:t>.  T</w:t>
      </w:r>
      <w:r>
        <w:t xml:space="preserve">he Task Force agreed that the </w:t>
      </w:r>
      <w:proofErr w:type="spellStart"/>
      <w:r>
        <w:t>ToC</w:t>
      </w:r>
      <w:proofErr w:type="spellEnd"/>
      <w:r>
        <w:t xml:space="preserve"> will be further developed into a full WIPO standard after a survey of the current IP offices’ practice has been conducted.</w:t>
      </w:r>
    </w:p>
    <w:p w:rsidR="006E5628" w:rsidRDefault="006E5628" w:rsidP="006E5628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order to conduct a survey of </w:t>
      </w:r>
      <w:r w:rsidRPr="00F82247">
        <w:t xml:space="preserve">the requirements from </w:t>
      </w:r>
      <w:r>
        <w:t>IP</w:t>
      </w:r>
      <w:r w:rsidRPr="00F82247">
        <w:t xml:space="preserve"> offices and customers</w:t>
      </w:r>
      <w:r>
        <w:t>, the Task Force discussed and agreed on the “Questionnaire on the E</w:t>
      </w:r>
      <w:r w:rsidRPr="006E6A79">
        <w:t xml:space="preserve">lectronic </w:t>
      </w:r>
      <w:r>
        <w:t>R</w:t>
      </w:r>
      <w:r w:rsidRPr="006E6A79">
        <w:t xml:space="preserve">epresentations of </w:t>
      </w:r>
      <w:r>
        <w:t>D</w:t>
      </w:r>
      <w:r w:rsidRPr="006E6A79">
        <w:t>esigns</w:t>
      </w:r>
      <w:r>
        <w:t>” (</w:t>
      </w:r>
      <w:r w:rsidR="00443256">
        <w:t>s</w:t>
      </w:r>
      <w:r>
        <w:t>ee document CWS/6/29).</w:t>
      </w:r>
    </w:p>
    <w:p w:rsidR="006E5628" w:rsidRDefault="006E5628" w:rsidP="006E5628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order to </w:t>
      </w:r>
      <w:r w:rsidRPr="006A16AE">
        <w:t xml:space="preserve">prepare recommendations for electronic visual representations of </w:t>
      </w:r>
      <w:r>
        <w:t xml:space="preserve">industrial </w:t>
      </w:r>
      <w:r w:rsidRPr="006A16AE">
        <w:t>designs</w:t>
      </w:r>
      <w:r>
        <w:t>,</w:t>
      </w:r>
      <w:r w:rsidRPr="006A16AE">
        <w:t xml:space="preserve"> </w:t>
      </w:r>
      <w:r>
        <w:t>the Task Force discussed the objective and scope of the to-be-developed WIPO standard</w:t>
      </w:r>
      <w:r w:rsidR="007201E0">
        <w:t>.  T</w:t>
      </w:r>
      <w:r>
        <w:t>he Task Force agreed on the following objectives:</w:t>
      </w:r>
    </w:p>
    <w:p w:rsidR="006E5628" w:rsidRPr="003F7382" w:rsidRDefault="006E5628" w:rsidP="003F7382">
      <w:pPr>
        <w:numPr>
          <w:ilvl w:val="0"/>
          <w:numId w:val="10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3F7382">
        <w:rPr>
          <w:rFonts w:eastAsia="Calibri"/>
          <w:szCs w:val="22"/>
          <w:lang w:eastAsia="en-US"/>
        </w:rPr>
        <w:t>For applicants to file the same design to multiple IP offices, maximize the re-use of the same visual representations of industrial design across all IP offices;</w:t>
      </w:r>
    </w:p>
    <w:p w:rsidR="006E5628" w:rsidRPr="003F7382" w:rsidRDefault="006E5628" w:rsidP="003F7382">
      <w:pPr>
        <w:numPr>
          <w:ilvl w:val="0"/>
          <w:numId w:val="10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3F7382">
        <w:rPr>
          <w:rFonts w:eastAsia="Calibri"/>
          <w:szCs w:val="22"/>
          <w:lang w:eastAsia="en-US"/>
        </w:rPr>
        <w:t>A common set of requirements for IP offices to exchange the visual representations of industrial design data;</w:t>
      </w:r>
    </w:p>
    <w:p w:rsidR="006E5628" w:rsidRPr="003F7382" w:rsidRDefault="006E5628" w:rsidP="003F7382">
      <w:pPr>
        <w:numPr>
          <w:ilvl w:val="0"/>
          <w:numId w:val="10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3F7382">
        <w:rPr>
          <w:rFonts w:eastAsia="Calibri"/>
          <w:szCs w:val="22"/>
          <w:lang w:eastAsia="en-US"/>
        </w:rPr>
        <w:t>A common set of requirements for the IP offices to process and publish the visual representations of industrial design (optional);</w:t>
      </w:r>
      <w:r w:rsidR="0053010C" w:rsidRPr="003F7382">
        <w:rPr>
          <w:rFonts w:eastAsia="Calibri"/>
          <w:szCs w:val="22"/>
          <w:lang w:eastAsia="en-US"/>
        </w:rPr>
        <w:t xml:space="preserve"> </w:t>
      </w:r>
      <w:r w:rsidR="00E46591">
        <w:rPr>
          <w:rFonts w:eastAsia="Calibri"/>
          <w:szCs w:val="22"/>
          <w:lang w:eastAsia="en-US"/>
        </w:rPr>
        <w:t xml:space="preserve"> </w:t>
      </w:r>
      <w:r w:rsidR="0053010C" w:rsidRPr="003F7382">
        <w:rPr>
          <w:rFonts w:eastAsia="Calibri"/>
          <w:szCs w:val="22"/>
          <w:lang w:eastAsia="en-US"/>
        </w:rPr>
        <w:t>and</w:t>
      </w:r>
    </w:p>
    <w:p w:rsidR="009159D4" w:rsidRPr="009159D4" w:rsidRDefault="006E5628" w:rsidP="003F7382">
      <w:pPr>
        <w:numPr>
          <w:ilvl w:val="0"/>
          <w:numId w:val="10"/>
        </w:numPr>
        <w:spacing w:after="120"/>
        <w:ind w:left="714" w:hanging="357"/>
      </w:pPr>
      <w:r w:rsidRPr="009159D4">
        <w:rPr>
          <w:rFonts w:eastAsia="Calibri"/>
          <w:szCs w:val="22"/>
          <w:lang w:eastAsia="en-US"/>
        </w:rPr>
        <w:t>A common set of requirements to enhance search of the visual representations of industrial design.</w:t>
      </w:r>
    </w:p>
    <w:p w:rsidR="006E5628" w:rsidRPr="009159D4" w:rsidRDefault="00900A72" w:rsidP="009159D4">
      <w:pPr>
        <w:pStyle w:val="Heading2"/>
        <w:rPr>
          <w:caps w:val="0"/>
        </w:rPr>
      </w:pPr>
      <w:r w:rsidRPr="009159D4">
        <w:rPr>
          <w:caps w:val="0"/>
        </w:rPr>
        <w:t>WORK PLAN</w:t>
      </w:r>
    </w:p>
    <w:p w:rsidR="00157CEA" w:rsidRDefault="00157CEA" w:rsidP="00157CEA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Task Force discussed and proposed the following work plan for the development of a new WIPO standard on </w:t>
      </w:r>
      <w:r w:rsidRPr="003B23A4">
        <w:t>electronic visual representations of industrial designs</w:t>
      </w:r>
      <w:r>
        <w:t>:</w:t>
      </w:r>
    </w:p>
    <w:p w:rsidR="00157CEA" w:rsidRPr="00157CEA" w:rsidRDefault="00157CEA" w:rsidP="00157CEA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946"/>
        <w:gridCol w:w="5010"/>
        <w:gridCol w:w="1620"/>
      </w:tblGrid>
      <w:tr w:rsidR="006E5628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A1584B" w:rsidRDefault="006E5628" w:rsidP="00502F58">
            <w:pPr>
              <w:pStyle w:val="ONUME"/>
              <w:tabs>
                <w:tab w:val="left" w:pos="720"/>
              </w:tabs>
              <w:jc w:val="center"/>
              <w:rPr>
                <w:lang w:eastAsia="en-US"/>
              </w:rPr>
            </w:pPr>
            <w:r w:rsidRPr="00A1584B">
              <w:rPr>
                <w:lang w:eastAsia="en-US"/>
              </w:rPr>
              <w:t>Action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A1584B" w:rsidRDefault="006E5628" w:rsidP="00502F58">
            <w:pPr>
              <w:pStyle w:val="ONUME"/>
              <w:tabs>
                <w:tab w:val="left" w:pos="720"/>
              </w:tabs>
              <w:jc w:val="center"/>
              <w:rPr>
                <w:lang w:eastAsia="en-US"/>
              </w:rPr>
            </w:pPr>
            <w:r w:rsidRPr="00A1584B">
              <w:rPr>
                <w:lang w:eastAsia="en-US"/>
              </w:rPr>
              <w:t>Expected result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A1584B" w:rsidRDefault="006E5628" w:rsidP="00502F58">
            <w:pPr>
              <w:pStyle w:val="ONUME"/>
              <w:tabs>
                <w:tab w:val="left" w:pos="720"/>
              </w:tabs>
              <w:jc w:val="center"/>
              <w:rPr>
                <w:lang w:eastAsia="en-US"/>
              </w:rPr>
            </w:pPr>
            <w:r w:rsidRPr="00A1584B">
              <w:rPr>
                <w:lang w:eastAsia="en-US"/>
              </w:rPr>
              <w:t>Planned date</w:t>
            </w:r>
          </w:p>
        </w:tc>
      </w:tr>
      <w:tr w:rsidR="006E5628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Presenting progress report at the sixth session of the CWS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The CWS is informed of the progress report and work plan; Task Force receives additional input from CWS.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Oct 2018</w:t>
            </w:r>
          </w:p>
        </w:tc>
      </w:tr>
      <w:tr w:rsidR="006E5628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Conducting a survey of current practices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The </w:t>
            </w:r>
            <w:r w:rsidRPr="008D662A">
              <w:rPr>
                <w:lang w:eastAsia="en-US"/>
              </w:rPr>
              <w:t>International Bureau</w:t>
            </w:r>
            <w:r>
              <w:rPr>
                <w:lang w:eastAsia="en-US"/>
              </w:rPr>
              <w:t xml:space="preserve"> sends the survey questionnaire to IP offices and other stake holders.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Dec 2018</w:t>
            </w:r>
          </w:p>
        </w:tc>
      </w:tr>
      <w:tr w:rsidR="006E5628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IP offices’ response to the survey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The </w:t>
            </w:r>
            <w:r w:rsidRPr="008D662A">
              <w:rPr>
                <w:lang w:eastAsia="en-US"/>
              </w:rPr>
              <w:t>International Bureau</w:t>
            </w:r>
            <w:r>
              <w:rPr>
                <w:lang w:eastAsia="en-US"/>
              </w:rPr>
              <w:t xml:space="preserve"> receives the responses from IP offices.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Feb 2019</w:t>
            </w:r>
          </w:p>
        </w:tc>
      </w:tr>
      <w:tr w:rsidR="006E5628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Sharing the survey response with the DRTF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The </w:t>
            </w:r>
            <w:r w:rsidRPr="008D662A">
              <w:rPr>
                <w:lang w:eastAsia="en-US"/>
              </w:rPr>
              <w:t>International Bureau</w:t>
            </w:r>
            <w:r>
              <w:rPr>
                <w:lang w:eastAsia="en-US"/>
              </w:rPr>
              <w:t xml:space="preserve"> posts the survey responses on the DRTF Wiki.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Default="006E5628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March 2019</w:t>
            </w:r>
          </w:p>
        </w:tc>
      </w:tr>
    </w:tbl>
    <w:p w:rsidR="00540FFE" w:rsidRDefault="00540FFE" w:rsidP="002F428D">
      <w:pPr>
        <w:pStyle w:val="ONUME"/>
        <w:tabs>
          <w:tab w:val="left" w:pos="720"/>
        </w:tabs>
        <w:rPr>
          <w:lang w:eastAsia="en-US"/>
        </w:rPr>
        <w:sectPr w:rsidR="00540FFE">
          <w:head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946"/>
        <w:gridCol w:w="5010"/>
        <w:gridCol w:w="1620"/>
      </w:tblGrid>
      <w:tr w:rsidR="00540FFE" w:rsidTr="00FC75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FE" w:rsidRPr="00A1584B" w:rsidRDefault="00540FFE" w:rsidP="004E0DFC">
            <w:pPr>
              <w:pStyle w:val="ONUME"/>
              <w:tabs>
                <w:tab w:val="left" w:pos="720"/>
              </w:tabs>
              <w:jc w:val="center"/>
              <w:rPr>
                <w:lang w:eastAsia="en-US"/>
              </w:rPr>
            </w:pPr>
            <w:r w:rsidRPr="00A1584B">
              <w:rPr>
                <w:lang w:eastAsia="en-US"/>
              </w:rPr>
              <w:lastRenderedPageBreak/>
              <w:t>Action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FE" w:rsidRPr="00A1584B" w:rsidRDefault="00540FFE" w:rsidP="004E0DFC">
            <w:pPr>
              <w:pStyle w:val="ONUME"/>
              <w:tabs>
                <w:tab w:val="left" w:pos="720"/>
              </w:tabs>
              <w:jc w:val="center"/>
              <w:rPr>
                <w:lang w:eastAsia="en-US"/>
              </w:rPr>
            </w:pPr>
            <w:r w:rsidRPr="00A1584B">
              <w:rPr>
                <w:lang w:eastAsia="en-US"/>
              </w:rPr>
              <w:t>Expected result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FE" w:rsidRPr="00A1584B" w:rsidRDefault="00540FFE" w:rsidP="004E0DFC">
            <w:pPr>
              <w:pStyle w:val="ONUME"/>
              <w:tabs>
                <w:tab w:val="left" w:pos="720"/>
              </w:tabs>
              <w:jc w:val="center"/>
              <w:rPr>
                <w:lang w:eastAsia="en-US"/>
              </w:rPr>
            </w:pPr>
            <w:r w:rsidRPr="00A1584B">
              <w:rPr>
                <w:lang w:eastAsia="en-US"/>
              </w:rPr>
              <w:t>Planned date</w:t>
            </w:r>
          </w:p>
        </w:tc>
      </w:tr>
      <w:tr w:rsidR="00540FFE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Collection and analysis of survey responses.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Task Force to create a summary of the survey outcomes.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April 2019</w:t>
            </w:r>
          </w:p>
        </w:tc>
      </w:tr>
      <w:tr w:rsidR="00540FFE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Creating new WIPO Standard.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A draft WIPO Standard.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June 2019</w:t>
            </w:r>
          </w:p>
        </w:tc>
      </w:tr>
      <w:tr w:rsidR="00540FFE" w:rsidTr="00440317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Presenting the draft WIPO standard draft for consideration or approval at the seventh session of the CWS (CWS/7).</w:t>
            </w:r>
          </w:p>
          <w:p w:rsidR="00540FFE" w:rsidRPr="00493F1A" w:rsidRDefault="00540FFE" w:rsidP="002F428D">
            <w:pPr>
              <w:pStyle w:val="ONUME"/>
              <w:tabs>
                <w:tab w:val="left" w:pos="720"/>
              </w:tabs>
              <w:rPr>
                <w:i/>
                <w:lang w:eastAsia="en-US"/>
              </w:rPr>
            </w:pPr>
            <w:r w:rsidRPr="00493F1A">
              <w:rPr>
                <w:i/>
                <w:lang w:eastAsia="en-US"/>
              </w:rPr>
              <w:t>[Note: It depends on the dates of CWS/7.]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New WIPO Standard adopted by or guidance received from the CWS/7.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Default="00540FFE" w:rsidP="002F428D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2019 (CWS/7)</w:t>
            </w:r>
          </w:p>
        </w:tc>
      </w:tr>
    </w:tbl>
    <w:p w:rsidR="006E5628" w:rsidRDefault="006E5628" w:rsidP="006E5628"/>
    <w:p w:rsidR="006E5628" w:rsidRDefault="006E5628" w:rsidP="006E5628"/>
    <w:p w:rsidR="00A1584B" w:rsidRPr="00B326A9" w:rsidRDefault="006E5628" w:rsidP="00A1584B">
      <w:pPr>
        <w:pStyle w:val="ONUME"/>
        <w:tabs>
          <w:tab w:val="num" w:pos="567"/>
        </w:tabs>
        <w:ind w:left="5529"/>
      </w:pPr>
      <w:r w:rsidRPr="00B326A9">
        <w:fldChar w:fldCharType="begin"/>
      </w:r>
      <w:r w:rsidRPr="00B326A9">
        <w:instrText xml:space="preserve"> AUTONUM  </w:instrText>
      </w:r>
      <w:r w:rsidRPr="00B326A9">
        <w:fldChar w:fldCharType="end"/>
      </w:r>
      <w:r w:rsidRPr="00B326A9">
        <w:rPr>
          <w:i/>
        </w:rPr>
        <w:tab/>
        <w:t>The CWS is invited to</w:t>
      </w:r>
      <w:r w:rsidR="00A1584B" w:rsidRPr="00B326A9">
        <w:rPr>
          <w:i/>
        </w:rPr>
        <w:t>:</w:t>
      </w:r>
      <w:r w:rsidRPr="00B326A9">
        <w:t xml:space="preserve"> </w:t>
      </w:r>
    </w:p>
    <w:p w:rsidR="00A1584B" w:rsidRPr="00B326A9" w:rsidRDefault="00A1584B" w:rsidP="00A1584B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B326A9">
        <w:rPr>
          <w:i/>
        </w:rPr>
        <w:tab/>
        <w:t>(a)</w:t>
      </w:r>
      <w:r w:rsidRPr="00B326A9">
        <w:rPr>
          <w:i/>
        </w:rPr>
        <w:tab/>
      </w:r>
      <w:proofErr w:type="gramStart"/>
      <w:r w:rsidRPr="00B326A9">
        <w:rPr>
          <w:i/>
        </w:rPr>
        <w:t>note</w:t>
      </w:r>
      <w:proofErr w:type="gramEnd"/>
      <w:r w:rsidRPr="00B326A9">
        <w:rPr>
          <w:i/>
        </w:rPr>
        <w:t xml:space="preserve"> the content of the present document</w:t>
      </w:r>
      <w:r w:rsidR="006454C9">
        <w:rPr>
          <w:i/>
        </w:rPr>
        <w:t xml:space="preserve">;  </w:t>
      </w:r>
      <w:r w:rsidRPr="00B326A9">
        <w:rPr>
          <w:i/>
        </w:rPr>
        <w:t xml:space="preserve"> and</w:t>
      </w:r>
    </w:p>
    <w:p w:rsidR="00A1584B" w:rsidRPr="00F7083D" w:rsidRDefault="00A1584B" w:rsidP="00A1584B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  <w:r w:rsidRPr="00B326A9">
        <w:rPr>
          <w:i/>
        </w:rPr>
        <w:tab/>
        <w:t>(b)</w:t>
      </w:r>
      <w:r w:rsidRPr="00B326A9">
        <w:rPr>
          <w:i/>
        </w:rPr>
        <w:tab/>
      </w:r>
      <w:proofErr w:type="gramStart"/>
      <w:r w:rsidR="00540FFE">
        <w:rPr>
          <w:i/>
        </w:rPr>
        <w:t>consider</w:t>
      </w:r>
      <w:proofErr w:type="gramEnd"/>
      <w:r w:rsidRPr="00B326A9">
        <w:rPr>
          <w:i/>
        </w:rPr>
        <w:t xml:space="preserve"> and comment on the work plan</w:t>
      </w:r>
      <w:r w:rsidR="00443256">
        <w:rPr>
          <w:i/>
        </w:rPr>
        <w:t>, in particular, the actions to be carried out following the sixth session of the CWS, as indicated in paragraph 7 above.</w:t>
      </w:r>
    </w:p>
    <w:p w:rsidR="00502F58" w:rsidRDefault="00502F58" w:rsidP="00502F58">
      <w:pPr>
        <w:pStyle w:val="Endofdocument-Annex"/>
        <w:rPr>
          <w:i/>
        </w:rPr>
      </w:pPr>
    </w:p>
    <w:p w:rsidR="00502F58" w:rsidRDefault="00502F58" w:rsidP="00502F58">
      <w:pPr>
        <w:pStyle w:val="Endofdocument-Annex"/>
        <w:rPr>
          <w:i/>
        </w:rPr>
      </w:pPr>
    </w:p>
    <w:p w:rsidR="002928D3" w:rsidRPr="00502F58" w:rsidRDefault="00502F58" w:rsidP="00B326A9">
      <w:pPr>
        <w:pStyle w:val="Endofdocument-Annex"/>
        <w:rPr>
          <w:lang w:val="en-GB"/>
        </w:rPr>
      </w:pPr>
      <w:r w:rsidRPr="00440C7D">
        <w:rPr>
          <w:lang w:val="en-GB"/>
        </w:rPr>
        <w:t>[End of document]</w:t>
      </w:r>
    </w:p>
    <w:sectPr w:rsidR="002928D3" w:rsidRPr="00502F58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4C" w:rsidRDefault="00AC134C">
      <w:r>
        <w:separator/>
      </w:r>
    </w:p>
  </w:endnote>
  <w:endnote w:type="continuationSeparator" w:id="0">
    <w:p w:rsidR="00AC134C" w:rsidRDefault="00AC134C" w:rsidP="003B38C1">
      <w:r>
        <w:separator/>
      </w:r>
    </w:p>
    <w:p w:rsidR="00AC134C" w:rsidRPr="003B38C1" w:rsidRDefault="00AC13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34C" w:rsidRPr="003B38C1" w:rsidRDefault="00AC13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4C" w:rsidRDefault="00AC134C">
      <w:r>
        <w:separator/>
      </w:r>
    </w:p>
  </w:footnote>
  <w:footnote w:type="continuationSeparator" w:id="0">
    <w:p w:rsidR="00AC134C" w:rsidRDefault="00AC134C" w:rsidP="008B60B2">
      <w:r>
        <w:separator/>
      </w:r>
    </w:p>
    <w:p w:rsidR="00AC134C" w:rsidRPr="00ED77FB" w:rsidRDefault="00AC13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34C" w:rsidRPr="00ED77FB" w:rsidRDefault="00AC13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F59" w:rsidRDefault="00572F59" w:rsidP="00477D6B">
    <w:pPr>
      <w:jc w:val="right"/>
    </w:pPr>
    <w:r>
      <w:t>CWS/6/28</w:t>
    </w:r>
  </w:p>
  <w:p w:rsidR="00572F59" w:rsidRDefault="00572F59" w:rsidP="00477D6B">
    <w:pPr>
      <w:jc w:val="right"/>
    </w:pPr>
    <w:proofErr w:type="gramStart"/>
    <w:r>
      <w:t>page</w:t>
    </w:r>
    <w:proofErr w:type="gramEnd"/>
    <w:r>
      <w:t xml:space="preserve"> 3</w:t>
    </w:r>
  </w:p>
  <w:p w:rsidR="00572F59" w:rsidRDefault="00572F59" w:rsidP="00477D6B">
    <w:pPr>
      <w:jc w:val="right"/>
    </w:pPr>
  </w:p>
  <w:p w:rsidR="00572F59" w:rsidRDefault="00572F5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FE" w:rsidRDefault="00540FFE" w:rsidP="00477D6B">
    <w:pPr>
      <w:jc w:val="right"/>
    </w:pPr>
    <w:r>
      <w:t>CWS/6/28</w:t>
    </w:r>
  </w:p>
  <w:p w:rsidR="00540FFE" w:rsidRDefault="00540FFE" w:rsidP="00477D6B">
    <w:pPr>
      <w:jc w:val="right"/>
    </w:pPr>
    <w:proofErr w:type="gramStart"/>
    <w:r>
      <w:t>page</w:t>
    </w:r>
    <w:proofErr w:type="gramEnd"/>
    <w:r>
      <w:t xml:space="preserve"> 2</w:t>
    </w:r>
  </w:p>
  <w:p w:rsidR="00540FFE" w:rsidRDefault="00540FFE" w:rsidP="00477D6B">
    <w:pPr>
      <w:jc w:val="right"/>
    </w:pPr>
  </w:p>
  <w:p w:rsidR="00540FFE" w:rsidRDefault="00540FF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29" w:rsidRDefault="00C52829" w:rsidP="00477D6B">
    <w:pPr>
      <w:jc w:val="right"/>
    </w:pPr>
    <w:r>
      <w:t>CWS/6/28</w:t>
    </w:r>
  </w:p>
  <w:p w:rsidR="00C52829" w:rsidRDefault="00C52829" w:rsidP="00477D6B">
    <w:pPr>
      <w:jc w:val="right"/>
    </w:pPr>
    <w:proofErr w:type="gramStart"/>
    <w:r>
      <w:t>page</w:t>
    </w:r>
    <w:proofErr w:type="gramEnd"/>
    <w:r>
      <w:t xml:space="preserve"> 3</w:t>
    </w:r>
  </w:p>
  <w:p w:rsidR="00C52829" w:rsidRDefault="00C52829" w:rsidP="00477D6B">
    <w:pPr>
      <w:jc w:val="right"/>
    </w:pPr>
  </w:p>
  <w:p w:rsidR="00C52829" w:rsidRDefault="00C5282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279C5"/>
    <w:multiLevelType w:val="hybridMultilevel"/>
    <w:tmpl w:val="C09824CE"/>
    <w:lvl w:ilvl="0" w:tplc="F0F20576">
      <w:start w:val="1"/>
      <w:numFmt w:val="lowerLetter"/>
      <w:lvlText w:val="(%1)"/>
      <w:lvlJc w:val="left"/>
      <w:pPr>
        <w:ind w:left="677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6867B9"/>
    <w:multiLevelType w:val="multilevel"/>
    <w:tmpl w:val="C8F6061C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4E8063D"/>
    <w:multiLevelType w:val="hybridMultilevel"/>
    <w:tmpl w:val="733AFD6C"/>
    <w:lvl w:ilvl="0" w:tplc="91784910">
      <w:start w:val="1"/>
      <w:numFmt w:val="bullet"/>
      <w:lvlText w:val=""/>
      <w:lvlJc w:val="left"/>
      <w:pPr>
        <w:ind w:left="1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>
    <w:nsid w:val="27B8763C"/>
    <w:multiLevelType w:val="multilevel"/>
    <w:tmpl w:val="FB46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C9A035C"/>
    <w:multiLevelType w:val="multilevel"/>
    <w:tmpl w:val="FB46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B9"/>
    <w:rsid w:val="00025D0F"/>
    <w:rsid w:val="00037E5A"/>
    <w:rsid w:val="00043CAA"/>
    <w:rsid w:val="00052261"/>
    <w:rsid w:val="00065569"/>
    <w:rsid w:val="00075432"/>
    <w:rsid w:val="00080C2D"/>
    <w:rsid w:val="000968ED"/>
    <w:rsid w:val="000F5E56"/>
    <w:rsid w:val="000F711F"/>
    <w:rsid w:val="001362EE"/>
    <w:rsid w:val="00157CEA"/>
    <w:rsid w:val="001647D5"/>
    <w:rsid w:val="001832A6"/>
    <w:rsid w:val="001B0CFA"/>
    <w:rsid w:val="0021217E"/>
    <w:rsid w:val="002634C4"/>
    <w:rsid w:val="00290096"/>
    <w:rsid w:val="002928D3"/>
    <w:rsid w:val="002F1FE6"/>
    <w:rsid w:val="002F4E68"/>
    <w:rsid w:val="00312F7F"/>
    <w:rsid w:val="00361450"/>
    <w:rsid w:val="003673CF"/>
    <w:rsid w:val="003845C1"/>
    <w:rsid w:val="003A0F70"/>
    <w:rsid w:val="003A6F89"/>
    <w:rsid w:val="003B38C1"/>
    <w:rsid w:val="003F7382"/>
    <w:rsid w:val="00423E3E"/>
    <w:rsid w:val="00427AF4"/>
    <w:rsid w:val="00440317"/>
    <w:rsid w:val="004417A3"/>
    <w:rsid w:val="00443256"/>
    <w:rsid w:val="00445071"/>
    <w:rsid w:val="004647DA"/>
    <w:rsid w:val="00474062"/>
    <w:rsid w:val="00477D6B"/>
    <w:rsid w:val="00493F1A"/>
    <w:rsid w:val="005019FF"/>
    <w:rsid w:val="00502F58"/>
    <w:rsid w:val="0051130D"/>
    <w:rsid w:val="0053010C"/>
    <w:rsid w:val="0053057A"/>
    <w:rsid w:val="00540FFE"/>
    <w:rsid w:val="00560A29"/>
    <w:rsid w:val="00572F59"/>
    <w:rsid w:val="00595195"/>
    <w:rsid w:val="005C6649"/>
    <w:rsid w:val="005E140B"/>
    <w:rsid w:val="00605827"/>
    <w:rsid w:val="006454C9"/>
    <w:rsid w:val="00646050"/>
    <w:rsid w:val="006713CA"/>
    <w:rsid w:val="00676C5C"/>
    <w:rsid w:val="006E5628"/>
    <w:rsid w:val="007201E0"/>
    <w:rsid w:val="00745428"/>
    <w:rsid w:val="007D1613"/>
    <w:rsid w:val="007D2CE8"/>
    <w:rsid w:val="007D3FA3"/>
    <w:rsid w:val="007E4C0E"/>
    <w:rsid w:val="00827663"/>
    <w:rsid w:val="008A134B"/>
    <w:rsid w:val="008B2CC1"/>
    <w:rsid w:val="008B60B2"/>
    <w:rsid w:val="008B7421"/>
    <w:rsid w:val="00900A72"/>
    <w:rsid w:val="0090731E"/>
    <w:rsid w:val="009159D4"/>
    <w:rsid w:val="00916EE2"/>
    <w:rsid w:val="00966A22"/>
    <w:rsid w:val="0096722F"/>
    <w:rsid w:val="00980843"/>
    <w:rsid w:val="009A4DC6"/>
    <w:rsid w:val="009C7DB0"/>
    <w:rsid w:val="009E2791"/>
    <w:rsid w:val="009E3F6F"/>
    <w:rsid w:val="009F499F"/>
    <w:rsid w:val="00A033D9"/>
    <w:rsid w:val="00A1584B"/>
    <w:rsid w:val="00A37342"/>
    <w:rsid w:val="00A42DAF"/>
    <w:rsid w:val="00A45BD8"/>
    <w:rsid w:val="00A869B7"/>
    <w:rsid w:val="00AC134C"/>
    <w:rsid w:val="00AC205C"/>
    <w:rsid w:val="00AF0A6B"/>
    <w:rsid w:val="00B05A69"/>
    <w:rsid w:val="00B326A9"/>
    <w:rsid w:val="00B9734B"/>
    <w:rsid w:val="00BA30E2"/>
    <w:rsid w:val="00BE122D"/>
    <w:rsid w:val="00C10C20"/>
    <w:rsid w:val="00C11BFE"/>
    <w:rsid w:val="00C406B9"/>
    <w:rsid w:val="00C5068F"/>
    <w:rsid w:val="00C52829"/>
    <w:rsid w:val="00C86D74"/>
    <w:rsid w:val="00CD04F1"/>
    <w:rsid w:val="00CD59F2"/>
    <w:rsid w:val="00D3124F"/>
    <w:rsid w:val="00D45252"/>
    <w:rsid w:val="00D71B4D"/>
    <w:rsid w:val="00D93041"/>
    <w:rsid w:val="00D93D55"/>
    <w:rsid w:val="00DC4BB8"/>
    <w:rsid w:val="00DF5D01"/>
    <w:rsid w:val="00E15015"/>
    <w:rsid w:val="00E335FE"/>
    <w:rsid w:val="00E46591"/>
    <w:rsid w:val="00EA7D6E"/>
    <w:rsid w:val="00EC4E49"/>
    <w:rsid w:val="00ED77FB"/>
    <w:rsid w:val="00EE05AE"/>
    <w:rsid w:val="00EE45FA"/>
    <w:rsid w:val="00F458EB"/>
    <w:rsid w:val="00F544B8"/>
    <w:rsid w:val="00F66152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40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06B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6E5628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6E5628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6E5628"/>
    <w:rPr>
      <w:i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E562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E562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6E562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1584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A0F70"/>
    <w:pPr>
      <w:spacing w:after="200"/>
      <w:jc w:val="both"/>
    </w:pPr>
    <w:rPr>
      <w:rFonts w:eastAsia="Times New Roman"/>
      <w:sz w:val="17"/>
      <w:szCs w:val="17"/>
      <w:lang w:eastAsia="de-DE"/>
    </w:rPr>
  </w:style>
  <w:style w:type="character" w:styleId="CommentReference">
    <w:name w:val="annotation reference"/>
    <w:basedOn w:val="DefaultParagraphFont"/>
    <w:semiHidden/>
    <w:unhideWhenUsed/>
    <w:rsid w:val="005301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1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010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3010C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40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06B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6E5628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6E5628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6E5628"/>
    <w:rPr>
      <w:i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E562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E562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6E562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1584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A0F70"/>
    <w:pPr>
      <w:spacing w:after="200"/>
      <w:jc w:val="both"/>
    </w:pPr>
    <w:rPr>
      <w:rFonts w:eastAsia="Times New Roman"/>
      <w:sz w:val="17"/>
      <w:szCs w:val="17"/>
      <w:lang w:eastAsia="de-DE"/>
    </w:rPr>
  </w:style>
  <w:style w:type="character" w:styleId="CommentReference">
    <w:name w:val="annotation reference"/>
    <w:basedOn w:val="DefaultParagraphFont"/>
    <w:semiHidden/>
    <w:unhideWhenUsed/>
    <w:rsid w:val="005301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1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010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3010C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54AE-07BB-4C70-A5F5-10A65F86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9</TotalTime>
  <Pages>3</Pages>
  <Words>636</Words>
  <Characters>3448</Characters>
  <Application>Microsoft Office Word</Application>
  <DocSecurity>0</DocSecurity>
  <Lines>95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</vt:lpstr>
    </vt:vector>
  </TitlesOfParts>
  <Company>WIPO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CWS/6/28</dc:title>
  <dc:subject>Report on Task No.57 by the Design Representation Task Force</dc:subject>
  <dc:creator>WIPO</dc:creator>
  <cp:keywords>CWS in English</cp:keywords>
  <cp:lastModifiedBy>DRAKE Sophie</cp:lastModifiedBy>
  <cp:revision>18</cp:revision>
  <cp:lastPrinted>2018-08-02T15:44:00Z</cp:lastPrinted>
  <dcterms:created xsi:type="dcterms:W3CDTF">2018-08-07T08:46:00Z</dcterms:created>
  <dcterms:modified xsi:type="dcterms:W3CDTF">2018-08-08T14:32:00Z</dcterms:modified>
</cp:coreProperties>
</file>