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03948">
        <w:trPr>
          <w:trHeight w:val="2336"/>
        </w:trPr>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7B336B" w:rsidP="00916EE2">
            <w:r>
              <w:rPr>
                <w:noProof/>
                <w:lang w:eastAsia="en-US"/>
              </w:rPr>
              <w:drawing>
                <wp:inline distT="0" distB="0" distL="0" distR="0">
                  <wp:extent cx="1859280" cy="1325880"/>
                  <wp:effectExtent l="0" t="0" r="7620" b="762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B51DCC">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1" w:name="Code"/>
            <w:bookmarkEnd w:id="1"/>
            <w:r w:rsidR="00903948">
              <w:rPr>
                <w:rFonts w:ascii="Arial Black" w:hAnsi="Arial Black"/>
                <w:caps/>
                <w:sz w:val="15"/>
              </w:rPr>
              <w:t>CLIM/CE/2</w:t>
            </w:r>
            <w:r w:rsidR="0044138C">
              <w:rPr>
                <w:rFonts w:ascii="Arial Black" w:hAnsi="Arial Black"/>
                <w:caps/>
                <w:sz w:val="15"/>
              </w:rPr>
              <w:t>6</w:t>
            </w:r>
            <w:r w:rsidR="00903948">
              <w:rPr>
                <w:rFonts w:ascii="Arial Black" w:hAnsi="Arial Black"/>
                <w:caps/>
                <w:sz w:val="15"/>
              </w:rPr>
              <w:t>/2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90394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51DCC">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B51DCC">
              <w:rPr>
                <w:rFonts w:ascii="Arial Black" w:hAnsi="Arial Black"/>
                <w:caps/>
                <w:sz w:val="15"/>
              </w:rPr>
              <w:t>May</w:t>
            </w:r>
            <w:r w:rsidR="0044138C">
              <w:rPr>
                <w:rFonts w:ascii="Arial Black" w:hAnsi="Arial Black"/>
                <w:caps/>
                <w:sz w:val="15"/>
              </w:rPr>
              <w:t xml:space="preserve"> </w:t>
            </w:r>
            <w:r w:rsidR="00B51DCC">
              <w:rPr>
                <w:rFonts w:ascii="Arial Black" w:hAnsi="Arial Black"/>
                <w:caps/>
                <w:sz w:val="15"/>
              </w:rPr>
              <w:t>31</w:t>
            </w:r>
            <w:r w:rsidR="0044138C">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903948" w:rsidP="008B2CC1">
      <w:pPr>
        <w:rPr>
          <w:b/>
          <w:sz w:val="28"/>
          <w:szCs w:val="28"/>
        </w:rPr>
      </w:pPr>
      <w:r>
        <w:rPr>
          <w:b/>
          <w:sz w:val="28"/>
          <w:szCs w:val="28"/>
        </w:rPr>
        <w:t>Special Union for the International Classification of Goods and Services for the Purposes of the Registration of Marks (Nice Union)</w:t>
      </w:r>
    </w:p>
    <w:p w:rsidR="00903948" w:rsidRDefault="00903948" w:rsidP="008B2CC1">
      <w:pPr>
        <w:rPr>
          <w:b/>
          <w:sz w:val="28"/>
          <w:szCs w:val="28"/>
        </w:rPr>
      </w:pPr>
    </w:p>
    <w:p w:rsidR="00903948" w:rsidRPr="003845C1" w:rsidRDefault="00903948" w:rsidP="008B2CC1">
      <w:pPr>
        <w:rPr>
          <w:b/>
          <w:sz w:val="28"/>
          <w:szCs w:val="28"/>
        </w:rPr>
      </w:pPr>
      <w:r>
        <w:rPr>
          <w:b/>
          <w:sz w:val="28"/>
          <w:szCs w:val="28"/>
        </w:rPr>
        <w:t>Committee of Experts</w:t>
      </w:r>
    </w:p>
    <w:p w:rsidR="003845C1" w:rsidRDefault="003845C1" w:rsidP="003845C1"/>
    <w:p w:rsidR="003845C1" w:rsidRDefault="003845C1" w:rsidP="003845C1"/>
    <w:p w:rsidR="008B2CC1" w:rsidRPr="003845C1" w:rsidRDefault="00903948" w:rsidP="008B2CC1">
      <w:pPr>
        <w:rPr>
          <w:b/>
          <w:sz w:val="24"/>
          <w:szCs w:val="24"/>
        </w:rPr>
      </w:pPr>
      <w:r>
        <w:rPr>
          <w:b/>
          <w:sz w:val="24"/>
          <w:szCs w:val="24"/>
        </w:rPr>
        <w:t>Twenty-</w:t>
      </w:r>
      <w:r w:rsidR="0044138C">
        <w:rPr>
          <w:b/>
          <w:sz w:val="24"/>
          <w:szCs w:val="24"/>
        </w:rPr>
        <w:t>Six</w:t>
      </w:r>
      <w:r w:rsidR="00616F1F">
        <w:rPr>
          <w:b/>
          <w:sz w:val="24"/>
          <w:szCs w:val="24"/>
        </w:rPr>
        <w:t xml:space="preserve">th </w:t>
      </w:r>
      <w:proofErr w:type="gramStart"/>
      <w:r w:rsidR="003845C1" w:rsidRPr="003845C1">
        <w:rPr>
          <w:b/>
          <w:sz w:val="24"/>
          <w:szCs w:val="24"/>
        </w:rPr>
        <w:t>Session</w:t>
      </w:r>
      <w:proofErr w:type="gramEnd"/>
    </w:p>
    <w:p w:rsidR="008B2CC1" w:rsidRPr="003845C1" w:rsidRDefault="00903948" w:rsidP="008B2CC1">
      <w:pPr>
        <w:rPr>
          <w:b/>
          <w:sz w:val="24"/>
          <w:szCs w:val="24"/>
        </w:rPr>
      </w:pPr>
      <w:r>
        <w:rPr>
          <w:b/>
          <w:sz w:val="24"/>
          <w:szCs w:val="24"/>
        </w:rPr>
        <w:t xml:space="preserve">Geneva, April </w:t>
      </w:r>
      <w:r w:rsidR="0044138C" w:rsidRPr="0044138C">
        <w:rPr>
          <w:b/>
          <w:sz w:val="24"/>
          <w:szCs w:val="24"/>
        </w:rPr>
        <w:t>25 to 29,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903948" w:rsidP="008B2CC1">
      <w:pPr>
        <w:rPr>
          <w:caps/>
          <w:sz w:val="24"/>
        </w:rPr>
      </w:pPr>
      <w:bookmarkStart w:id="4" w:name="TitleOfDoc"/>
      <w:bookmarkEnd w:id="4"/>
      <w:r>
        <w:rPr>
          <w:caps/>
          <w:sz w:val="24"/>
        </w:rPr>
        <w:t>REPORT</w:t>
      </w:r>
    </w:p>
    <w:p w:rsidR="008B2CC1" w:rsidRPr="008B2CC1" w:rsidRDefault="008B2CC1" w:rsidP="008B2CC1"/>
    <w:p w:rsidR="008B2CC1" w:rsidRPr="008B2CC1" w:rsidRDefault="00B51DCC" w:rsidP="008B2CC1">
      <w:pPr>
        <w:rPr>
          <w:i/>
        </w:rPr>
      </w:pPr>
      <w:bookmarkStart w:id="5" w:name="Prepared"/>
      <w:bookmarkEnd w:id="5"/>
      <w:proofErr w:type="gramStart"/>
      <w:r w:rsidRPr="00B51DCC">
        <w:rPr>
          <w:i/>
        </w:rPr>
        <w:t>adopted</w:t>
      </w:r>
      <w:proofErr w:type="gramEnd"/>
      <w:r w:rsidRPr="00B51DCC">
        <w:rPr>
          <w:i/>
        </w:rPr>
        <w:t xml:space="preserve"> by the Committee of Experts</w:t>
      </w:r>
    </w:p>
    <w:p w:rsidR="00AC205C" w:rsidRDefault="00AC205C"/>
    <w:p w:rsidR="000F5E56" w:rsidRDefault="000F5E56"/>
    <w:p w:rsidR="002928D3" w:rsidRDefault="002928D3"/>
    <w:p w:rsidR="002928D3" w:rsidRDefault="002928D3" w:rsidP="0053057A"/>
    <w:p w:rsidR="00903948" w:rsidRPr="00A713CD" w:rsidRDefault="00903948" w:rsidP="00A713CD">
      <w:pPr>
        <w:spacing w:line="260" w:lineRule="exact"/>
        <w:rPr>
          <w:b/>
        </w:rPr>
      </w:pPr>
      <w:r w:rsidRPr="00A713CD">
        <w:rPr>
          <w:b/>
        </w:rPr>
        <w:t>INTRODUCTION</w:t>
      </w:r>
    </w:p>
    <w:p w:rsidR="00A713CD" w:rsidRPr="00A713CD" w:rsidRDefault="00A713CD" w:rsidP="00A713CD"/>
    <w:p w:rsidR="00A713CD" w:rsidRDefault="00903948"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The Committee of Experts of the Nice Union (hereinafter referred to as “the Committee”) held its twenty-</w:t>
      </w:r>
      <w:r w:rsidR="0044138C">
        <w:rPr>
          <w:szCs w:val="22"/>
        </w:rPr>
        <w:t>six</w:t>
      </w:r>
      <w:r w:rsidR="00616F1F">
        <w:rPr>
          <w:szCs w:val="22"/>
        </w:rPr>
        <w:t>th</w:t>
      </w:r>
      <w:r w:rsidRPr="003A58E4">
        <w:rPr>
          <w:szCs w:val="22"/>
        </w:rPr>
        <w:t xml:space="preserve"> session in Geneva from April 2</w:t>
      </w:r>
      <w:r w:rsidR="0044138C">
        <w:rPr>
          <w:szCs w:val="22"/>
        </w:rPr>
        <w:t>5 to 29, 2016</w:t>
      </w:r>
      <w:r w:rsidRPr="003A58E4">
        <w:rPr>
          <w:szCs w:val="22"/>
        </w:rPr>
        <w:t xml:space="preserve">.  The following members of the Committee were represented at the session:  </w:t>
      </w:r>
      <w:r w:rsidR="00A914CE">
        <w:rPr>
          <w:szCs w:val="22"/>
        </w:rPr>
        <w:t xml:space="preserve">Australia, </w:t>
      </w:r>
      <w:r w:rsidRPr="003A58E4">
        <w:rPr>
          <w:szCs w:val="22"/>
        </w:rPr>
        <w:t xml:space="preserve">Austria, China, Denmark, Estonia, </w:t>
      </w:r>
      <w:r w:rsidR="00A914CE">
        <w:rPr>
          <w:szCs w:val="22"/>
        </w:rPr>
        <w:t xml:space="preserve">Finland, </w:t>
      </w:r>
      <w:r w:rsidR="00F67C70">
        <w:rPr>
          <w:szCs w:val="22"/>
        </w:rPr>
        <w:t xml:space="preserve">France, </w:t>
      </w:r>
      <w:r w:rsidRPr="003A58E4">
        <w:rPr>
          <w:szCs w:val="22"/>
        </w:rPr>
        <w:t xml:space="preserve">Germany, </w:t>
      </w:r>
      <w:r w:rsidR="00F67C70">
        <w:rPr>
          <w:szCs w:val="22"/>
        </w:rPr>
        <w:t xml:space="preserve">Greece, </w:t>
      </w:r>
      <w:r w:rsidR="003D09CB">
        <w:rPr>
          <w:szCs w:val="22"/>
        </w:rPr>
        <w:t xml:space="preserve">Israel, </w:t>
      </w:r>
      <w:r w:rsidRPr="003A58E4">
        <w:rPr>
          <w:szCs w:val="22"/>
        </w:rPr>
        <w:t xml:space="preserve">Italy, Japan, </w:t>
      </w:r>
      <w:r w:rsidR="00F67C70">
        <w:rPr>
          <w:szCs w:val="22"/>
        </w:rPr>
        <w:t xml:space="preserve">Kyrgyzstan, </w:t>
      </w:r>
      <w:r>
        <w:rPr>
          <w:szCs w:val="22"/>
        </w:rPr>
        <w:t xml:space="preserve">Latvia, </w:t>
      </w:r>
      <w:r w:rsidRPr="003A58E4">
        <w:rPr>
          <w:szCs w:val="22"/>
        </w:rPr>
        <w:t xml:space="preserve">Lithuania, Mexico, Netherlands, </w:t>
      </w:r>
      <w:r w:rsidR="00E02F88">
        <w:rPr>
          <w:szCs w:val="22"/>
        </w:rPr>
        <w:t xml:space="preserve">New Zealand, </w:t>
      </w:r>
      <w:r w:rsidRPr="003A58E4">
        <w:rPr>
          <w:szCs w:val="22"/>
        </w:rPr>
        <w:t xml:space="preserve">Norway, </w:t>
      </w:r>
      <w:r w:rsidR="00A914CE">
        <w:rPr>
          <w:szCs w:val="22"/>
        </w:rPr>
        <w:t xml:space="preserve">Poland, </w:t>
      </w:r>
      <w:r w:rsidR="003216E2">
        <w:rPr>
          <w:szCs w:val="22"/>
        </w:rPr>
        <w:t xml:space="preserve">Republic of Korea, </w:t>
      </w:r>
      <w:r w:rsidR="0044050B">
        <w:rPr>
          <w:szCs w:val="22"/>
        </w:rPr>
        <w:t xml:space="preserve">Republic of Moldova, </w:t>
      </w:r>
      <w:r w:rsidRPr="003A58E4">
        <w:rPr>
          <w:szCs w:val="22"/>
        </w:rPr>
        <w:t xml:space="preserve">Romania, Russian Federation, </w:t>
      </w:r>
      <w:r w:rsidR="00E02F88">
        <w:rPr>
          <w:szCs w:val="22"/>
        </w:rPr>
        <w:t xml:space="preserve">Singapore, </w:t>
      </w:r>
      <w:r w:rsidR="00A914CE">
        <w:rPr>
          <w:szCs w:val="22"/>
        </w:rPr>
        <w:t xml:space="preserve">Slovakia, </w:t>
      </w:r>
      <w:r w:rsidRPr="003A58E4">
        <w:rPr>
          <w:szCs w:val="22"/>
        </w:rPr>
        <w:t xml:space="preserve">Spain, Sweden, Switzerland, Turkey, </w:t>
      </w:r>
      <w:r w:rsidR="003216E2">
        <w:rPr>
          <w:szCs w:val="22"/>
        </w:rPr>
        <w:t xml:space="preserve">Ukraine, </w:t>
      </w:r>
      <w:r w:rsidRPr="003A58E4">
        <w:rPr>
          <w:szCs w:val="22"/>
        </w:rPr>
        <w:t>United</w:t>
      </w:r>
      <w:r w:rsidR="00146386">
        <w:rPr>
          <w:szCs w:val="22"/>
        </w:rPr>
        <w:t> </w:t>
      </w:r>
      <w:r w:rsidRPr="003A58E4">
        <w:rPr>
          <w:szCs w:val="22"/>
        </w:rPr>
        <w:t>Kingdom and United</w:t>
      </w:r>
      <w:r w:rsidR="00177F5C">
        <w:rPr>
          <w:szCs w:val="22"/>
        </w:rPr>
        <w:t> </w:t>
      </w:r>
      <w:r w:rsidRPr="003A58E4">
        <w:rPr>
          <w:szCs w:val="22"/>
        </w:rPr>
        <w:t>States of America</w:t>
      </w:r>
      <w:r w:rsidRPr="003A58E4">
        <w:rPr>
          <w:i/>
          <w:szCs w:val="22"/>
        </w:rPr>
        <w:t xml:space="preserve"> </w:t>
      </w:r>
      <w:r w:rsidRPr="003A58E4">
        <w:rPr>
          <w:szCs w:val="22"/>
        </w:rPr>
        <w:t>(</w:t>
      </w:r>
      <w:r w:rsidR="0044050B">
        <w:rPr>
          <w:szCs w:val="22"/>
        </w:rPr>
        <w:t>33</w:t>
      </w:r>
      <w:r w:rsidRPr="003A58E4">
        <w:rPr>
          <w:szCs w:val="22"/>
        </w:rPr>
        <w:t>).  The following State</w:t>
      </w:r>
      <w:r w:rsidR="00177F5C">
        <w:rPr>
          <w:szCs w:val="22"/>
        </w:rPr>
        <w:t>s</w:t>
      </w:r>
      <w:r w:rsidRPr="003A58E4">
        <w:rPr>
          <w:szCs w:val="22"/>
        </w:rPr>
        <w:t xml:space="preserve"> w</w:t>
      </w:r>
      <w:r w:rsidR="00177F5C">
        <w:rPr>
          <w:szCs w:val="22"/>
        </w:rPr>
        <w:t>ere</w:t>
      </w:r>
      <w:r w:rsidRPr="003A58E4">
        <w:rPr>
          <w:szCs w:val="22"/>
        </w:rPr>
        <w:t xml:space="preserve"> represented by observer</w:t>
      </w:r>
      <w:r w:rsidR="00177F5C">
        <w:rPr>
          <w:szCs w:val="22"/>
        </w:rPr>
        <w:t>s</w:t>
      </w:r>
      <w:r w:rsidRPr="003A58E4">
        <w:rPr>
          <w:szCs w:val="22"/>
        </w:rPr>
        <w:t xml:space="preserve">:  </w:t>
      </w:r>
      <w:r w:rsidR="00177F5C">
        <w:rPr>
          <w:szCs w:val="22"/>
        </w:rPr>
        <w:t xml:space="preserve">Chad and </w:t>
      </w:r>
      <w:r w:rsidR="00F67C70">
        <w:rPr>
          <w:szCs w:val="22"/>
        </w:rPr>
        <w:t>Iraq</w:t>
      </w:r>
      <w:r w:rsidR="00177F5C">
        <w:rPr>
          <w:szCs w:val="22"/>
        </w:rPr>
        <w:t> </w:t>
      </w:r>
      <w:r w:rsidRPr="003A58E4">
        <w:rPr>
          <w:szCs w:val="22"/>
        </w:rPr>
        <w:t>(</w:t>
      </w:r>
      <w:r w:rsidR="00177F5C">
        <w:rPr>
          <w:szCs w:val="22"/>
        </w:rPr>
        <w:t>2</w:t>
      </w:r>
      <w:r w:rsidRPr="003A58E4">
        <w:rPr>
          <w:szCs w:val="22"/>
        </w:rPr>
        <w:t>).  Representatives of the following international intergovernmental organizations took part in the session in an observer capacity:  Benelux </w:t>
      </w:r>
      <w:r w:rsidR="00071219">
        <w:rPr>
          <w:szCs w:val="22"/>
        </w:rPr>
        <w:t>O</w:t>
      </w:r>
      <w:r w:rsidR="00E76B13">
        <w:rPr>
          <w:szCs w:val="22"/>
        </w:rPr>
        <w:t>ffice</w:t>
      </w:r>
      <w:r w:rsidRPr="003A58E4">
        <w:rPr>
          <w:szCs w:val="22"/>
        </w:rPr>
        <w:t xml:space="preserve"> for Intellectual Property (BOIP) and European Union (EU).  </w:t>
      </w:r>
      <w:r w:rsidR="00F67C70">
        <w:rPr>
          <w:szCs w:val="22"/>
        </w:rPr>
        <w:t>R</w:t>
      </w:r>
      <w:r w:rsidRPr="003A58E4">
        <w:rPr>
          <w:szCs w:val="22"/>
        </w:rPr>
        <w:t>epresentative</w:t>
      </w:r>
      <w:r w:rsidR="00F67C70">
        <w:rPr>
          <w:szCs w:val="22"/>
        </w:rPr>
        <w:t>s</w:t>
      </w:r>
      <w:r w:rsidRPr="003A58E4">
        <w:rPr>
          <w:szCs w:val="22"/>
        </w:rPr>
        <w:t xml:space="preserve"> of the following non-governmental organization</w:t>
      </w:r>
      <w:r w:rsidR="00F67C70">
        <w:rPr>
          <w:szCs w:val="22"/>
        </w:rPr>
        <w:t>s</w:t>
      </w:r>
      <w:r w:rsidRPr="003A58E4">
        <w:rPr>
          <w:szCs w:val="22"/>
        </w:rPr>
        <w:t xml:space="preserve"> attended the session in an observer capacity:  International Trademark Association (INTA)</w:t>
      </w:r>
      <w:r w:rsidR="00F67C70">
        <w:rPr>
          <w:szCs w:val="22"/>
        </w:rPr>
        <w:t xml:space="preserve"> and Japan Patent Attorneys Association (JPAA)</w:t>
      </w:r>
      <w:r w:rsidRPr="003A58E4">
        <w:rPr>
          <w:szCs w:val="22"/>
        </w:rPr>
        <w:t>.  The list of participants appears as Annex I to this report.</w:t>
      </w:r>
    </w:p>
    <w:p w:rsidR="00903948" w:rsidRPr="003A58E4" w:rsidRDefault="00903948" w:rsidP="00A713CD">
      <w:pPr>
        <w:spacing w:line="260" w:lineRule="exact"/>
        <w:rPr>
          <w:szCs w:val="22"/>
        </w:rPr>
      </w:pPr>
    </w:p>
    <w:p w:rsidR="00A713CD" w:rsidRDefault="00903948" w:rsidP="00A713CD">
      <w:pPr>
        <w:spacing w:line="260" w:lineRule="exact"/>
      </w:pPr>
      <w:r w:rsidRPr="003A58E4">
        <w:fldChar w:fldCharType="begin"/>
      </w:r>
      <w:r w:rsidRPr="003A58E4">
        <w:instrText xml:space="preserve"> AUTONUM </w:instrText>
      </w:r>
      <w:r w:rsidRPr="003A58E4">
        <w:fldChar w:fldCharType="end"/>
      </w:r>
      <w:r w:rsidRPr="003A58E4">
        <w:tab/>
        <w:t xml:space="preserve">The session was opened by Mr. </w:t>
      </w:r>
      <w:r w:rsidR="00292D0A">
        <w:t>Antonios Farassopoulos</w:t>
      </w:r>
      <w:r w:rsidRPr="003A58E4">
        <w:t xml:space="preserve">, </w:t>
      </w:r>
      <w:r w:rsidR="00C0589C">
        <w:t>Director</w:t>
      </w:r>
      <w:r w:rsidRPr="00CA64CE">
        <w:t xml:space="preserve">, </w:t>
      </w:r>
      <w:r w:rsidR="00292D0A">
        <w:t>International Classifications and Standards Division</w:t>
      </w:r>
      <w:r w:rsidR="00C0589C">
        <w:t>, WIPO</w:t>
      </w:r>
      <w:r w:rsidRPr="003A58E4">
        <w:t xml:space="preserve">, who welcomed the participants on </w:t>
      </w:r>
      <w:r w:rsidR="0024387E">
        <w:t>behalf of the Director General.</w:t>
      </w:r>
    </w:p>
    <w:p w:rsidR="00A713CD" w:rsidRDefault="00A713CD" w:rsidP="00A713CD">
      <w:pPr>
        <w:spacing w:line="260" w:lineRule="exact"/>
      </w:pPr>
    </w:p>
    <w:p w:rsidR="00A713CD" w:rsidRDefault="00A713CD" w:rsidP="00A713CD">
      <w:pPr>
        <w:spacing w:line="260" w:lineRule="exact"/>
      </w:pPr>
    </w:p>
    <w:p w:rsidR="003D09CB" w:rsidRDefault="003D09CB">
      <w:pPr>
        <w:rPr>
          <w:b/>
        </w:rPr>
      </w:pPr>
    </w:p>
    <w:p w:rsidR="00A713CD" w:rsidRDefault="00A713CD" w:rsidP="00A713CD">
      <w:pPr>
        <w:spacing w:line="260" w:lineRule="exact"/>
        <w:rPr>
          <w:b/>
        </w:rPr>
      </w:pPr>
      <w:r w:rsidRPr="003A58E4">
        <w:rPr>
          <w:b/>
        </w:rPr>
        <w:t>OFFICERS</w:t>
      </w:r>
    </w:p>
    <w:p w:rsidR="00A713CD" w:rsidRPr="00A713CD" w:rsidRDefault="00A713CD" w:rsidP="00A713CD">
      <w:pPr>
        <w:spacing w:line="260" w:lineRule="exact"/>
      </w:pPr>
    </w:p>
    <w:p w:rsidR="000E0B4B"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124221" w:rsidRPr="00124221">
        <w:rPr>
          <w:szCs w:val="22"/>
        </w:rPr>
        <w:t>The Committee unanimously elected Mr. Th</w:t>
      </w:r>
      <w:r w:rsidR="00C11536">
        <w:rPr>
          <w:szCs w:val="22"/>
        </w:rPr>
        <w:t>om Clark (</w:t>
      </w:r>
      <w:r w:rsidR="005615BC">
        <w:rPr>
          <w:szCs w:val="22"/>
        </w:rPr>
        <w:t>EUIPO</w:t>
      </w:r>
      <w:r w:rsidR="00C11536">
        <w:rPr>
          <w:szCs w:val="22"/>
        </w:rPr>
        <w:t>) as Chair, and M</w:t>
      </w:r>
      <w:r w:rsidR="00124221" w:rsidRPr="00124221">
        <w:rPr>
          <w:szCs w:val="22"/>
        </w:rPr>
        <w:t>s. </w:t>
      </w:r>
      <w:r w:rsidR="00292D0A">
        <w:rPr>
          <w:szCs w:val="22"/>
        </w:rPr>
        <w:t>Stéphanie Guillot</w:t>
      </w:r>
      <w:r w:rsidR="00124221" w:rsidRPr="00124221">
        <w:rPr>
          <w:szCs w:val="22"/>
        </w:rPr>
        <w:t xml:space="preserve"> (</w:t>
      </w:r>
      <w:r w:rsidR="00292D0A">
        <w:rPr>
          <w:szCs w:val="22"/>
        </w:rPr>
        <w:t>France</w:t>
      </w:r>
      <w:r w:rsidR="00124221" w:rsidRPr="00124221">
        <w:rPr>
          <w:szCs w:val="22"/>
        </w:rPr>
        <w:t>) and Ms. </w:t>
      </w:r>
      <w:r w:rsidR="00292D0A">
        <w:rPr>
          <w:szCs w:val="22"/>
        </w:rPr>
        <w:t>Chrissie Norman</w:t>
      </w:r>
      <w:r w:rsidR="00124221" w:rsidRPr="00124221">
        <w:rPr>
          <w:szCs w:val="22"/>
        </w:rPr>
        <w:t xml:space="preserve"> (</w:t>
      </w:r>
      <w:r w:rsidR="00292D0A">
        <w:rPr>
          <w:szCs w:val="22"/>
        </w:rPr>
        <w:t>Australia</w:t>
      </w:r>
      <w:r w:rsidR="00124221" w:rsidRPr="00124221">
        <w:rPr>
          <w:szCs w:val="22"/>
        </w:rPr>
        <w:t>) as Vice-Chairs</w:t>
      </w:r>
      <w:r w:rsidR="00124221">
        <w:rPr>
          <w:szCs w:val="22"/>
        </w:rPr>
        <w:t>.</w:t>
      </w:r>
    </w:p>
    <w:p w:rsidR="00A713CD" w:rsidRPr="003A58E4" w:rsidRDefault="008F3443" w:rsidP="00A713CD">
      <w:pPr>
        <w:spacing w:line="260" w:lineRule="exact"/>
        <w:rPr>
          <w:szCs w:val="22"/>
        </w:rPr>
      </w:pPr>
      <w:r>
        <w:rPr>
          <w:szCs w:val="22"/>
        </w:rPr>
        <w:t xml:space="preserve"> </w:t>
      </w:r>
    </w:p>
    <w:p w:rsidR="00A713CD" w:rsidRPr="003A58E4"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M</w:t>
      </w:r>
      <w:r w:rsidR="00124221">
        <w:rPr>
          <w:szCs w:val="22"/>
        </w:rPr>
        <w:t>s</w:t>
      </w:r>
      <w:r w:rsidRPr="003A58E4">
        <w:rPr>
          <w:szCs w:val="22"/>
        </w:rPr>
        <w:t xml:space="preserve">. </w:t>
      </w:r>
      <w:r w:rsidR="00124221">
        <w:rPr>
          <w:szCs w:val="22"/>
        </w:rPr>
        <w:t>Belkis Fava</w:t>
      </w:r>
      <w:r w:rsidRPr="003A58E4">
        <w:rPr>
          <w:szCs w:val="22"/>
        </w:rPr>
        <w:t xml:space="preserve"> (WIPO) acted as Secretary of the session.</w:t>
      </w:r>
    </w:p>
    <w:p w:rsidR="00A713CD" w:rsidRDefault="00A713CD" w:rsidP="00A713CD">
      <w:pPr>
        <w:spacing w:line="260" w:lineRule="exact"/>
        <w:rPr>
          <w:szCs w:val="22"/>
        </w:rPr>
      </w:pPr>
    </w:p>
    <w:p w:rsidR="00A713CD" w:rsidRPr="003A58E4" w:rsidRDefault="00A713CD" w:rsidP="00A713CD">
      <w:pPr>
        <w:spacing w:line="260" w:lineRule="exact"/>
        <w:rPr>
          <w:szCs w:val="22"/>
        </w:rPr>
      </w:pPr>
    </w:p>
    <w:p w:rsidR="00A713CD" w:rsidRDefault="00A713CD" w:rsidP="00A713CD">
      <w:pPr>
        <w:spacing w:line="260" w:lineRule="exact"/>
        <w:rPr>
          <w:b/>
        </w:rPr>
      </w:pPr>
      <w:r w:rsidRPr="00A713CD">
        <w:rPr>
          <w:b/>
        </w:rPr>
        <w:t>ADOPTION OF THE AGENDA</w:t>
      </w:r>
    </w:p>
    <w:p w:rsidR="00A713CD" w:rsidRPr="00A713CD" w:rsidRDefault="00A713CD" w:rsidP="00A713CD">
      <w:pPr>
        <w:spacing w:line="260" w:lineRule="exact"/>
      </w:pPr>
    </w:p>
    <w:p w:rsidR="00A713CD" w:rsidRPr="003A58E4" w:rsidRDefault="00A713CD" w:rsidP="00A713CD">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The Committee unanimously adopted the agenda, which appears as Annex II to this report.</w:t>
      </w:r>
    </w:p>
    <w:p w:rsidR="00A713CD" w:rsidRDefault="00A713CD" w:rsidP="00A713CD">
      <w:pPr>
        <w:spacing w:line="260" w:lineRule="exact"/>
        <w:rPr>
          <w:szCs w:val="22"/>
        </w:rPr>
      </w:pPr>
    </w:p>
    <w:p w:rsidR="00A713CD" w:rsidRPr="003A58E4" w:rsidRDefault="00A713CD" w:rsidP="00A713CD">
      <w:pPr>
        <w:spacing w:line="260" w:lineRule="exact"/>
        <w:rPr>
          <w:szCs w:val="22"/>
        </w:rPr>
      </w:pPr>
    </w:p>
    <w:p w:rsidR="00A713CD" w:rsidRDefault="00A713CD" w:rsidP="00A713CD">
      <w:pPr>
        <w:spacing w:line="260" w:lineRule="exact"/>
        <w:rPr>
          <w:b/>
        </w:rPr>
      </w:pPr>
      <w:r w:rsidRPr="00A713CD">
        <w:rPr>
          <w:b/>
        </w:rPr>
        <w:t>DISCUSSIONS, CONCLUSIONS AND DECISIONS</w:t>
      </w:r>
    </w:p>
    <w:p w:rsidR="00A713CD" w:rsidRPr="00A713CD" w:rsidRDefault="00A713CD" w:rsidP="00A713CD">
      <w:pPr>
        <w:spacing w:line="260" w:lineRule="exact"/>
        <w:rPr>
          <w:szCs w:val="22"/>
        </w:rPr>
      </w:pPr>
    </w:p>
    <w:p w:rsidR="00A713CD" w:rsidRPr="003A58E4"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 </w:t>
      </w:r>
    </w:p>
    <w:p w:rsidR="00A713CD" w:rsidRDefault="00A713CD" w:rsidP="00A713CD">
      <w:pPr>
        <w:spacing w:line="260" w:lineRule="exact"/>
        <w:rPr>
          <w:szCs w:val="22"/>
        </w:rPr>
      </w:pPr>
    </w:p>
    <w:p w:rsidR="00A713CD" w:rsidRPr="00A823EC" w:rsidRDefault="00A713CD" w:rsidP="00A713CD">
      <w:pPr>
        <w:spacing w:line="260" w:lineRule="exact"/>
        <w:rPr>
          <w:szCs w:val="22"/>
        </w:rPr>
      </w:pPr>
    </w:p>
    <w:p w:rsidR="00A713CD" w:rsidRDefault="00A713CD" w:rsidP="00A713CD">
      <w:pPr>
        <w:spacing w:line="260" w:lineRule="exact"/>
        <w:rPr>
          <w:b/>
          <w:szCs w:val="22"/>
        </w:rPr>
      </w:pPr>
      <w:r>
        <w:rPr>
          <w:b/>
          <w:szCs w:val="22"/>
        </w:rPr>
        <w:t>ENTRY INTO FORCE OF THE DECISIONS OF THE COMMITTEE OF EXPERTS</w:t>
      </w:r>
    </w:p>
    <w:p w:rsidR="00A713CD" w:rsidRPr="00A823EC" w:rsidRDefault="00A713CD" w:rsidP="00A713CD"/>
    <w:p w:rsidR="00A713CD" w:rsidRDefault="00A713CD" w:rsidP="00A713CD">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In accordance with Rule 7 of the Revised Rules of Procedure, the Committee agreed that changes to the </w:t>
      </w:r>
      <w:r w:rsidR="00AF24F5">
        <w:rPr>
          <w:szCs w:val="22"/>
        </w:rPr>
        <w:t>201</w:t>
      </w:r>
      <w:r w:rsidR="00706D44">
        <w:rPr>
          <w:szCs w:val="22"/>
        </w:rPr>
        <w:t>6</w:t>
      </w:r>
      <w:r w:rsidR="00AF24F5">
        <w:rPr>
          <w:szCs w:val="22"/>
        </w:rPr>
        <w:t xml:space="preserve"> version of the </w:t>
      </w:r>
      <w:r>
        <w:rPr>
          <w:szCs w:val="22"/>
        </w:rPr>
        <w:t>ten</w:t>
      </w:r>
      <w:r w:rsidRPr="003A58E4">
        <w:rPr>
          <w:szCs w:val="22"/>
        </w:rPr>
        <w:t>th edition of the Nice Classification</w:t>
      </w:r>
      <w:r w:rsidR="0015216F">
        <w:rPr>
          <w:szCs w:val="22"/>
        </w:rPr>
        <w:t>,</w:t>
      </w:r>
      <w:r w:rsidR="00AF24F5">
        <w:rPr>
          <w:szCs w:val="22"/>
        </w:rPr>
        <w:t xml:space="preserve"> </w:t>
      </w:r>
      <w:r w:rsidR="0015216F">
        <w:rPr>
          <w:szCs w:val="22"/>
        </w:rPr>
        <w:t>and</w:t>
      </w:r>
      <w:r>
        <w:rPr>
          <w:szCs w:val="22"/>
        </w:rPr>
        <w:t xml:space="preserve"> amendment</w:t>
      </w:r>
      <w:r w:rsidR="0015216F">
        <w:rPr>
          <w:szCs w:val="22"/>
        </w:rPr>
        <w:t>s</w:t>
      </w:r>
      <w:r>
        <w:rPr>
          <w:szCs w:val="22"/>
        </w:rPr>
        <w:t xml:space="preserve"> </w:t>
      </w:r>
      <w:r w:rsidR="00A958C2" w:rsidRPr="00A958C2">
        <w:rPr>
          <w:szCs w:val="22"/>
        </w:rPr>
        <w:t>in the sense of Article 3(7</w:t>
      </w:r>
      <w:proofErr w:type="gramStart"/>
      <w:r w:rsidR="00A958C2" w:rsidRPr="00A958C2">
        <w:rPr>
          <w:szCs w:val="22"/>
        </w:rPr>
        <w:t>)(</w:t>
      </w:r>
      <w:proofErr w:type="gramEnd"/>
      <w:r w:rsidR="00A958C2" w:rsidRPr="00A958C2">
        <w:rPr>
          <w:szCs w:val="22"/>
        </w:rPr>
        <w:t>b) of the Nice Agreement</w:t>
      </w:r>
      <w:r w:rsidR="00A958C2" w:rsidRPr="00A958C2">
        <w:rPr>
          <w:szCs w:val="22"/>
          <w:vertAlign w:val="superscript"/>
        </w:rPr>
        <w:footnoteReference w:id="2"/>
      </w:r>
      <w:r w:rsidR="00A958C2">
        <w:rPr>
          <w:szCs w:val="22"/>
        </w:rPr>
        <w:t xml:space="preserve"> </w:t>
      </w:r>
      <w:r w:rsidR="0015216F">
        <w:rPr>
          <w:szCs w:val="22"/>
        </w:rPr>
        <w:t xml:space="preserve">adopted during the </w:t>
      </w:r>
      <w:r w:rsidR="00A958C2">
        <w:rPr>
          <w:szCs w:val="22"/>
        </w:rPr>
        <w:t xml:space="preserve">whole five-year </w:t>
      </w:r>
      <w:r w:rsidR="0015216F">
        <w:rPr>
          <w:szCs w:val="22"/>
        </w:rPr>
        <w:t>revision period</w:t>
      </w:r>
      <w:r>
        <w:rPr>
          <w:szCs w:val="22"/>
        </w:rPr>
        <w:t>, would enter into force on January 1, 201</w:t>
      </w:r>
      <w:r w:rsidR="00A02569">
        <w:rPr>
          <w:szCs w:val="22"/>
        </w:rPr>
        <w:t>7</w:t>
      </w:r>
      <w:r>
        <w:rPr>
          <w:szCs w:val="22"/>
        </w:rPr>
        <w:t xml:space="preserve"> and be published</w:t>
      </w:r>
      <w:r w:rsidRPr="00AD00B6">
        <w:rPr>
          <w:szCs w:val="22"/>
        </w:rPr>
        <w:t xml:space="preserve"> </w:t>
      </w:r>
      <w:r>
        <w:rPr>
          <w:szCs w:val="22"/>
        </w:rPr>
        <w:t xml:space="preserve">online in a new </w:t>
      </w:r>
      <w:r w:rsidR="0015216F">
        <w:rPr>
          <w:szCs w:val="22"/>
        </w:rPr>
        <w:t xml:space="preserve">(eleventh) </w:t>
      </w:r>
      <w:r>
        <w:rPr>
          <w:szCs w:val="22"/>
        </w:rPr>
        <w:t>edition</w:t>
      </w:r>
      <w:r w:rsidR="00E530F6">
        <w:rPr>
          <w:szCs w:val="22"/>
        </w:rPr>
        <w:t xml:space="preserve"> (NCL (1</w:t>
      </w:r>
      <w:r w:rsidR="0015216F">
        <w:rPr>
          <w:szCs w:val="22"/>
        </w:rPr>
        <w:t>1</w:t>
      </w:r>
      <w:r w:rsidR="00E530F6">
        <w:rPr>
          <w:szCs w:val="22"/>
        </w:rPr>
        <w:t>-201</w:t>
      </w:r>
      <w:r w:rsidR="0015216F">
        <w:rPr>
          <w:szCs w:val="22"/>
        </w:rPr>
        <w:t>7</w:t>
      </w:r>
      <w:r w:rsidR="00E530F6">
        <w:rPr>
          <w:szCs w:val="22"/>
        </w:rPr>
        <w:t>)</w:t>
      </w:r>
      <w:r w:rsidR="00AF24F5">
        <w:rPr>
          <w:szCs w:val="22"/>
        </w:rPr>
        <w:t>) by the end of 201</w:t>
      </w:r>
      <w:r w:rsidR="0015216F">
        <w:rPr>
          <w:szCs w:val="22"/>
        </w:rPr>
        <w:t>6</w:t>
      </w:r>
      <w:r w:rsidR="00E530F6">
        <w:rPr>
          <w:szCs w:val="22"/>
        </w:rPr>
        <w:t>.</w:t>
      </w:r>
    </w:p>
    <w:p w:rsidR="005B31FF" w:rsidRDefault="005B31FF" w:rsidP="00A713CD">
      <w:pPr>
        <w:spacing w:line="260" w:lineRule="exact"/>
        <w:rPr>
          <w:szCs w:val="22"/>
        </w:rPr>
      </w:pPr>
    </w:p>
    <w:p w:rsidR="005B31FF" w:rsidRPr="003A58E4" w:rsidRDefault="005B31FF" w:rsidP="00A713CD">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t>The Committee invited the International Bureau to take the opportunity of correcting any obvious typing or grammatical errors which it found in the text of the Classification and harmonizing, as far as possible, the use of punctuation.</w:t>
      </w:r>
    </w:p>
    <w:p w:rsidR="004E44EE" w:rsidRDefault="004E44EE" w:rsidP="00A713CD">
      <w:pPr>
        <w:spacing w:line="260" w:lineRule="exact"/>
        <w:rPr>
          <w:caps/>
          <w:szCs w:val="22"/>
        </w:rPr>
      </w:pPr>
    </w:p>
    <w:p w:rsidR="00D40043" w:rsidRPr="0024387E" w:rsidRDefault="00D40043" w:rsidP="00A713CD">
      <w:pPr>
        <w:spacing w:line="260" w:lineRule="exact"/>
        <w:rPr>
          <w:caps/>
          <w:szCs w:val="22"/>
        </w:rPr>
      </w:pPr>
    </w:p>
    <w:p w:rsidR="00365019" w:rsidRPr="00365019" w:rsidRDefault="00365019" w:rsidP="00365019">
      <w:pPr>
        <w:rPr>
          <w:b/>
          <w:szCs w:val="22"/>
        </w:rPr>
      </w:pPr>
      <w:r w:rsidRPr="00365019">
        <w:rPr>
          <w:b/>
          <w:szCs w:val="22"/>
        </w:rPr>
        <w:t xml:space="preserve">CONSIDERATION OF </w:t>
      </w:r>
      <w:r>
        <w:rPr>
          <w:b/>
          <w:szCs w:val="22"/>
        </w:rPr>
        <w:t>MATTERS CONCERNING</w:t>
      </w:r>
      <w:r w:rsidRPr="00365019">
        <w:rPr>
          <w:b/>
          <w:szCs w:val="22"/>
        </w:rPr>
        <w:t>:</w:t>
      </w:r>
    </w:p>
    <w:p w:rsidR="00365019" w:rsidRPr="00365019" w:rsidRDefault="00365019" w:rsidP="00365019">
      <w:pPr>
        <w:rPr>
          <w:b/>
          <w:szCs w:val="22"/>
        </w:rPr>
      </w:pPr>
    </w:p>
    <w:p w:rsidR="00365019" w:rsidRDefault="00365019" w:rsidP="00365019">
      <w:pPr>
        <w:rPr>
          <w:b/>
          <w:szCs w:val="22"/>
        </w:rPr>
      </w:pPr>
      <w:r w:rsidRPr="00365019">
        <w:rPr>
          <w:b/>
          <w:szCs w:val="22"/>
        </w:rPr>
        <w:t>(a)</w:t>
      </w:r>
      <w:r w:rsidRPr="00365019">
        <w:rPr>
          <w:b/>
          <w:szCs w:val="22"/>
        </w:rPr>
        <w:tab/>
        <w:t>PROPOSALS SUBMITTED BY MEMBER STATES THAT ARE NOT PRESENT AT THE SESSION OF THE</w:t>
      </w:r>
      <w:r>
        <w:rPr>
          <w:b/>
          <w:szCs w:val="22"/>
        </w:rPr>
        <w:t xml:space="preserve"> </w:t>
      </w:r>
      <w:r w:rsidRPr="00365019">
        <w:rPr>
          <w:b/>
          <w:szCs w:val="22"/>
        </w:rPr>
        <w:t>COMMITTEE</w:t>
      </w:r>
    </w:p>
    <w:p w:rsidR="000B2A59" w:rsidRDefault="000B2A59" w:rsidP="00365019">
      <w:pPr>
        <w:rPr>
          <w:szCs w:val="22"/>
        </w:rPr>
      </w:pPr>
    </w:p>
    <w:p w:rsidR="00670E0E" w:rsidRDefault="000B2A59" w:rsidP="000B2A59">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9" w:history="1">
        <w:r w:rsidRPr="00641CAE">
          <w:rPr>
            <w:rStyle w:val="Hyperlink"/>
            <w:szCs w:val="22"/>
          </w:rPr>
          <w:t>CE262</w:t>
        </w:r>
      </w:hyperlink>
      <w:r>
        <w:rPr>
          <w:szCs w:val="22"/>
        </w:rPr>
        <w:t xml:space="preserve">, </w:t>
      </w:r>
      <w:hyperlink r:id="rId10" w:history="1">
        <w:r w:rsidRPr="0083567C">
          <w:rPr>
            <w:rStyle w:val="Hyperlink"/>
            <w:szCs w:val="22"/>
          </w:rPr>
          <w:t>Annex 1</w:t>
        </w:r>
      </w:hyperlink>
      <w:r>
        <w:rPr>
          <w:szCs w:val="22"/>
        </w:rPr>
        <w:t xml:space="preserve">, Part I, </w:t>
      </w:r>
      <w:r w:rsidR="00C85A08">
        <w:rPr>
          <w:szCs w:val="22"/>
        </w:rPr>
        <w:t xml:space="preserve">submitted by the International Bureau, </w:t>
      </w:r>
      <w:r w:rsidRPr="003A58E4">
        <w:rPr>
          <w:szCs w:val="22"/>
        </w:rPr>
        <w:t xml:space="preserve">which </w:t>
      </w:r>
      <w:r>
        <w:rPr>
          <w:szCs w:val="22"/>
        </w:rPr>
        <w:t xml:space="preserve">contained guidelines </w:t>
      </w:r>
      <w:r w:rsidR="00847393">
        <w:rPr>
          <w:szCs w:val="22"/>
        </w:rPr>
        <w:t xml:space="preserve">for dealing with </w:t>
      </w:r>
      <w:r>
        <w:rPr>
          <w:szCs w:val="22"/>
        </w:rPr>
        <w:t>proposals submitted by member States that are not present at the session of the Committee.</w:t>
      </w:r>
    </w:p>
    <w:p w:rsidR="00670E0E" w:rsidRDefault="00670E0E">
      <w:pPr>
        <w:rPr>
          <w:szCs w:val="22"/>
        </w:rPr>
      </w:pPr>
      <w:r>
        <w:rPr>
          <w:szCs w:val="22"/>
        </w:rPr>
        <w:br w:type="page"/>
      </w:r>
    </w:p>
    <w:p w:rsidR="00C211FB" w:rsidRDefault="00365019" w:rsidP="00C211FB">
      <w:pPr>
        <w:ind w:left="567"/>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C211FB">
        <w:rPr>
          <w:szCs w:val="22"/>
        </w:rPr>
        <w:t xml:space="preserve">The Committee agreed on </w:t>
      </w:r>
      <w:r w:rsidR="0055507D">
        <w:rPr>
          <w:szCs w:val="22"/>
        </w:rPr>
        <w:t xml:space="preserve">the following </w:t>
      </w:r>
      <w:r w:rsidR="00C211FB">
        <w:rPr>
          <w:szCs w:val="22"/>
        </w:rPr>
        <w:t>guidelines:</w:t>
      </w:r>
    </w:p>
    <w:p w:rsidR="00C211FB" w:rsidRDefault="00C211FB" w:rsidP="00C211FB">
      <w:pPr>
        <w:ind w:left="567"/>
        <w:rPr>
          <w:szCs w:val="22"/>
        </w:rPr>
      </w:pPr>
    </w:p>
    <w:p w:rsidR="00C211FB" w:rsidRPr="00F72481" w:rsidRDefault="00C211FB" w:rsidP="00C211FB">
      <w:pPr>
        <w:ind w:left="1134"/>
        <w:rPr>
          <w:szCs w:val="22"/>
        </w:rPr>
      </w:pPr>
      <w:proofErr w:type="spellStart"/>
      <w:r w:rsidRPr="00F72481">
        <w:rPr>
          <w:szCs w:val="22"/>
        </w:rPr>
        <w:t>i</w:t>
      </w:r>
      <w:proofErr w:type="spellEnd"/>
      <w:r w:rsidRPr="00F72481">
        <w:rPr>
          <w:szCs w:val="22"/>
        </w:rPr>
        <w:t>.</w:t>
      </w:r>
      <w:r w:rsidRPr="00F72481">
        <w:rPr>
          <w:szCs w:val="22"/>
        </w:rPr>
        <w:tab/>
        <w:t xml:space="preserve">When a proposal from a member State that is not represented at the session is to be considered by the Committee, it </w:t>
      </w:r>
      <w:r>
        <w:rPr>
          <w:szCs w:val="22"/>
        </w:rPr>
        <w:t>will</w:t>
      </w:r>
      <w:r w:rsidRPr="00F72481">
        <w:rPr>
          <w:szCs w:val="22"/>
        </w:rPr>
        <w:t xml:space="preserve"> be voted on in its original form in accordance with the majority provided in Article 3(7) of the Nice Agreement.</w:t>
      </w:r>
    </w:p>
    <w:p w:rsidR="00C211FB" w:rsidRPr="00F72481" w:rsidRDefault="00C211FB" w:rsidP="00C211FB">
      <w:pPr>
        <w:ind w:left="1134"/>
        <w:rPr>
          <w:szCs w:val="22"/>
        </w:rPr>
      </w:pPr>
    </w:p>
    <w:p w:rsidR="00C211FB" w:rsidRPr="00F72481" w:rsidRDefault="00C211FB" w:rsidP="00C211FB">
      <w:pPr>
        <w:ind w:left="1134"/>
        <w:rPr>
          <w:szCs w:val="22"/>
        </w:rPr>
      </w:pPr>
      <w:r w:rsidRPr="00F72481">
        <w:rPr>
          <w:szCs w:val="22"/>
        </w:rPr>
        <w:t>ii.</w:t>
      </w:r>
      <w:r w:rsidRPr="00F72481">
        <w:rPr>
          <w:szCs w:val="22"/>
        </w:rPr>
        <w:tab/>
        <w:t xml:space="preserve">If the proposal in its original form does not obtain the required majority and the Chair of the Committee is of the opinion that the proposal could be acceptable in amended form, the Chair may propose a new wording based on the suggestions made by the floor.  If the amended proposal obtains the required majority, it </w:t>
      </w:r>
      <w:r>
        <w:rPr>
          <w:szCs w:val="22"/>
        </w:rPr>
        <w:t>will</w:t>
      </w:r>
      <w:r w:rsidRPr="00F72481">
        <w:rPr>
          <w:szCs w:val="22"/>
        </w:rPr>
        <w:t xml:space="preserve"> appear in the report as a CE proposal and the original proposal as rejected. </w:t>
      </w:r>
      <w:r w:rsidR="00F54C6B">
        <w:rPr>
          <w:szCs w:val="22"/>
        </w:rPr>
        <w:t xml:space="preserve"> </w:t>
      </w:r>
      <w:r w:rsidRPr="00F72481">
        <w:rPr>
          <w:szCs w:val="22"/>
        </w:rPr>
        <w:t xml:space="preserve">If the amended proposal is also rejected, only the original proposal </w:t>
      </w:r>
      <w:r>
        <w:rPr>
          <w:szCs w:val="22"/>
        </w:rPr>
        <w:t>will</w:t>
      </w:r>
      <w:r w:rsidRPr="00F72481">
        <w:rPr>
          <w:szCs w:val="22"/>
        </w:rPr>
        <w:t xml:space="preserve"> be mentioned in the report as rejected.</w:t>
      </w:r>
    </w:p>
    <w:p w:rsidR="00C211FB" w:rsidRPr="00F72481" w:rsidRDefault="00C211FB" w:rsidP="00C211FB">
      <w:pPr>
        <w:ind w:left="1134"/>
        <w:rPr>
          <w:szCs w:val="22"/>
        </w:rPr>
      </w:pPr>
    </w:p>
    <w:p w:rsidR="00C211FB" w:rsidRDefault="00C211FB" w:rsidP="00C211FB">
      <w:pPr>
        <w:ind w:left="1134"/>
        <w:rPr>
          <w:szCs w:val="22"/>
        </w:rPr>
      </w:pPr>
      <w:r w:rsidRPr="00F72481">
        <w:rPr>
          <w:szCs w:val="22"/>
        </w:rPr>
        <w:t>iii.</w:t>
      </w:r>
      <w:r w:rsidRPr="00F72481">
        <w:rPr>
          <w:szCs w:val="22"/>
        </w:rPr>
        <w:tab/>
        <w:t xml:space="preserve">The type of amendments that other delegations can suggest </w:t>
      </w:r>
      <w:r>
        <w:rPr>
          <w:szCs w:val="22"/>
        </w:rPr>
        <w:t>shall</w:t>
      </w:r>
      <w:r w:rsidRPr="00F72481">
        <w:rPr>
          <w:szCs w:val="22"/>
        </w:rPr>
        <w:t xml:space="preserve"> aim only at clarifying the meaning of the indication, either by improving the wording or adding clarification between square brackets.  The amended proposal </w:t>
      </w:r>
      <w:r>
        <w:rPr>
          <w:szCs w:val="22"/>
        </w:rPr>
        <w:t>shall</w:t>
      </w:r>
      <w:r w:rsidRPr="00F72481">
        <w:rPr>
          <w:szCs w:val="22"/>
        </w:rPr>
        <w:t xml:space="preserve"> be acceptable in the class of the original proposal or, if it is a transfer, in the target class of the original proposal.</w:t>
      </w:r>
    </w:p>
    <w:p w:rsidR="00F72481" w:rsidRPr="007524BB" w:rsidRDefault="00F72481" w:rsidP="00F72481">
      <w:pPr>
        <w:rPr>
          <w:szCs w:val="22"/>
        </w:rPr>
      </w:pPr>
    </w:p>
    <w:p w:rsidR="00365019" w:rsidRDefault="00365019" w:rsidP="00365019">
      <w:pPr>
        <w:rPr>
          <w:b/>
          <w:szCs w:val="22"/>
        </w:rPr>
      </w:pPr>
      <w:r w:rsidRPr="00365019">
        <w:rPr>
          <w:b/>
          <w:szCs w:val="22"/>
        </w:rPr>
        <w:t>(b)</w:t>
      </w:r>
      <w:r w:rsidRPr="00365019">
        <w:rPr>
          <w:b/>
          <w:szCs w:val="22"/>
        </w:rPr>
        <w:tab/>
        <w:t>PROPOSALS FOR THE ADDITION OF TYPICAL REGIONAL PRODUCTS TO THE ALPHABETICAL LIST OF THE CLASSIFICATION</w:t>
      </w:r>
    </w:p>
    <w:p w:rsidR="000B2A59" w:rsidRDefault="000B2A59" w:rsidP="00365019">
      <w:pPr>
        <w:rPr>
          <w:szCs w:val="22"/>
        </w:rPr>
      </w:pPr>
    </w:p>
    <w:p w:rsidR="000B2A59" w:rsidRDefault="000B2A59" w:rsidP="000B2A59">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11" w:history="1">
        <w:r w:rsidRPr="00641CAE">
          <w:rPr>
            <w:rStyle w:val="Hyperlink"/>
            <w:szCs w:val="22"/>
          </w:rPr>
          <w:t>CE262</w:t>
        </w:r>
      </w:hyperlink>
      <w:r>
        <w:rPr>
          <w:szCs w:val="22"/>
        </w:rPr>
        <w:t xml:space="preserve">, </w:t>
      </w:r>
      <w:hyperlink r:id="rId12" w:history="1">
        <w:r w:rsidRPr="0083567C">
          <w:rPr>
            <w:rStyle w:val="Hyperlink"/>
            <w:szCs w:val="22"/>
          </w:rPr>
          <w:t>Annex 1</w:t>
        </w:r>
      </w:hyperlink>
      <w:r>
        <w:rPr>
          <w:szCs w:val="22"/>
        </w:rPr>
        <w:t xml:space="preserve">, Part II, </w:t>
      </w:r>
      <w:r w:rsidR="00C85A08">
        <w:rPr>
          <w:szCs w:val="22"/>
        </w:rPr>
        <w:t xml:space="preserve">submitted by the International Bureau, </w:t>
      </w:r>
      <w:r w:rsidRPr="003A58E4">
        <w:rPr>
          <w:szCs w:val="22"/>
        </w:rPr>
        <w:t xml:space="preserve">which </w:t>
      </w:r>
      <w:r>
        <w:rPr>
          <w:szCs w:val="22"/>
        </w:rPr>
        <w:t xml:space="preserve">contained guidelines concerning the addition of </w:t>
      </w:r>
      <w:r w:rsidR="006A1678">
        <w:rPr>
          <w:szCs w:val="22"/>
        </w:rPr>
        <w:t>typical</w:t>
      </w:r>
      <w:r>
        <w:rPr>
          <w:szCs w:val="22"/>
        </w:rPr>
        <w:t xml:space="preserve"> </w:t>
      </w:r>
      <w:r w:rsidR="00F72481">
        <w:rPr>
          <w:szCs w:val="22"/>
        </w:rPr>
        <w:t xml:space="preserve">national or </w:t>
      </w:r>
      <w:r>
        <w:rPr>
          <w:szCs w:val="22"/>
        </w:rPr>
        <w:t>regional products to the Alphabetical List.</w:t>
      </w:r>
    </w:p>
    <w:p w:rsidR="00365019" w:rsidRDefault="00365019" w:rsidP="00365019">
      <w:pPr>
        <w:rPr>
          <w:szCs w:val="22"/>
        </w:rPr>
      </w:pPr>
    </w:p>
    <w:p w:rsidR="00365019" w:rsidRDefault="00365019" w:rsidP="00365019">
      <w:pPr>
        <w:rPr>
          <w:szCs w:val="22"/>
        </w:rPr>
      </w:pPr>
      <w:r w:rsidRPr="000B2A59">
        <w:rPr>
          <w:szCs w:val="22"/>
        </w:rPr>
        <w:fldChar w:fldCharType="begin"/>
      </w:r>
      <w:r w:rsidRPr="000B2A59">
        <w:rPr>
          <w:szCs w:val="22"/>
        </w:rPr>
        <w:instrText xml:space="preserve"> AUTONUM  </w:instrText>
      </w:r>
      <w:r w:rsidRPr="000B2A59">
        <w:rPr>
          <w:szCs w:val="22"/>
        </w:rPr>
        <w:fldChar w:fldCharType="end"/>
      </w:r>
      <w:r>
        <w:rPr>
          <w:szCs w:val="22"/>
        </w:rPr>
        <w:tab/>
      </w:r>
      <w:r w:rsidR="00C211FB" w:rsidRPr="00C211FB">
        <w:rPr>
          <w:szCs w:val="22"/>
        </w:rPr>
        <w:t>The guidelines, which had been prepared on the bas</w:t>
      </w:r>
      <w:r w:rsidR="00C85A08">
        <w:rPr>
          <w:szCs w:val="22"/>
        </w:rPr>
        <w:t>i</w:t>
      </w:r>
      <w:r w:rsidR="00C211FB" w:rsidRPr="00C211FB">
        <w:rPr>
          <w:szCs w:val="22"/>
        </w:rPr>
        <w:t xml:space="preserve">s of </w:t>
      </w:r>
      <w:r w:rsidR="001A2FA2">
        <w:rPr>
          <w:szCs w:val="22"/>
        </w:rPr>
        <w:t xml:space="preserve">the </w:t>
      </w:r>
      <w:r w:rsidR="00C211FB" w:rsidRPr="00C211FB">
        <w:rPr>
          <w:szCs w:val="22"/>
        </w:rPr>
        <w:t xml:space="preserve">comments made by </w:t>
      </w:r>
      <w:r w:rsidR="001A2FA2">
        <w:rPr>
          <w:szCs w:val="22"/>
        </w:rPr>
        <w:t>some</w:t>
      </w:r>
      <w:r w:rsidR="00C211FB" w:rsidRPr="00C211FB">
        <w:rPr>
          <w:szCs w:val="22"/>
        </w:rPr>
        <w:t xml:space="preserve"> member</w:t>
      </w:r>
      <w:r w:rsidR="001A2FA2">
        <w:rPr>
          <w:szCs w:val="22"/>
        </w:rPr>
        <w:t xml:space="preserve">s of the </w:t>
      </w:r>
      <w:r w:rsidR="002F105C">
        <w:rPr>
          <w:szCs w:val="22"/>
        </w:rPr>
        <w:t>Committee</w:t>
      </w:r>
      <w:r w:rsidR="00C211FB" w:rsidRPr="00C211FB">
        <w:rPr>
          <w:szCs w:val="22"/>
        </w:rPr>
        <w:t xml:space="preserve"> during the twenty-fifth session, did not obtain </w:t>
      </w:r>
      <w:r w:rsidR="002F105C" w:rsidRPr="00C211FB">
        <w:rPr>
          <w:szCs w:val="22"/>
        </w:rPr>
        <w:t>consensus</w:t>
      </w:r>
      <w:r w:rsidR="00C211FB" w:rsidRPr="00C211FB">
        <w:rPr>
          <w:szCs w:val="22"/>
        </w:rPr>
        <w:t xml:space="preserve">.  </w:t>
      </w:r>
      <w:r w:rsidR="00E10E7D">
        <w:rPr>
          <w:szCs w:val="22"/>
        </w:rPr>
        <w:t xml:space="preserve">In particular, </w:t>
      </w:r>
      <w:r w:rsidR="003A78DB">
        <w:rPr>
          <w:szCs w:val="22"/>
        </w:rPr>
        <w:t xml:space="preserve">it </w:t>
      </w:r>
      <w:r w:rsidR="004D7A10">
        <w:rPr>
          <w:szCs w:val="22"/>
        </w:rPr>
        <w:t>was</w:t>
      </w:r>
      <w:r w:rsidR="003A78DB">
        <w:rPr>
          <w:szCs w:val="22"/>
        </w:rPr>
        <w:t xml:space="preserve"> important </w:t>
      </w:r>
      <w:r w:rsidR="00E10E7D">
        <w:rPr>
          <w:szCs w:val="22"/>
        </w:rPr>
        <w:t xml:space="preserve">for certain countries </w:t>
      </w:r>
      <w:r w:rsidR="003A78DB">
        <w:rPr>
          <w:szCs w:val="22"/>
        </w:rPr>
        <w:t xml:space="preserve">to </w:t>
      </w:r>
      <w:r w:rsidR="00E10E7D">
        <w:rPr>
          <w:szCs w:val="22"/>
        </w:rPr>
        <w:t xml:space="preserve">be able to </w:t>
      </w:r>
      <w:r w:rsidR="004D7A10">
        <w:rPr>
          <w:szCs w:val="22"/>
        </w:rPr>
        <w:t xml:space="preserve">continue </w:t>
      </w:r>
      <w:r w:rsidR="00E10E7D">
        <w:rPr>
          <w:szCs w:val="22"/>
        </w:rPr>
        <w:t>including</w:t>
      </w:r>
      <w:r w:rsidR="003A78DB">
        <w:rPr>
          <w:szCs w:val="22"/>
        </w:rPr>
        <w:t xml:space="preserve"> in the Alphabetical List </w:t>
      </w:r>
      <w:r w:rsidR="003A78DB" w:rsidRPr="003A78DB">
        <w:rPr>
          <w:szCs w:val="22"/>
        </w:rPr>
        <w:t xml:space="preserve">products and services that are typical </w:t>
      </w:r>
      <w:r w:rsidR="000A1326">
        <w:rPr>
          <w:szCs w:val="22"/>
        </w:rPr>
        <w:t>of</w:t>
      </w:r>
      <w:r w:rsidR="003A78DB" w:rsidRPr="003A78DB">
        <w:rPr>
          <w:szCs w:val="22"/>
        </w:rPr>
        <w:t xml:space="preserve"> their region</w:t>
      </w:r>
      <w:r w:rsidR="003A78DB">
        <w:rPr>
          <w:szCs w:val="22"/>
        </w:rPr>
        <w:t xml:space="preserve">.  </w:t>
      </w:r>
      <w:r w:rsidR="004D7A10">
        <w:rPr>
          <w:szCs w:val="22"/>
        </w:rPr>
        <w:t xml:space="preserve">In cases where </w:t>
      </w:r>
      <w:r w:rsidR="00C15035">
        <w:rPr>
          <w:szCs w:val="22"/>
        </w:rPr>
        <w:t>a</w:t>
      </w:r>
      <w:r w:rsidR="004D7A10">
        <w:rPr>
          <w:szCs w:val="22"/>
        </w:rPr>
        <w:t xml:space="preserve"> </w:t>
      </w:r>
      <w:r w:rsidR="00C15035">
        <w:rPr>
          <w:szCs w:val="22"/>
        </w:rPr>
        <w:t>term</w:t>
      </w:r>
      <w:r w:rsidR="004D7A10">
        <w:rPr>
          <w:szCs w:val="22"/>
        </w:rPr>
        <w:t xml:space="preserve"> </w:t>
      </w:r>
      <w:r w:rsidR="00C15035">
        <w:rPr>
          <w:szCs w:val="22"/>
        </w:rPr>
        <w:t>would</w:t>
      </w:r>
      <w:r w:rsidR="004D7A10">
        <w:rPr>
          <w:szCs w:val="22"/>
        </w:rPr>
        <w:t xml:space="preserve"> not </w:t>
      </w:r>
      <w:r w:rsidR="00C15035">
        <w:rPr>
          <w:szCs w:val="22"/>
        </w:rPr>
        <w:t xml:space="preserve">be </w:t>
      </w:r>
      <w:r w:rsidR="004D7A10">
        <w:rPr>
          <w:szCs w:val="22"/>
        </w:rPr>
        <w:t xml:space="preserve">broadly known as proposed, </w:t>
      </w:r>
      <w:r w:rsidR="00E10E7D">
        <w:rPr>
          <w:szCs w:val="22"/>
        </w:rPr>
        <w:t>it should be possible to add a</w:t>
      </w:r>
      <w:r w:rsidR="00C15035">
        <w:rPr>
          <w:szCs w:val="22"/>
        </w:rPr>
        <w:t xml:space="preserve"> succinct</w:t>
      </w:r>
      <w:r w:rsidR="004D7A10">
        <w:rPr>
          <w:szCs w:val="22"/>
        </w:rPr>
        <w:t xml:space="preserve"> explanation between square brackets</w:t>
      </w:r>
      <w:r w:rsidR="00C15035">
        <w:rPr>
          <w:szCs w:val="22"/>
        </w:rPr>
        <w:t>.  This should be particularly useful when translating such a term in different languages</w:t>
      </w:r>
      <w:r w:rsidR="004D7A10">
        <w:rPr>
          <w:szCs w:val="22"/>
        </w:rPr>
        <w:t xml:space="preserve">.  </w:t>
      </w:r>
      <w:r w:rsidR="00967C1B">
        <w:rPr>
          <w:szCs w:val="22"/>
        </w:rPr>
        <w:t xml:space="preserve">The International Bureau </w:t>
      </w:r>
      <w:r w:rsidR="00C15035">
        <w:rPr>
          <w:szCs w:val="22"/>
        </w:rPr>
        <w:t xml:space="preserve">indicated that it </w:t>
      </w:r>
      <w:r w:rsidR="00967C1B">
        <w:rPr>
          <w:szCs w:val="22"/>
        </w:rPr>
        <w:t>will open a project on the electronic forum so that further discussions on this matter can continue.</w:t>
      </w:r>
    </w:p>
    <w:p w:rsidR="00365019" w:rsidRDefault="00365019" w:rsidP="00365019">
      <w:pPr>
        <w:rPr>
          <w:szCs w:val="22"/>
        </w:rPr>
      </w:pPr>
    </w:p>
    <w:p w:rsidR="00A713CD" w:rsidRDefault="00A713CD" w:rsidP="00A713CD">
      <w:pPr>
        <w:spacing w:line="260" w:lineRule="exact"/>
        <w:rPr>
          <w:b/>
          <w:caps/>
          <w:szCs w:val="22"/>
        </w:rPr>
      </w:pPr>
      <w:r w:rsidRPr="00A713CD">
        <w:rPr>
          <w:b/>
          <w:caps/>
          <w:szCs w:val="22"/>
        </w:rPr>
        <w:t xml:space="preserve">Consideration of </w:t>
      </w:r>
      <w:r w:rsidR="00554081">
        <w:rPr>
          <w:b/>
          <w:caps/>
          <w:szCs w:val="22"/>
        </w:rPr>
        <w:t xml:space="preserve">VARIOUS </w:t>
      </w:r>
      <w:r w:rsidRPr="00A713CD">
        <w:rPr>
          <w:b/>
          <w:caps/>
          <w:szCs w:val="22"/>
        </w:rPr>
        <w:t xml:space="preserve">proposals for </w:t>
      </w:r>
      <w:r w:rsidR="00554081">
        <w:rPr>
          <w:b/>
          <w:caps/>
          <w:szCs w:val="22"/>
        </w:rPr>
        <w:t>AMENDMENTS AND OTHER CHANGES</w:t>
      </w:r>
      <w:r w:rsidRPr="00A713CD">
        <w:rPr>
          <w:b/>
          <w:caps/>
          <w:szCs w:val="22"/>
        </w:rPr>
        <w:t xml:space="preserve"> to </w:t>
      </w:r>
      <w:r w:rsidR="008A02A1">
        <w:rPr>
          <w:b/>
          <w:caps/>
          <w:szCs w:val="22"/>
        </w:rPr>
        <w:t>NCL (10-201</w:t>
      </w:r>
      <w:r w:rsidR="00C1671A">
        <w:rPr>
          <w:b/>
          <w:caps/>
          <w:szCs w:val="22"/>
        </w:rPr>
        <w:t>6</w:t>
      </w:r>
      <w:r w:rsidR="008A02A1">
        <w:rPr>
          <w:b/>
          <w:caps/>
          <w:szCs w:val="22"/>
        </w:rPr>
        <w:t>)</w:t>
      </w:r>
    </w:p>
    <w:p w:rsidR="00A713CD" w:rsidRPr="00A713CD" w:rsidRDefault="00A713CD" w:rsidP="00A713CD">
      <w:pPr>
        <w:spacing w:line="260" w:lineRule="exact"/>
        <w:rPr>
          <w:caps/>
          <w:szCs w:val="22"/>
        </w:rPr>
      </w:pPr>
    </w:p>
    <w:p w:rsidR="00A713CD" w:rsidRDefault="00A713CD" w:rsidP="00013EC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13" w:history="1">
        <w:r w:rsidR="00E014D5" w:rsidRPr="00641CAE">
          <w:rPr>
            <w:rStyle w:val="Hyperlink"/>
            <w:szCs w:val="22"/>
          </w:rPr>
          <w:t>CE2</w:t>
        </w:r>
        <w:r w:rsidR="00C1671A" w:rsidRPr="00641CAE">
          <w:rPr>
            <w:rStyle w:val="Hyperlink"/>
            <w:szCs w:val="22"/>
          </w:rPr>
          <w:t>6</w:t>
        </w:r>
        <w:r w:rsidR="00E014D5" w:rsidRPr="00641CAE">
          <w:rPr>
            <w:rStyle w:val="Hyperlink"/>
            <w:szCs w:val="22"/>
          </w:rPr>
          <w:t>2</w:t>
        </w:r>
      </w:hyperlink>
      <w:r w:rsidR="00616F1F">
        <w:rPr>
          <w:szCs w:val="22"/>
        </w:rPr>
        <w:t xml:space="preserve">, </w:t>
      </w:r>
      <w:hyperlink r:id="rId14" w:history="1">
        <w:r w:rsidR="00616F1F" w:rsidRPr="0083567C">
          <w:rPr>
            <w:rStyle w:val="Hyperlink"/>
            <w:szCs w:val="22"/>
          </w:rPr>
          <w:t xml:space="preserve">Annex </w:t>
        </w:r>
        <w:r w:rsidR="00C1671A" w:rsidRPr="0083567C">
          <w:rPr>
            <w:rStyle w:val="Hyperlink"/>
            <w:szCs w:val="22"/>
          </w:rPr>
          <w:t>2</w:t>
        </w:r>
      </w:hyperlink>
      <w:r w:rsidR="00616F1F">
        <w:rPr>
          <w:szCs w:val="22"/>
        </w:rPr>
        <w:t xml:space="preserve">, </w:t>
      </w:r>
      <w:r w:rsidR="00616F1F" w:rsidRPr="003A58E4">
        <w:rPr>
          <w:szCs w:val="22"/>
        </w:rPr>
        <w:t xml:space="preserve">which </w:t>
      </w:r>
      <w:r w:rsidR="00616F1F">
        <w:rPr>
          <w:szCs w:val="22"/>
        </w:rPr>
        <w:t>contained</w:t>
      </w:r>
      <w:r w:rsidR="00616F1F" w:rsidRPr="003A58E4">
        <w:rPr>
          <w:szCs w:val="22"/>
        </w:rPr>
        <w:t xml:space="preserve"> </w:t>
      </w:r>
      <w:r w:rsidR="00616F1F">
        <w:rPr>
          <w:szCs w:val="22"/>
        </w:rPr>
        <w:t>a</w:t>
      </w:r>
      <w:r w:rsidR="00616F1F" w:rsidRPr="003A58E4">
        <w:rPr>
          <w:szCs w:val="22"/>
        </w:rPr>
        <w:t xml:space="preserve"> </w:t>
      </w:r>
      <w:r w:rsidR="00616F1F">
        <w:rPr>
          <w:szCs w:val="22"/>
        </w:rPr>
        <w:t>summary table of proposals for modifications to NCL (10-201</w:t>
      </w:r>
      <w:r w:rsidR="00C1671A">
        <w:rPr>
          <w:szCs w:val="22"/>
        </w:rPr>
        <w:t>6</w:t>
      </w:r>
      <w:r w:rsidR="00616F1F">
        <w:rPr>
          <w:szCs w:val="22"/>
        </w:rPr>
        <w:t>)</w:t>
      </w:r>
      <w:r w:rsidRPr="003A58E4">
        <w:rPr>
          <w:szCs w:val="22"/>
        </w:rPr>
        <w:t>.</w:t>
      </w:r>
    </w:p>
    <w:p w:rsidR="00013EC7" w:rsidRPr="003A58E4" w:rsidRDefault="00013EC7" w:rsidP="00013EC7">
      <w:pPr>
        <w:spacing w:line="260" w:lineRule="exact"/>
        <w:rPr>
          <w:szCs w:val="22"/>
        </w:rPr>
      </w:pPr>
    </w:p>
    <w:p w:rsidR="00A713CD" w:rsidRPr="003A58E4" w:rsidRDefault="00A713CD" w:rsidP="00013EC7">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adopted </w:t>
      </w:r>
      <w:r w:rsidR="00B70D21">
        <w:rPr>
          <w:szCs w:val="22"/>
        </w:rPr>
        <w:t>an important number of</w:t>
      </w:r>
      <w:r w:rsidRPr="003A58E4">
        <w:rPr>
          <w:szCs w:val="22"/>
        </w:rPr>
        <w:t xml:space="preserve"> changes</w:t>
      </w:r>
      <w:r w:rsidR="00EC3AA3">
        <w:rPr>
          <w:szCs w:val="22"/>
        </w:rPr>
        <w:t xml:space="preserve"> to the Classification</w:t>
      </w:r>
      <w:r w:rsidRPr="003A58E4">
        <w:rPr>
          <w:szCs w:val="22"/>
        </w:rPr>
        <w:t>, as contained in Annex I</w:t>
      </w:r>
      <w:r>
        <w:rPr>
          <w:szCs w:val="22"/>
        </w:rPr>
        <w:t>II</w:t>
      </w:r>
      <w:r w:rsidRPr="003A58E4">
        <w:rPr>
          <w:szCs w:val="22"/>
        </w:rPr>
        <w:t xml:space="preserve"> to this report.</w:t>
      </w:r>
    </w:p>
    <w:p w:rsidR="00A713CD" w:rsidRDefault="00A713CD" w:rsidP="00013EC7">
      <w:pPr>
        <w:spacing w:line="260" w:lineRule="exact"/>
        <w:rPr>
          <w:szCs w:val="22"/>
        </w:rPr>
      </w:pPr>
    </w:p>
    <w:p w:rsidR="000C09A7" w:rsidRDefault="000C09A7" w:rsidP="00013EC7">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t>The</w:t>
      </w:r>
      <w:r w:rsidR="00EE4EA9">
        <w:rPr>
          <w:szCs w:val="22"/>
        </w:rPr>
        <w:t xml:space="preserve"> Committee did not reach consensus with regard to</w:t>
      </w:r>
      <w:r>
        <w:rPr>
          <w:szCs w:val="22"/>
        </w:rPr>
        <w:t xml:space="preserve"> the classification of </w:t>
      </w:r>
      <w:r w:rsidR="00C85A08">
        <w:rPr>
          <w:szCs w:val="22"/>
        </w:rPr>
        <w:t>puddings</w:t>
      </w:r>
      <w:r w:rsidR="00EE4EA9">
        <w:rPr>
          <w:szCs w:val="22"/>
        </w:rPr>
        <w:t>, soufflés and desserts and thus recommended that further thought be given to the matter.  T</w:t>
      </w:r>
      <w:r>
        <w:rPr>
          <w:szCs w:val="22"/>
        </w:rPr>
        <w:t xml:space="preserve">he delegations from Australia, Italy, Switzerland, the Benelux Office for </w:t>
      </w:r>
      <w:r w:rsidR="002058F9">
        <w:rPr>
          <w:szCs w:val="22"/>
        </w:rPr>
        <w:t xml:space="preserve">Intellectual Property and the EUIPO, as well as the International Bureau, indicated that they were interested in preparing a proposal on the classification of desserts in general, preferably with the participation of countries </w:t>
      </w:r>
      <w:r w:rsidR="00384A7D">
        <w:rPr>
          <w:szCs w:val="22"/>
        </w:rPr>
        <w:t>from other regions of the world where different types of desserts exist</w:t>
      </w:r>
      <w:r w:rsidR="00455221">
        <w:rPr>
          <w:szCs w:val="22"/>
        </w:rPr>
        <w:t>,</w:t>
      </w:r>
      <w:r w:rsidR="00384A7D">
        <w:rPr>
          <w:szCs w:val="22"/>
        </w:rPr>
        <w:t xml:space="preserve"> </w:t>
      </w:r>
      <w:r w:rsidR="00455221">
        <w:rPr>
          <w:szCs w:val="22"/>
        </w:rPr>
        <w:t>which</w:t>
      </w:r>
      <w:r w:rsidR="00384A7D">
        <w:rPr>
          <w:szCs w:val="22"/>
        </w:rPr>
        <w:t xml:space="preserve"> may lead to varying classification practices.</w:t>
      </w:r>
    </w:p>
    <w:p w:rsidR="000C09A7" w:rsidRDefault="000C09A7" w:rsidP="00013EC7">
      <w:pPr>
        <w:spacing w:line="260" w:lineRule="exact"/>
        <w:rPr>
          <w:szCs w:val="22"/>
        </w:rPr>
      </w:pPr>
    </w:p>
    <w:p w:rsidR="004E44EE" w:rsidRPr="003A58E4" w:rsidRDefault="004E44EE" w:rsidP="00013EC7">
      <w:pPr>
        <w:spacing w:line="260" w:lineRule="exact"/>
        <w:rPr>
          <w:szCs w:val="22"/>
        </w:rPr>
      </w:pPr>
    </w:p>
    <w:p w:rsidR="00A713CD" w:rsidRDefault="00C5665B" w:rsidP="00013EC7">
      <w:pPr>
        <w:spacing w:line="260" w:lineRule="exact"/>
        <w:rPr>
          <w:b/>
          <w:caps/>
          <w:szCs w:val="22"/>
        </w:rPr>
      </w:pPr>
      <w:r>
        <w:rPr>
          <w:b/>
          <w:caps/>
          <w:szCs w:val="22"/>
        </w:rPr>
        <w:lastRenderedPageBreak/>
        <w:t xml:space="preserve">CONSIDERATION OF </w:t>
      </w:r>
      <w:r w:rsidR="00554081" w:rsidRPr="00554081">
        <w:rPr>
          <w:b/>
          <w:caps/>
          <w:szCs w:val="22"/>
        </w:rPr>
        <w:t>PROPOSALS FOR AMENDMENTS AND OTHER CHANGES TO NCL</w:t>
      </w:r>
      <w:r w:rsidR="005E45A3">
        <w:rPr>
          <w:b/>
          <w:caps/>
          <w:szCs w:val="22"/>
        </w:rPr>
        <w:t> </w:t>
      </w:r>
      <w:r w:rsidR="00554081" w:rsidRPr="00554081">
        <w:rPr>
          <w:b/>
          <w:caps/>
          <w:szCs w:val="22"/>
        </w:rPr>
        <w:t>(10-201</w:t>
      </w:r>
      <w:r w:rsidR="00C1671A">
        <w:rPr>
          <w:b/>
          <w:caps/>
          <w:szCs w:val="22"/>
        </w:rPr>
        <w:t>6</w:t>
      </w:r>
      <w:r w:rsidR="00554081" w:rsidRPr="00554081">
        <w:rPr>
          <w:b/>
          <w:caps/>
          <w:szCs w:val="22"/>
        </w:rPr>
        <w:t>)</w:t>
      </w:r>
      <w:r w:rsidR="00554081">
        <w:rPr>
          <w:b/>
          <w:caps/>
          <w:szCs w:val="22"/>
        </w:rPr>
        <w:t xml:space="preserve"> RELATING TO:</w:t>
      </w:r>
    </w:p>
    <w:p w:rsidR="005048D2" w:rsidRDefault="005048D2" w:rsidP="00013EC7">
      <w:pPr>
        <w:spacing w:line="260" w:lineRule="exact"/>
        <w:rPr>
          <w:b/>
          <w:caps/>
          <w:szCs w:val="22"/>
        </w:rPr>
      </w:pPr>
    </w:p>
    <w:p w:rsidR="00554081" w:rsidRDefault="00554081" w:rsidP="00013EC7">
      <w:pPr>
        <w:spacing w:line="260" w:lineRule="exact"/>
        <w:rPr>
          <w:b/>
          <w:caps/>
          <w:szCs w:val="22"/>
        </w:rPr>
      </w:pPr>
      <w:r w:rsidRPr="00554081">
        <w:rPr>
          <w:b/>
          <w:caps/>
          <w:szCs w:val="22"/>
        </w:rPr>
        <w:t>(</w:t>
      </w:r>
      <w:r w:rsidR="005048D2" w:rsidRPr="00554081">
        <w:rPr>
          <w:b/>
          <w:szCs w:val="22"/>
        </w:rPr>
        <w:t>a</w:t>
      </w:r>
      <w:r w:rsidRPr="00554081">
        <w:rPr>
          <w:b/>
          <w:caps/>
          <w:szCs w:val="22"/>
        </w:rPr>
        <w:t>)</w:t>
      </w:r>
      <w:r w:rsidRPr="00554081">
        <w:rPr>
          <w:b/>
          <w:caps/>
          <w:szCs w:val="22"/>
        </w:rPr>
        <w:tab/>
      </w:r>
      <w:r w:rsidR="00C1671A">
        <w:rPr>
          <w:b/>
          <w:caps/>
          <w:szCs w:val="22"/>
        </w:rPr>
        <w:t>TABLE CUTLERY</w:t>
      </w:r>
    </w:p>
    <w:p w:rsidR="00013EC7" w:rsidRPr="00013EC7" w:rsidRDefault="00013EC7" w:rsidP="00013EC7">
      <w:pPr>
        <w:spacing w:line="260" w:lineRule="exact"/>
        <w:rPr>
          <w:szCs w:val="22"/>
        </w:rPr>
      </w:pPr>
    </w:p>
    <w:p w:rsidR="00A713CD" w:rsidRDefault="00A713CD" w:rsidP="00013EC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15" w:history="1">
        <w:r w:rsidR="00E014D5" w:rsidRPr="00641CAE">
          <w:rPr>
            <w:rStyle w:val="Hyperlink"/>
            <w:szCs w:val="22"/>
          </w:rPr>
          <w:t>CE2</w:t>
        </w:r>
        <w:r w:rsidR="00C1671A" w:rsidRPr="00641CAE">
          <w:rPr>
            <w:rStyle w:val="Hyperlink"/>
            <w:szCs w:val="22"/>
          </w:rPr>
          <w:t>6</w:t>
        </w:r>
        <w:r w:rsidR="00554081" w:rsidRPr="00641CAE">
          <w:rPr>
            <w:rStyle w:val="Hyperlink"/>
            <w:szCs w:val="22"/>
          </w:rPr>
          <w:t>2</w:t>
        </w:r>
      </w:hyperlink>
      <w:r>
        <w:rPr>
          <w:szCs w:val="22"/>
        </w:rPr>
        <w:t xml:space="preserve">, </w:t>
      </w:r>
      <w:hyperlink r:id="rId16" w:history="1">
        <w:r w:rsidR="00554081" w:rsidRPr="0083567C">
          <w:rPr>
            <w:rStyle w:val="Hyperlink"/>
            <w:szCs w:val="22"/>
          </w:rPr>
          <w:t xml:space="preserve">Annex </w:t>
        </w:r>
        <w:r w:rsidR="00C1671A" w:rsidRPr="0083567C">
          <w:rPr>
            <w:rStyle w:val="Hyperlink"/>
            <w:szCs w:val="22"/>
          </w:rPr>
          <w:t>3</w:t>
        </w:r>
      </w:hyperlink>
      <w:r w:rsidR="00554081">
        <w:rPr>
          <w:szCs w:val="22"/>
        </w:rPr>
        <w:t xml:space="preserve">, </w:t>
      </w:r>
      <w:r w:rsidRPr="003A58E4">
        <w:rPr>
          <w:szCs w:val="22"/>
        </w:rPr>
        <w:t xml:space="preserve">which </w:t>
      </w:r>
      <w:r>
        <w:rPr>
          <w:szCs w:val="22"/>
        </w:rPr>
        <w:t>contained</w:t>
      </w:r>
      <w:r w:rsidRPr="003A58E4">
        <w:rPr>
          <w:szCs w:val="22"/>
        </w:rPr>
        <w:t xml:space="preserve"> </w:t>
      </w:r>
      <w:r>
        <w:rPr>
          <w:szCs w:val="22"/>
        </w:rPr>
        <w:t>a</w:t>
      </w:r>
      <w:r w:rsidRPr="003A58E4">
        <w:rPr>
          <w:szCs w:val="22"/>
        </w:rPr>
        <w:t xml:space="preserve"> </w:t>
      </w:r>
      <w:r w:rsidR="005048D2">
        <w:rPr>
          <w:szCs w:val="22"/>
        </w:rPr>
        <w:t xml:space="preserve">proposal for </w:t>
      </w:r>
      <w:r w:rsidR="00C1671A">
        <w:rPr>
          <w:szCs w:val="22"/>
        </w:rPr>
        <w:t>modifications to the classification of table cutlery</w:t>
      </w:r>
      <w:r w:rsidR="004F4E42">
        <w:rPr>
          <w:szCs w:val="22"/>
        </w:rPr>
        <w:t>, kitchen knives and other kitchen utensils for cutting</w:t>
      </w:r>
      <w:r w:rsidR="002F1F45">
        <w:rPr>
          <w:szCs w:val="22"/>
        </w:rPr>
        <w:t>,</w:t>
      </w:r>
      <w:r w:rsidR="00216D12">
        <w:rPr>
          <w:szCs w:val="22"/>
        </w:rPr>
        <w:t xml:space="preserve"> and serving utensils</w:t>
      </w:r>
      <w:r w:rsidR="00DC74CF">
        <w:rPr>
          <w:szCs w:val="22"/>
        </w:rPr>
        <w:t>,</w:t>
      </w:r>
      <w:r w:rsidR="00616F1F">
        <w:rPr>
          <w:szCs w:val="22"/>
        </w:rPr>
        <w:t xml:space="preserve"> </w:t>
      </w:r>
      <w:r w:rsidR="008A02A1">
        <w:rPr>
          <w:szCs w:val="22"/>
        </w:rPr>
        <w:t xml:space="preserve">submitted by </w:t>
      </w:r>
      <w:r w:rsidR="00C1671A" w:rsidRPr="00C1671A">
        <w:rPr>
          <w:szCs w:val="22"/>
        </w:rPr>
        <w:t>the United States of America</w:t>
      </w:r>
      <w:r w:rsidRPr="003A58E4">
        <w:rPr>
          <w:szCs w:val="22"/>
        </w:rPr>
        <w:t>.</w:t>
      </w:r>
    </w:p>
    <w:p w:rsidR="005048D2" w:rsidRDefault="005048D2" w:rsidP="00013EC7">
      <w:pPr>
        <w:spacing w:line="260" w:lineRule="exact"/>
        <w:rPr>
          <w:szCs w:val="22"/>
        </w:rPr>
      </w:pPr>
    </w:p>
    <w:p w:rsidR="005048D2" w:rsidRDefault="005048D2" w:rsidP="005048D2">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0D4407">
        <w:rPr>
          <w:szCs w:val="22"/>
        </w:rPr>
        <w:t xml:space="preserve">Although the proposal to transfer table cutlery, kitchen knives and other kitchen utensils for cutting from Class 8 to Class 21 did not obtain the </w:t>
      </w:r>
      <w:r w:rsidR="004F4E42">
        <w:rPr>
          <w:szCs w:val="22"/>
        </w:rPr>
        <w:t>required</w:t>
      </w:r>
      <w:r w:rsidR="000D4407">
        <w:rPr>
          <w:szCs w:val="22"/>
        </w:rPr>
        <w:t xml:space="preserve"> majority, the Committee agreed on classifying all serving utensils in Class 21 and thus adopted the necessary </w:t>
      </w:r>
      <w:r w:rsidR="004F4E42">
        <w:rPr>
          <w:szCs w:val="22"/>
        </w:rPr>
        <w:t>changes and amendments</w:t>
      </w:r>
      <w:r w:rsidR="000D4407">
        <w:rPr>
          <w:szCs w:val="22"/>
        </w:rPr>
        <w:t xml:space="preserve"> to the </w:t>
      </w:r>
      <w:r w:rsidR="00BA3DA1">
        <w:rPr>
          <w:szCs w:val="22"/>
        </w:rPr>
        <w:t>Classification</w:t>
      </w:r>
      <w:r w:rsidR="004F4E42">
        <w:rPr>
          <w:szCs w:val="22"/>
        </w:rPr>
        <w:t>,</w:t>
      </w:r>
      <w:r w:rsidR="000D4407">
        <w:rPr>
          <w:szCs w:val="22"/>
        </w:rPr>
        <w:t xml:space="preserve"> as contained in Annex IV to this report.</w:t>
      </w:r>
    </w:p>
    <w:p w:rsidR="005048D2" w:rsidRDefault="005048D2" w:rsidP="005048D2">
      <w:pPr>
        <w:spacing w:line="260" w:lineRule="exact"/>
        <w:rPr>
          <w:b/>
          <w:caps/>
          <w:szCs w:val="22"/>
        </w:rPr>
      </w:pPr>
    </w:p>
    <w:p w:rsidR="005048D2" w:rsidRDefault="005048D2" w:rsidP="005048D2">
      <w:pPr>
        <w:spacing w:line="260" w:lineRule="exact"/>
        <w:rPr>
          <w:b/>
          <w:caps/>
          <w:szCs w:val="22"/>
        </w:rPr>
      </w:pPr>
      <w:r w:rsidRPr="00554081">
        <w:rPr>
          <w:b/>
          <w:caps/>
          <w:szCs w:val="22"/>
        </w:rPr>
        <w:t>(</w:t>
      </w:r>
      <w:r>
        <w:rPr>
          <w:b/>
          <w:szCs w:val="22"/>
        </w:rPr>
        <w:t>b</w:t>
      </w:r>
      <w:r w:rsidRPr="00554081">
        <w:rPr>
          <w:b/>
          <w:caps/>
          <w:szCs w:val="22"/>
        </w:rPr>
        <w:t>)</w:t>
      </w:r>
      <w:r w:rsidRPr="00554081">
        <w:rPr>
          <w:b/>
          <w:caps/>
          <w:szCs w:val="22"/>
        </w:rPr>
        <w:tab/>
      </w:r>
      <w:r w:rsidR="00861755">
        <w:rPr>
          <w:b/>
          <w:caps/>
          <w:szCs w:val="22"/>
        </w:rPr>
        <w:t>SECURITY SERVICES</w:t>
      </w:r>
    </w:p>
    <w:p w:rsidR="008A02A1" w:rsidRPr="003A58E4" w:rsidRDefault="008A02A1" w:rsidP="008A02A1">
      <w:pPr>
        <w:spacing w:line="260" w:lineRule="exact"/>
        <w:rPr>
          <w:szCs w:val="22"/>
        </w:rPr>
      </w:pPr>
    </w:p>
    <w:p w:rsidR="005048D2" w:rsidRDefault="005048D2" w:rsidP="005048D2">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17" w:history="1">
        <w:r w:rsidRPr="00641CAE">
          <w:rPr>
            <w:rStyle w:val="Hyperlink"/>
            <w:szCs w:val="22"/>
          </w:rPr>
          <w:t>CE2</w:t>
        </w:r>
        <w:r w:rsidR="00861755" w:rsidRPr="00641CAE">
          <w:rPr>
            <w:rStyle w:val="Hyperlink"/>
            <w:szCs w:val="22"/>
          </w:rPr>
          <w:t>6</w:t>
        </w:r>
        <w:r w:rsidRPr="00641CAE">
          <w:rPr>
            <w:rStyle w:val="Hyperlink"/>
            <w:szCs w:val="22"/>
          </w:rPr>
          <w:t>2</w:t>
        </w:r>
      </w:hyperlink>
      <w:r>
        <w:rPr>
          <w:szCs w:val="22"/>
        </w:rPr>
        <w:t xml:space="preserve">, </w:t>
      </w:r>
      <w:hyperlink r:id="rId18" w:history="1">
        <w:r w:rsidR="00D578B1" w:rsidRPr="0083567C">
          <w:rPr>
            <w:rStyle w:val="Hyperlink"/>
            <w:szCs w:val="22"/>
          </w:rPr>
          <w:t xml:space="preserve">Annex </w:t>
        </w:r>
        <w:r w:rsidR="00861755" w:rsidRPr="0083567C">
          <w:rPr>
            <w:rStyle w:val="Hyperlink"/>
            <w:szCs w:val="22"/>
          </w:rPr>
          <w:t>4</w:t>
        </w:r>
      </w:hyperlink>
      <w:r w:rsidR="00D578B1">
        <w:rPr>
          <w:szCs w:val="22"/>
        </w:rPr>
        <w:t>, regarding</w:t>
      </w:r>
      <w:r w:rsidRPr="003A58E4">
        <w:rPr>
          <w:szCs w:val="22"/>
        </w:rPr>
        <w:t xml:space="preserve"> </w:t>
      </w:r>
      <w:r>
        <w:rPr>
          <w:szCs w:val="22"/>
        </w:rPr>
        <w:t>a</w:t>
      </w:r>
      <w:r w:rsidRPr="003A58E4">
        <w:rPr>
          <w:szCs w:val="22"/>
        </w:rPr>
        <w:t xml:space="preserve"> </w:t>
      </w:r>
      <w:r>
        <w:rPr>
          <w:szCs w:val="22"/>
        </w:rPr>
        <w:t xml:space="preserve">proposal </w:t>
      </w:r>
      <w:r w:rsidR="00861755">
        <w:rPr>
          <w:szCs w:val="22"/>
        </w:rPr>
        <w:t>related to security services</w:t>
      </w:r>
      <w:r w:rsidR="00DC74CF">
        <w:rPr>
          <w:szCs w:val="22"/>
        </w:rPr>
        <w:t>,</w:t>
      </w:r>
      <w:r>
        <w:rPr>
          <w:szCs w:val="22"/>
        </w:rPr>
        <w:t xml:space="preserve"> submitted by </w:t>
      </w:r>
      <w:r w:rsidR="00861755" w:rsidRPr="00861755">
        <w:rPr>
          <w:szCs w:val="22"/>
        </w:rPr>
        <w:t>the United States of America</w:t>
      </w:r>
      <w:r w:rsidRPr="003A58E4">
        <w:rPr>
          <w:szCs w:val="22"/>
        </w:rPr>
        <w:t>.</w:t>
      </w:r>
    </w:p>
    <w:p w:rsidR="00C13BB7" w:rsidRDefault="00C13BB7" w:rsidP="00C13BB7">
      <w:pPr>
        <w:spacing w:line="260" w:lineRule="exact"/>
        <w:rPr>
          <w:szCs w:val="22"/>
        </w:rPr>
      </w:pPr>
    </w:p>
    <w:p w:rsidR="0082026C" w:rsidRDefault="005048D2" w:rsidP="003E7882">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adopted </w:t>
      </w:r>
      <w:r w:rsidR="00BA3DA1">
        <w:rPr>
          <w:szCs w:val="22"/>
        </w:rPr>
        <w:t xml:space="preserve">the </w:t>
      </w:r>
      <w:r w:rsidR="00EC3AA3">
        <w:rPr>
          <w:szCs w:val="22"/>
        </w:rPr>
        <w:t>proposal</w:t>
      </w:r>
      <w:r w:rsidR="00BA3DA1">
        <w:rPr>
          <w:szCs w:val="22"/>
        </w:rPr>
        <w:t xml:space="preserve"> with some modifications</w:t>
      </w:r>
      <w:r w:rsidRPr="003A58E4">
        <w:rPr>
          <w:szCs w:val="22"/>
        </w:rPr>
        <w:t>, as contained in Annex </w:t>
      </w:r>
      <w:r>
        <w:rPr>
          <w:szCs w:val="22"/>
        </w:rPr>
        <w:t>V</w:t>
      </w:r>
      <w:r w:rsidRPr="003A58E4">
        <w:rPr>
          <w:szCs w:val="22"/>
        </w:rPr>
        <w:t xml:space="preserve"> to this report</w:t>
      </w:r>
      <w:r>
        <w:rPr>
          <w:szCs w:val="22"/>
        </w:rPr>
        <w:t>.</w:t>
      </w:r>
    </w:p>
    <w:p w:rsidR="0082026C" w:rsidRDefault="0082026C" w:rsidP="00F864DB">
      <w:pPr>
        <w:spacing w:line="260" w:lineRule="exact"/>
        <w:rPr>
          <w:szCs w:val="22"/>
        </w:rPr>
      </w:pPr>
    </w:p>
    <w:p w:rsidR="005048D2" w:rsidRDefault="005048D2" w:rsidP="005048D2">
      <w:pPr>
        <w:spacing w:line="260" w:lineRule="exact"/>
        <w:rPr>
          <w:b/>
          <w:caps/>
          <w:szCs w:val="22"/>
        </w:rPr>
      </w:pPr>
      <w:r w:rsidRPr="00554081">
        <w:rPr>
          <w:b/>
          <w:caps/>
          <w:szCs w:val="22"/>
        </w:rPr>
        <w:t>(</w:t>
      </w:r>
      <w:r>
        <w:rPr>
          <w:b/>
          <w:szCs w:val="22"/>
        </w:rPr>
        <w:t>c</w:t>
      </w:r>
      <w:r w:rsidRPr="00554081">
        <w:rPr>
          <w:b/>
          <w:caps/>
          <w:szCs w:val="22"/>
        </w:rPr>
        <w:t>)</w:t>
      </w:r>
      <w:r w:rsidRPr="00554081">
        <w:rPr>
          <w:b/>
          <w:caps/>
          <w:szCs w:val="22"/>
        </w:rPr>
        <w:tab/>
      </w:r>
      <w:r w:rsidR="00861755">
        <w:rPr>
          <w:b/>
          <w:caps/>
          <w:szCs w:val="22"/>
        </w:rPr>
        <w:t>SAFES</w:t>
      </w:r>
    </w:p>
    <w:p w:rsidR="005048D2" w:rsidRPr="003A58E4" w:rsidRDefault="005048D2" w:rsidP="005048D2">
      <w:pPr>
        <w:spacing w:line="260" w:lineRule="exact"/>
        <w:rPr>
          <w:szCs w:val="22"/>
        </w:rPr>
      </w:pPr>
    </w:p>
    <w:p w:rsidR="005048D2" w:rsidRDefault="005048D2" w:rsidP="005048D2">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19" w:history="1">
        <w:r w:rsidRPr="00C30E5D">
          <w:rPr>
            <w:rStyle w:val="Hyperlink"/>
            <w:szCs w:val="22"/>
          </w:rPr>
          <w:t>CE2</w:t>
        </w:r>
        <w:r w:rsidR="00FB0290" w:rsidRPr="00C30E5D">
          <w:rPr>
            <w:rStyle w:val="Hyperlink"/>
            <w:szCs w:val="22"/>
          </w:rPr>
          <w:t>6</w:t>
        </w:r>
        <w:r w:rsidRPr="00C30E5D">
          <w:rPr>
            <w:rStyle w:val="Hyperlink"/>
            <w:szCs w:val="22"/>
          </w:rPr>
          <w:t>2</w:t>
        </w:r>
      </w:hyperlink>
      <w:r>
        <w:rPr>
          <w:szCs w:val="22"/>
        </w:rPr>
        <w:t xml:space="preserve">, </w:t>
      </w:r>
      <w:hyperlink r:id="rId20" w:history="1">
        <w:r w:rsidRPr="0083567C">
          <w:rPr>
            <w:rStyle w:val="Hyperlink"/>
            <w:szCs w:val="22"/>
          </w:rPr>
          <w:t xml:space="preserve">Annex </w:t>
        </w:r>
        <w:r w:rsidR="00FB0290" w:rsidRPr="0083567C">
          <w:rPr>
            <w:rStyle w:val="Hyperlink"/>
            <w:szCs w:val="22"/>
          </w:rPr>
          <w:t>5</w:t>
        </w:r>
      </w:hyperlink>
      <w:r>
        <w:rPr>
          <w:szCs w:val="22"/>
        </w:rPr>
        <w:t xml:space="preserve">, </w:t>
      </w:r>
      <w:r w:rsidR="00630DDD" w:rsidRPr="003A58E4">
        <w:rPr>
          <w:szCs w:val="22"/>
        </w:rPr>
        <w:t xml:space="preserve">which </w:t>
      </w:r>
      <w:r w:rsidR="00630DDD">
        <w:rPr>
          <w:szCs w:val="22"/>
        </w:rPr>
        <w:t xml:space="preserve">contained a </w:t>
      </w:r>
      <w:r w:rsidR="001F5067">
        <w:rPr>
          <w:szCs w:val="22"/>
        </w:rPr>
        <w:t>proposal</w:t>
      </w:r>
      <w:r w:rsidR="00F431A2">
        <w:rPr>
          <w:szCs w:val="22"/>
        </w:rPr>
        <w:t xml:space="preserve"> </w:t>
      </w:r>
      <w:r w:rsidR="00E019B9">
        <w:rPr>
          <w:szCs w:val="22"/>
        </w:rPr>
        <w:t>concerning</w:t>
      </w:r>
      <w:r w:rsidR="00FB0290" w:rsidRPr="00FB0290">
        <w:rPr>
          <w:szCs w:val="22"/>
        </w:rPr>
        <w:t xml:space="preserve"> </w:t>
      </w:r>
      <w:r w:rsidR="00FB0290">
        <w:rPr>
          <w:szCs w:val="22"/>
        </w:rPr>
        <w:t>safes</w:t>
      </w:r>
      <w:r w:rsidR="00FB0290" w:rsidRPr="00FB0290">
        <w:rPr>
          <w:szCs w:val="22"/>
        </w:rPr>
        <w:t>, submitted by the United States of America</w:t>
      </w:r>
      <w:r w:rsidR="00C30E5D">
        <w:rPr>
          <w:szCs w:val="22"/>
        </w:rPr>
        <w:t>.</w:t>
      </w:r>
    </w:p>
    <w:p w:rsidR="005048D2" w:rsidRDefault="005048D2" w:rsidP="005048D2">
      <w:pPr>
        <w:spacing w:line="260" w:lineRule="exact"/>
        <w:rPr>
          <w:szCs w:val="22"/>
        </w:rPr>
      </w:pPr>
    </w:p>
    <w:p w:rsidR="005048D2" w:rsidRDefault="005048D2" w:rsidP="005048D2">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adopted </w:t>
      </w:r>
      <w:r w:rsidR="00143158">
        <w:rPr>
          <w:szCs w:val="22"/>
        </w:rPr>
        <w:t>the proposal</w:t>
      </w:r>
      <w:r w:rsidRPr="003A58E4">
        <w:rPr>
          <w:szCs w:val="22"/>
        </w:rPr>
        <w:t>, as contained in Annex </w:t>
      </w:r>
      <w:r>
        <w:rPr>
          <w:szCs w:val="22"/>
        </w:rPr>
        <w:t>VI</w:t>
      </w:r>
      <w:r w:rsidRPr="003A58E4">
        <w:rPr>
          <w:szCs w:val="22"/>
        </w:rPr>
        <w:t xml:space="preserve"> to this report</w:t>
      </w:r>
      <w:r>
        <w:rPr>
          <w:szCs w:val="22"/>
        </w:rPr>
        <w:t>.</w:t>
      </w:r>
      <w:r w:rsidR="000B2A59" w:rsidDel="000B2A59">
        <w:rPr>
          <w:szCs w:val="22"/>
        </w:rPr>
        <w:t xml:space="preserve"> </w:t>
      </w:r>
    </w:p>
    <w:p w:rsidR="005048D2" w:rsidRDefault="005048D2" w:rsidP="005048D2">
      <w:pPr>
        <w:spacing w:line="260" w:lineRule="exact"/>
        <w:rPr>
          <w:b/>
          <w:caps/>
          <w:szCs w:val="22"/>
        </w:rPr>
      </w:pPr>
    </w:p>
    <w:p w:rsidR="005048D2" w:rsidRDefault="005048D2">
      <w:pPr>
        <w:spacing w:line="260" w:lineRule="exact"/>
        <w:rPr>
          <w:b/>
          <w:caps/>
          <w:szCs w:val="22"/>
        </w:rPr>
      </w:pPr>
      <w:r w:rsidRPr="00554081">
        <w:rPr>
          <w:b/>
          <w:caps/>
          <w:szCs w:val="22"/>
        </w:rPr>
        <w:t>(</w:t>
      </w:r>
      <w:r>
        <w:rPr>
          <w:b/>
          <w:szCs w:val="22"/>
        </w:rPr>
        <w:t>d</w:t>
      </w:r>
      <w:r w:rsidRPr="00554081">
        <w:rPr>
          <w:b/>
          <w:caps/>
          <w:szCs w:val="22"/>
        </w:rPr>
        <w:t>)</w:t>
      </w:r>
      <w:r w:rsidRPr="00554081">
        <w:rPr>
          <w:b/>
          <w:caps/>
          <w:szCs w:val="22"/>
        </w:rPr>
        <w:tab/>
      </w:r>
      <w:r w:rsidR="00EC7A93">
        <w:rPr>
          <w:b/>
          <w:caps/>
          <w:szCs w:val="22"/>
        </w:rPr>
        <w:t>CLASS HEADINGS REVISION</w:t>
      </w:r>
    </w:p>
    <w:p w:rsidR="005048D2" w:rsidRPr="003A58E4" w:rsidRDefault="005048D2" w:rsidP="005048D2">
      <w:pPr>
        <w:spacing w:line="260" w:lineRule="exact"/>
        <w:rPr>
          <w:szCs w:val="22"/>
        </w:rPr>
      </w:pPr>
    </w:p>
    <w:p w:rsidR="005048D2" w:rsidRDefault="005048D2" w:rsidP="005048D2">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21" w:history="1">
        <w:r w:rsidRPr="00C30E5D">
          <w:rPr>
            <w:rStyle w:val="Hyperlink"/>
            <w:szCs w:val="22"/>
          </w:rPr>
          <w:t>CE2</w:t>
        </w:r>
        <w:r w:rsidR="00EC7A93" w:rsidRPr="00C30E5D">
          <w:rPr>
            <w:rStyle w:val="Hyperlink"/>
            <w:szCs w:val="22"/>
          </w:rPr>
          <w:t>6</w:t>
        </w:r>
        <w:r w:rsidRPr="00C30E5D">
          <w:rPr>
            <w:rStyle w:val="Hyperlink"/>
            <w:szCs w:val="22"/>
          </w:rPr>
          <w:t>2</w:t>
        </w:r>
      </w:hyperlink>
      <w:r>
        <w:rPr>
          <w:szCs w:val="22"/>
        </w:rPr>
        <w:t xml:space="preserve">, </w:t>
      </w:r>
      <w:hyperlink r:id="rId22" w:history="1">
        <w:r w:rsidRPr="0083567C">
          <w:rPr>
            <w:rStyle w:val="Hyperlink"/>
            <w:szCs w:val="22"/>
          </w:rPr>
          <w:t xml:space="preserve">Annex </w:t>
        </w:r>
        <w:r w:rsidR="00EC7A93" w:rsidRPr="0083567C">
          <w:rPr>
            <w:rStyle w:val="Hyperlink"/>
            <w:szCs w:val="22"/>
          </w:rPr>
          <w:t>6</w:t>
        </w:r>
      </w:hyperlink>
      <w:r>
        <w:rPr>
          <w:szCs w:val="22"/>
        </w:rPr>
        <w:t xml:space="preserve">, </w:t>
      </w:r>
      <w:r w:rsidR="006B4E62" w:rsidRPr="003A58E4">
        <w:rPr>
          <w:szCs w:val="22"/>
        </w:rPr>
        <w:t xml:space="preserve">which </w:t>
      </w:r>
      <w:r w:rsidR="006B4E62">
        <w:rPr>
          <w:szCs w:val="22"/>
        </w:rPr>
        <w:t xml:space="preserve">contained a </w:t>
      </w:r>
      <w:r w:rsidR="009E2E24">
        <w:rPr>
          <w:szCs w:val="22"/>
        </w:rPr>
        <w:t xml:space="preserve">joint </w:t>
      </w:r>
      <w:r w:rsidR="006B4E62">
        <w:rPr>
          <w:szCs w:val="22"/>
        </w:rPr>
        <w:t xml:space="preserve">proposal </w:t>
      </w:r>
      <w:r w:rsidR="009D7B8B">
        <w:rPr>
          <w:szCs w:val="22"/>
        </w:rPr>
        <w:t xml:space="preserve">for </w:t>
      </w:r>
      <w:r w:rsidR="00EC7A93" w:rsidRPr="00EC7A93">
        <w:rPr>
          <w:szCs w:val="22"/>
        </w:rPr>
        <w:t xml:space="preserve">changes to </w:t>
      </w:r>
      <w:r w:rsidR="009E2E24">
        <w:rPr>
          <w:szCs w:val="22"/>
        </w:rPr>
        <w:t>twelve</w:t>
      </w:r>
      <w:r w:rsidR="00EC7A93" w:rsidRPr="00EC7A93">
        <w:rPr>
          <w:szCs w:val="22"/>
        </w:rPr>
        <w:t xml:space="preserve"> class headings and explanatory notes, submitted by </w:t>
      </w:r>
      <w:r w:rsidR="009E2E24">
        <w:rPr>
          <w:szCs w:val="22"/>
        </w:rPr>
        <w:t>Japan, Switzerland, the</w:t>
      </w:r>
      <w:r w:rsidR="00061740">
        <w:rPr>
          <w:szCs w:val="22"/>
        </w:rPr>
        <w:t> </w:t>
      </w:r>
      <w:r w:rsidR="009E2E24">
        <w:rPr>
          <w:szCs w:val="22"/>
        </w:rPr>
        <w:t xml:space="preserve">United States of America, </w:t>
      </w:r>
      <w:r w:rsidR="00BB34EE">
        <w:rPr>
          <w:szCs w:val="22"/>
        </w:rPr>
        <w:t>EUIPO</w:t>
      </w:r>
      <w:r w:rsidR="009E2E24">
        <w:rPr>
          <w:szCs w:val="22"/>
        </w:rPr>
        <w:t xml:space="preserve"> and the International Bureau</w:t>
      </w:r>
      <w:r w:rsidR="006B4E62">
        <w:rPr>
          <w:szCs w:val="22"/>
        </w:rPr>
        <w:t>.</w:t>
      </w:r>
    </w:p>
    <w:p w:rsidR="005048D2" w:rsidRDefault="005048D2" w:rsidP="005048D2">
      <w:pPr>
        <w:spacing w:line="260" w:lineRule="exact"/>
        <w:rPr>
          <w:szCs w:val="22"/>
        </w:rPr>
      </w:pPr>
    </w:p>
    <w:p w:rsidR="005048D2" w:rsidRDefault="005048D2" w:rsidP="005048D2">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w:t>
      </w:r>
      <w:r w:rsidR="009D7B8B">
        <w:rPr>
          <w:szCs w:val="22"/>
        </w:rPr>
        <w:t xml:space="preserve">approved </w:t>
      </w:r>
      <w:r w:rsidR="009E2E24" w:rsidRPr="009E2E24">
        <w:rPr>
          <w:szCs w:val="22"/>
        </w:rPr>
        <w:t>the proposal with slight modifications</w:t>
      </w:r>
      <w:r w:rsidRPr="003A58E4">
        <w:rPr>
          <w:szCs w:val="22"/>
        </w:rPr>
        <w:t>, as contained in Annex </w:t>
      </w:r>
      <w:r>
        <w:rPr>
          <w:szCs w:val="22"/>
        </w:rPr>
        <w:t>VII</w:t>
      </w:r>
      <w:r w:rsidRPr="003A58E4">
        <w:rPr>
          <w:szCs w:val="22"/>
        </w:rPr>
        <w:t xml:space="preserve"> to this report</w:t>
      </w:r>
      <w:r>
        <w:rPr>
          <w:szCs w:val="22"/>
        </w:rPr>
        <w:t>.</w:t>
      </w:r>
    </w:p>
    <w:p w:rsidR="005048D2" w:rsidRDefault="005048D2" w:rsidP="007D6F6F">
      <w:pPr>
        <w:spacing w:line="260" w:lineRule="exact"/>
        <w:rPr>
          <w:szCs w:val="22"/>
        </w:rPr>
      </w:pPr>
    </w:p>
    <w:p w:rsidR="002F1F45" w:rsidRDefault="002F1F45" w:rsidP="007D6F6F">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t>The delegations of Japan, Switzerland, the United States of America and the EUIPO</w:t>
      </w:r>
      <w:r w:rsidR="00C85A08">
        <w:rPr>
          <w:szCs w:val="22"/>
        </w:rPr>
        <w:t xml:space="preserve">, </w:t>
      </w:r>
      <w:r>
        <w:rPr>
          <w:szCs w:val="22"/>
        </w:rPr>
        <w:t>as well as the International Bureau</w:t>
      </w:r>
      <w:r w:rsidR="00C85A08">
        <w:rPr>
          <w:szCs w:val="22"/>
        </w:rPr>
        <w:t>,</w:t>
      </w:r>
      <w:r>
        <w:rPr>
          <w:szCs w:val="22"/>
        </w:rPr>
        <w:t xml:space="preserve"> indicated that they wished to extend the revision work to other classes of the Classification.</w:t>
      </w:r>
    </w:p>
    <w:p w:rsidR="002F1F45" w:rsidRDefault="002F1F45" w:rsidP="007D6F6F">
      <w:pPr>
        <w:spacing w:line="260" w:lineRule="exact"/>
        <w:rPr>
          <w:szCs w:val="22"/>
        </w:rPr>
      </w:pPr>
    </w:p>
    <w:p w:rsidR="005048D2" w:rsidRDefault="005048D2" w:rsidP="005048D2">
      <w:pPr>
        <w:spacing w:line="260" w:lineRule="exact"/>
        <w:rPr>
          <w:b/>
          <w:caps/>
          <w:szCs w:val="22"/>
        </w:rPr>
      </w:pPr>
      <w:r w:rsidRPr="00554081">
        <w:rPr>
          <w:b/>
          <w:caps/>
          <w:szCs w:val="22"/>
        </w:rPr>
        <w:t>(</w:t>
      </w:r>
      <w:r>
        <w:rPr>
          <w:b/>
          <w:szCs w:val="22"/>
        </w:rPr>
        <w:t>e</w:t>
      </w:r>
      <w:r w:rsidRPr="00554081">
        <w:rPr>
          <w:b/>
          <w:caps/>
          <w:szCs w:val="22"/>
        </w:rPr>
        <w:t>)</w:t>
      </w:r>
      <w:r w:rsidRPr="00554081">
        <w:rPr>
          <w:b/>
          <w:caps/>
          <w:szCs w:val="22"/>
        </w:rPr>
        <w:tab/>
      </w:r>
      <w:r w:rsidR="00EC7A93">
        <w:rPr>
          <w:b/>
          <w:caps/>
          <w:szCs w:val="22"/>
        </w:rPr>
        <w:t>SPELLING AND TRANSLATION MATTERS</w:t>
      </w:r>
    </w:p>
    <w:p w:rsidR="005048D2" w:rsidRPr="003A58E4" w:rsidRDefault="005048D2" w:rsidP="005048D2">
      <w:pPr>
        <w:spacing w:line="260" w:lineRule="exact"/>
        <w:rPr>
          <w:szCs w:val="22"/>
        </w:rPr>
      </w:pPr>
    </w:p>
    <w:p w:rsidR="005048D2" w:rsidRDefault="005048D2" w:rsidP="005048D2">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23" w:history="1">
        <w:r w:rsidRPr="00C30E5D">
          <w:rPr>
            <w:rStyle w:val="Hyperlink"/>
            <w:szCs w:val="22"/>
          </w:rPr>
          <w:t>CE2</w:t>
        </w:r>
        <w:r w:rsidR="00EC7A93" w:rsidRPr="00C30E5D">
          <w:rPr>
            <w:rStyle w:val="Hyperlink"/>
            <w:szCs w:val="22"/>
          </w:rPr>
          <w:t>6</w:t>
        </w:r>
        <w:r w:rsidRPr="00C30E5D">
          <w:rPr>
            <w:rStyle w:val="Hyperlink"/>
            <w:szCs w:val="22"/>
          </w:rPr>
          <w:t>2</w:t>
        </w:r>
      </w:hyperlink>
      <w:r>
        <w:rPr>
          <w:szCs w:val="22"/>
        </w:rPr>
        <w:t xml:space="preserve">, </w:t>
      </w:r>
      <w:hyperlink r:id="rId24" w:history="1">
        <w:r w:rsidRPr="0083567C">
          <w:rPr>
            <w:rStyle w:val="Hyperlink"/>
            <w:szCs w:val="22"/>
          </w:rPr>
          <w:t xml:space="preserve">Annex </w:t>
        </w:r>
        <w:r w:rsidR="00EC7A93" w:rsidRPr="0083567C">
          <w:rPr>
            <w:rStyle w:val="Hyperlink"/>
            <w:szCs w:val="22"/>
          </w:rPr>
          <w:t>7</w:t>
        </w:r>
      </w:hyperlink>
      <w:r>
        <w:rPr>
          <w:szCs w:val="22"/>
        </w:rPr>
        <w:t xml:space="preserve">, </w:t>
      </w:r>
      <w:r w:rsidR="00E60711">
        <w:rPr>
          <w:szCs w:val="22"/>
        </w:rPr>
        <w:t>relating to</w:t>
      </w:r>
      <w:r w:rsidRPr="003A58E4">
        <w:rPr>
          <w:szCs w:val="22"/>
        </w:rPr>
        <w:t xml:space="preserve"> </w:t>
      </w:r>
      <w:r w:rsidR="00EC7A93" w:rsidRPr="00EC7A93">
        <w:rPr>
          <w:szCs w:val="22"/>
        </w:rPr>
        <w:t>a proposal concerning spelling and translation matters, submitted by the International Bureau</w:t>
      </w:r>
      <w:r w:rsidRPr="003A58E4">
        <w:rPr>
          <w:szCs w:val="22"/>
        </w:rPr>
        <w:t>.</w:t>
      </w:r>
    </w:p>
    <w:p w:rsidR="005048D2" w:rsidRDefault="005048D2" w:rsidP="005048D2">
      <w:pPr>
        <w:spacing w:line="260" w:lineRule="exact"/>
        <w:rPr>
          <w:szCs w:val="22"/>
        </w:rPr>
      </w:pPr>
    </w:p>
    <w:p w:rsidR="00237ED6" w:rsidRDefault="005048D2" w:rsidP="005048D2">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adopted </w:t>
      </w:r>
      <w:r w:rsidR="00EC7A93" w:rsidRPr="00EC7A93">
        <w:rPr>
          <w:szCs w:val="22"/>
        </w:rPr>
        <w:t>a number of changes</w:t>
      </w:r>
      <w:r w:rsidRPr="003A58E4">
        <w:rPr>
          <w:szCs w:val="22"/>
        </w:rPr>
        <w:t>, as contained in Annex </w:t>
      </w:r>
      <w:r>
        <w:rPr>
          <w:szCs w:val="22"/>
        </w:rPr>
        <w:t>VIII</w:t>
      </w:r>
      <w:r w:rsidRPr="003A58E4">
        <w:rPr>
          <w:szCs w:val="22"/>
        </w:rPr>
        <w:t xml:space="preserve"> to this report</w:t>
      </w:r>
      <w:r>
        <w:rPr>
          <w:szCs w:val="22"/>
        </w:rPr>
        <w:t>.</w:t>
      </w:r>
    </w:p>
    <w:p w:rsidR="00237ED6" w:rsidRDefault="00237ED6" w:rsidP="005048D2">
      <w:pPr>
        <w:spacing w:line="260" w:lineRule="exact"/>
        <w:ind w:left="550"/>
        <w:rPr>
          <w:szCs w:val="22"/>
        </w:rPr>
      </w:pPr>
    </w:p>
    <w:p w:rsidR="005048D2" w:rsidRDefault="00237ED6" w:rsidP="005048D2">
      <w:pPr>
        <w:spacing w:line="260" w:lineRule="exact"/>
        <w:ind w:left="550"/>
        <w:rPr>
          <w:szCs w:val="22"/>
        </w:rPr>
      </w:pPr>
      <w:r>
        <w:rPr>
          <w:szCs w:val="22"/>
        </w:rPr>
        <w:fldChar w:fldCharType="begin"/>
      </w:r>
      <w:r>
        <w:rPr>
          <w:szCs w:val="22"/>
        </w:rPr>
        <w:instrText xml:space="preserve"> AUTONUM  </w:instrText>
      </w:r>
      <w:r>
        <w:rPr>
          <w:szCs w:val="22"/>
        </w:rPr>
        <w:fldChar w:fldCharType="end"/>
      </w:r>
      <w:r>
        <w:rPr>
          <w:szCs w:val="22"/>
        </w:rPr>
        <w:tab/>
      </w:r>
      <w:r w:rsidR="00036158">
        <w:rPr>
          <w:szCs w:val="22"/>
        </w:rPr>
        <w:t xml:space="preserve">The Committee further </w:t>
      </w:r>
      <w:r>
        <w:rPr>
          <w:szCs w:val="22"/>
        </w:rPr>
        <w:t>agreed</w:t>
      </w:r>
      <w:r w:rsidR="00036158">
        <w:rPr>
          <w:szCs w:val="22"/>
        </w:rPr>
        <w:t xml:space="preserve"> that the International Bureau introduce modifications to the English </w:t>
      </w:r>
      <w:r w:rsidR="00E60711">
        <w:rPr>
          <w:szCs w:val="22"/>
        </w:rPr>
        <w:t xml:space="preserve">version of the </w:t>
      </w:r>
      <w:r>
        <w:rPr>
          <w:szCs w:val="22"/>
        </w:rPr>
        <w:t>indications of goods</w:t>
      </w:r>
      <w:r w:rsidR="00036158">
        <w:rPr>
          <w:szCs w:val="22"/>
        </w:rPr>
        <w:t xml:space="preserve"> in Class 14 that contain the terms “[</w:t>
      </w:r>
      <w:proofErr w:type="spellStart"/>
      <w:r w:rsidR="00036158">
        <w:rPr>
          <w:szCs w:val="22"/>
        </w:rPr>
        <w:t>jewellery</w:t>
      </w:r>
      <w:proofErr w:type="spellEnd"/>
      <w:r w:rsidR="00847393">
        <w:rPr>
          <w:szCs w:val="22"/>
        </w:rPr>
        <w:t>, jewelry (Am.)]”</w:t>
      </w:r>
      <w:r>
        <w:rPr>
          <w:szCs w:val="22"/>
        </w:rPr>
        <w:t>.  Such modifications appear</w:t>
      </w:r>
      <w:r w:rsidR="00847393">
        <w:rPr>
          <w:szCs w:val="22"/>
        </w:rPr>
        <w:t xml:space="preserve"> in Annex </w:t>
      </w:r>
      <w:r w:rsidR="00E60711">
        <w:rPr>
          <w:szCs w:val="22"/>
        </w:rPr>
        <w:t>IX</w:t>
      </w:r>
      <w:r w:rsidR="00847393">
        <w:rPr>
          <w:szCs w:val="22"/>
        </w:rPr>
        <w:t xml:space="preserve"> to this report.</w:t>
      </w:r>
    </w:p>
    <w:p w:rsidR="00804A8F" w:rsidRDefault="00804A8F">
      <w:pPr>
        <w:rPr>
          <w:b/>
          <w:caps/>
          <w:szCs w:val="22"/>
        </w:rPr>
      </w:pPr>
    </w:p>
    <w:p w:rsidR="00A713CD" w:rsidRDefault="00A713CD" w:rsidP="00013EC7">
      <w:pPr>
        <w:spacing w:line="260" w:lineRule="exact"/>
        <w:rPr>
          <w:b/>
          <w:caps/>
          <w:szCs w:val="22"/>
        </w:rPr>
      </w:pPr>
      <w:r w:rsidRPr="00013EC7">
        <w:rPr>
          <w:b/>
          <w:caps/>
          <w:szCs w:val="22"/>
        </w:rPr>
        <w:t>NEXT SESSION OF THE committee of experts</w:t>
      </w:r>
    </w:p>
    <w:p w:rsidR="00511E07" w:rsidRDefault="00511E07" w:rsidP="00511E07">
      <w:pPr>
        <w:spacing w:line="260" w:lineRule="exact"/>
        <w:rPr>
          <w:caps/>
          <w:szCs w:val="22"/>
        </w:rPr>
      </w:pPr>
    </w:p>
    <w:p w:rsidR="00511E07" w:rsidRPr="003A58E4" w:rsidRDefault="00511E07" w:rsidP="00511E07">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A713CD" w:rsidRPr="003A58E4">
        <w:rPr>
          <w:szCs w:val="22"/>
        </w:rPr>
        <w:t>The Committee noted that its twenty-</w:t>
      </w:r>
      <w:r w:rsidR="00630DDD">
        <w:rPr>
          <w:szCs w:val="22"/>
        </w:rPr>
        <w:t>s</w:t>
      </w:r>
      <w:r w:rsidR="0044138C">
        <w:rPr>
          <w:szCs w:val="22"/>
        </w:rPr>
        <w:t>event</w:t>
      </w:r>
      <w:r w:rsidR="009D525C">
        <w:rPr>
          <w:szCs w:val="22"/>
        </w:rPr>
        <w:t>h</w:t>
      </w:r>
      <w:r w:rsidR="00A713CD" w:rsidRPr="003A58E4">
        <w:rPr>
          <w:szCs w:val="22"/>
        </w:rPr>
        <w:t> session would be held in Geneva</w:t>
      </w:r>
      <w:r w:rsidR="007524BB">
        <w:rPr>
          <w:szCs w:val="22"/>
        </w:rPr>
        <w:t>, if possible, in</w:t>
      </w:r>
      <w:r w:rsidR="00A713CD">
        <w:rPr>
          <w:szCs w:val="22"/>
        </w:rPr>
        <w:t xml:space="preserve"> April or May</w:t>
      </w:r>
      <w:r w:rsidR="00A713CD" w:rsidRPr="003A58E4">
        <w:rPr>
          <w:szCs w:val="22"/>
        </w:rPr>
        <w:t> 201</w:t>
      </w:r>
      <w:r w:rsidR="0044138C">
        <w:rPr>
          <w:szCs w:val="22"/>
        </w:rPr>
        <w:t>7</w:t>
      </w:r>
      <w:r w:rsidR="00A713CD" w:rsidRPr="003A58E4">
        <w:rPr>
          <w:szCs w:val="22"/>
        </w:rPr>
        <w:t>.</w:t>
      </w:r>
    </w:p>
    <w:p w:rsidR="00A713CD" w:rsidRDefault="00A713CD" w:rsidP="00A713CD">
      <w:pPr>
        <w:rPr>
          <w:szCs w:val="22"/>
        </w:rPr>
      </w:pPr>
    </w:p>
    <w:p w:rsidR="004E44EE" w:rsidRPr="003A58E4" w:rsidRDefault="004E44EE" w:rsidP="00A713CD">
      <w:pPr>
        <w:rPr>
          <w:szCs w:val="22"/>
        </w:rPr>
      </w:pPr>
    </w:p>
    <w:p w:rsidR="00A713CD" w:rsidRDefault="00A713CD" w:rsidP="00013EC7">
      <w:pPr>
        <w:spacing w:line="260" w:lineRule="exact"/>
        <w:rPr>
          <w:b/>
          <w:caps/>
          <w:szCs w:val="22"/>
        </w:rPr>
      </w:pPr>
      <w:r w:rsidRPr="00013EC7">
        <w:rPr>
          <w:b/>
          <w:caps/>
          <w:szCs w:val="22"/>
        </w:rPr>
        <w:t>closing of the SESSION</w:t>
      </w:r>
    </w:p>
    <w:p w:rsidR="00013EC7" w:rsidRPr="00013EC7" w:rsidRDefault="00013EC7" w:rsidP="00013EC7">
      <w:pPr>
        <w:spacing w:line="260" w:lineRule="exact"/>
        <w:rPr>
          <w:caps/>
          <w:szCs w:val="22"/>
        </w:rPr>
      </w:pPr>
    </w:p>
    <w:p w:rsidR="00A713CD" w:rsidRPr="003A58E4" w:rsidRDefault="00A713CD" w:rsidP="004E44EE">
      <w:pPr>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 xml:space="preserve"> </w:t>
      </w:r>
      <w:r w:rsidRPr="003A58E4">
        <w:rPr>
          <w:szCs w:val="22"/>
        </w:rPr>
        <w:tab/>
        <w:t>The Chair closed the session.</w:t>
      </w:r>
    </w:p>
    <w:p w:rsidR="00A713CD" w:rsidRPr="003A58E4" w:rsidRDefault="00A713CD" w:rsidP="00A713CD">
      <w:pPr>
        <w:pStyle w:val="BodyText"/>
        <w:ind w:right="-1"/>
        <w:rPr>
          <w:i/>
          <w:szCs w:val="22"/>
        </w:rPr>
      </w:pPr>
    </w:p>
    <w:p w:rsidR="00B51DCC" w:rsidRPr="00B51DCC" w:rsidRDefault="00B51DCC" w:rsidP="00B51DCC">
      <w:pPr>
        <w:pStyle w:val="Endofdocument"/>
        <w:rPr>
          <w:i/>
          <w:sz w:val="22"/>
          <w:szCs w:val="22"/>
        </w:rPr>
      </w:pPr>
      <w:r w:rsidRPr="00B51DCC">
        <w:rPr>
          <w:i/>
          <w:sz w:val="22"/>
          <w:szCs w:val="22"/>
        </w:rPr>
        <w:t>30.</w:t>
      </w:r>
      <w:r w:rsidRPr="00B51DCC">
        <w:rPr>
          <w:i/>
          <w:sz w:val="22"/>
          <w:szCs w:val="22"/>
        </w:rPr>
        <w:tab/>
        <w:t>The Committee of Experts unanimously adopted this report by electronic means on May 31, 2016.</w:t>
      </w:r>
    </w:p>
    <w:p w:rsidR="00B51DCC" w:rsidRPr="00B51DCC" w:rsidRDefault="00B51DCC" w:rsidP="00B51DCC">
      <w:pPr>
        <w:pStyle w:val="Endofdocument"/>
        <w:rPr>
          <w:szCs w:val="22"/>
        </w:rPr>
      </w:pPr>
    </w:p>
    <w:p w:rsidR="00A713CD" w:rsidRPr="003A58E4" w:rsidRDefault="00A713CD" w:rsidP="00B51DCC">
      <w:pPr>
        <w:pStyle w:val="Endofdocument"/>
        <w:rPr>
          <w:sz w:val="22"/>
          <w:szCs w:val="22"/>
        </w:rPr>
      </w:pPr>
      <w:r w:rsidRPr="003A58E4">
        <w:rPr>
          <w:sz w:val="22"/>
          <w:szCs w:val="22"/>
        </w:rPr>
        <w:t>[Annexes follow]</w:t>
      </w:r>
    </w:p>
    <w:sectPr w:rsidR="00A713CD" w:rsidRPr="003A58E4" w:rsidSect="00903948">
      <w:headerReference w:type="defaul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D3F" w:rsidRDefault="00A95D3F">
      <w:r>
        <w:separator/>
      </w:r>
    </w:p>
  </w:endnote>
  <w:endnote w:type="continuationSeparator" w:id="0">
    <w:p w:rsidR="00A95D3F" w:rsidRDefault="00A95D3F" w:rsidP="003B38C1">
      <w:r>
        <w:separator/>
      </w:r>
    </w:p>
    <w:p w:rsidR="00A95D3F" w:rsidRPr="003B38C1" w:rsidRDefault="00A95D3F" w:rsidP="003B38C1">
      <w:pPr>
        <w:spacing w:after="60"/>
        <w:rPr>
          <w:sz w:val="17"/>
        </w:rPr>
      </w:pPr>
      <w:r>
        <w:rPr>
          <w:sz w:val="17"/>
        </w:rPr>
        <w:t>[Endnote continued from previous page]</w:t>
      </w:r>
    </w:p>
  </w:endnote>
  <w:endnote w:type="continuationNotice" w:id="1">
    <w:p w:rsidR="00A95D3F" w:rsidRPr="003B38C1" w:rsidRDefault="00A95D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D3F" w:rsidRDefault="00A95D3F">
      <w:r>
        <w:separator/>
      </w:r>
    </w:p>
  </w:footnote>
  <w:footnote w:type="continuationSeparator" w:id="0">
    <w:p w:rsidR="00A95D3F" w:rsidRDefault="00A95D3F" w:rsidP="008B60B2">
      <w:r>
        <w:separator/>
      </w:r>
    </w:p>
    <w:p w:rsidR="00A95D3F" w:rsidRPr="00ED77FB" w:rsidRDefault="00A95D3F" w:rsidP="008B60B2">
      <w:pPr>
        <w:spacing w:after="60"/>
        <w:rPr>
          <w:sz w:val="17"/>
          <w:szCs w:val="17"/>
        </w:rPr>
      </w:pPr>
      <w:r w:rsidRPr="00ED77FB">
        <w:rPr>
          <w:sz w:val="17"/>
          <w:szCs w:val="17"/>
        </w:rPr>
        <w:t>[Footnote continued from previous page]</w:t>
      </w:r>
    </w:p>
  </w:footnote>
  <w:footnote w:type="continuationNotice" w:id="1">
    <w:p w:rsidR="00A95D3F" w:rsidRPr="00ED77FB" w:rsidRDefault="00A95D3F" w:rsidP="008B60B2">
      <w:pPr>
        <w:spacing w:before="60"/>
        <w:jc w:val="right"/>
        <w:rPr>
          <w:sz w:val="17"/>
          <w:szCs w:val="17"/>
        </w:rPr>
      </w:pPr>
      <w:r w:rsidRPr="00ED77FB">
        <w:rPr>
          <w:sz w:val="17"/>
          <w:szCs w:val="17"/>
        </w:rPr>
        <w:t>[Footnote continued on next page]</w:t>
      </w:r>
    </w:p>
  </w:footnote>
  <w:footnote w:id="2">
    <w:p w:rsidR="00A958C2" w:rsidRPr="00E530F6" w:rsidRDefault="00A958C2" w:rsidP="00A958C2">
      <w:pPr>
        <w:pStyle w:val="FootnoteText"/>
      </w:pPr>
      <w:r>
        <w:rPr>
          <w:rStyle w:val="FootnoteReference"/>
        </w:rPr>
        <w:footnoteRef/>
      </w:r>
      <w:r>
        <w:t xml:space="preserve"> </w:t>
      </w:r>
      <w:r w:rsidRPr="00E530F6">
        <w:t>Article 3(7</w:t>
      </w:r>
      <w:proofErr w:type="gramStart"/>
      <w:r w:rsidRPr="00E530F6">
        <w:t>)(</w:t>
      </w:r>
      <w:proofErr w:type="gramEnd"/>
      <w:r w:rsidRPr="00E530F6">
        <w:t xml:space="preserve">b) of the Nice Agreement:  “Decisions concerning the adoption of amendments to the Classification shall require a majority of four-fifths of the countries of the Special Union represented and voting. </w:t>
      </w:r>
      <w:r>
        <w:t xml:space="preserve"> “Amendment” shall mean any transfer of goods or services from one class to another or the creation of any new class.”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AEC" w:rsidRDefault="001D3AEC" w:rsidP="00477D6B">
    <w:pPr>
      <w:jc w:val="right"/>
    </w:pPr>
    <w:bookmarkStart w:id="6" w:name="Code2"/>
    <w:bookmarkEnd w:id="6"/>
    <w:r>
      <w:t>CLIM/CE/2</w:t>
    </w:r>
    <w:r w:rsidR="0044138C">
      <w:t>6</w:t>
    </w:r>
    <w:r>
      <w:t>/2</w:t>
    </w:r>
  </w:p>
  <w:p w:rsidR="001D3AEC" w:rsidRDefault="001D3AEC" w:rsidP="00477D6B">
    <w:pPr>
      <w:jc w:val="right"/>
    </w:pPr>
    <w:proofErr w:type="gramStart"/>
    <w:r>
      <w:t>page</w:t>
    </w:r>
    <w:proofErr w:type="gramEnd"/>
    <w:r>
      <w:t xml:space="preserve"> </w:t>
    </w:r>
    <w:r>
      <w:fldChar w:fldCharType="begin"/>
    </w:r>
    <w:r>
      <w:instrText xml:space="preserve"> PAGE  \* MERGEFORMAT </w:instrText>
    </w:r>
    <w:r>
      <w:fldChar w:fldCharType="separate"/>
    </w:r>
    <w:r w:rsidR="0020607F">
      <w:rPr>
        <w:noProof/>
      </w:rPr>
      <w:t>5</w:t>
    </w:r>
    <w:r>
      <w:fldChar w:fldCharType="end"/>
    </w:r>
  </w:p>
  <w:p w:rsidR="001D3AEC" w:rsidRDefault="001D3AE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B90AB0"/>
    <w:multiLevelType w:val="multilevel"/>
    <w:tmpl w:val="2ADC98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eastAsia="SimSun" w:hAnsi="Arial" w:cs="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621204"/>
    <w:multiLevelType w:val="hybridMultilevel"/>
    <w:tmpl w:val="E9DE87F8"/>
    <w:lvl w:ilvl="0" w:tplc="D45A3C3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6C179AA"/>
    <w:multiLevelType w:val="hybridMultilevel"/>
    <w:tmpl w:val="2536F58E"/>
    <w:lvl w:ilvl="0" w:tplc="D4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12"/>
  </w:num>
  <w:num w:numId="3">
    <w:abstractNumId w:val="0"/>
  </w:num>
  <w:num w:numId="4">
    <w:abstractNumId w:val="14"/>
  </w:num>
  <w:num w:numId="5">
    <w:abstractNumId w:val="1"/>
  </w:num>
  <w:num w:numId="6">
    <w:abstractNumId w:val="5"/>
  </w:num>
  <w:num w:numId="7">
    <w:abstractNumId w:val="2"/>
  </w:num>
  <w:num w:numId="8">
    <w:abstractNumId w:val="16"/>
  </w:num>
  <w:num w:numId="9">
    <w:abstractNumId w:val="3"/>
  </w:num>
  <w:num w:numId="10">
    <w:abstractNumId w:val="15"/>
  </w:num>
  <w:num w:numId="11">
    <w:abstractNumId w:val="19"/>
  </w:num>
  <w:num w:numId="12">
    <w:abstractNumId w:val="20"/>
  </w:num>
  <w:num w:numId="13">
    <w:abstractNumId w:val="8"/>
  </w:num>
  <w:num w:numId="14">
    <w:abstractNumId w:val="13"/>
  </w:num>
  <w:num w:numId="15">
    <w:abstractNumId w:val="7"/>
  </w:num>
  <w:num w:numId="16">
    <w:abstractNumId w:val="11"/>
  </w:num>
  <w:num w:numId="17">
    <w:abstractNumId w:val="10"/>
  </w:num>
  <w:num w:numId="18">
    <w:abstractNumId w:val="18"/>
  </w:num>
  <w:num w:numId="19">
    <w:abstractNumId w:val="6"/>
  </w:num>
  <w:num w:numId="20">
    <w:abstractNumId w:val="1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52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48"/>
    <w:rsid w:val="000042C0"/>
    <w:rsid w:val="00013EC7"/>
    <w:rsid w:val="000331EA"/>
    <w:rsid w:val="000357E2"/>
    <w:rsid w:val="00036158"/>
    <w:rsid w:val="00043CAA"/>
    <w:rsid w:val="0005216A"/>
    <w:rsid w:val="00061740"/>
    <w:rsid w:val="000655CA"/>
    <w:rsid w:val="00067CFD"/>
    <w:rsid w:val="00071219"/>
    <w:rsid w:val="00075432"/>
    <w:rsid w:val="00075FA3"/>
    <w:rsid w:val="000809E9"/>
    <w:rsid w:val="00081689"/>
    <w:rsid w:val="0009471F"/>
    <w:rsid w:val="000968ED"/>
    <w:rsid w:val="000A1326"/>
    <w:rsid w:val="000B0218"/>
    <w:rsid w:val="000B2A59"/>
    <w:rsid w:val="000C09A7"/>
    <w:rsid w:val="000C379F"/>
    <w:rsid w:val="000D4407"/>
    <w:rsid w:val="000E0B4B"/>
    <w:rsid w:val="000E6B59"/>
    <w:rsid w:val="000F5E56"/>
    <w:rsid w:val="00124221"/>
    <w:rsid w:val="00125B5F"/>
    <w:rsid w:val="0013284B"/>
    <w:rsid w:val="00133089"/>
    <w:rsid w:val="001362EE"/>
    <w:rsid w:val="001415D6"/>
    <w:rsid w:val="00142529"/>
    <w:rsid w:val="00143158"/>
    <w:rsid w:val="001442B8"/>
    <w:rsid w:val="00146386"/>
    <w:rsid w:val="0015216F"/>
    <w:rsid w:val="00157411"/>
    <w:rsid w:val="001601F2"/>
    <w:rsid w:val="00177F5C"/>
    <w:rsid w:val="001832A6"/>
    <w:rsid w:val="001952B5"/>
    <w:rsid w:val="001A2FA2"/>
    <w:rsid w:val="001C3FE2"/>
    <w:rsid w:val="001C613E"/>
    <w:rsid w:val="001C6DCF"/>
    <w:rsid w:val="001D09F1"/>
    <w:rsid w:val="001D3AEC"/>
    <w:rsid w:val="001F5067"/>
    <w:rsid w:val="00201F06"/>
    <w:rsid w:val="002058F9"/>
    <w:rsid w:val="0020607F"/>
    <w:rsid w:val="00207F22"/>
    <w:rsid w:val="00211569"/>
    <w:rsid w:val="00214A27"/>
    <w:rsid w:val="002150AF"/>
    <w:rsid w:val="002158A0"/>
    <w:rsid w:val="00215AB6"/>
    <w:rsid w:val="00216D12"/>
    <w:rsid w:val="0022236E"/>
    <w:rsid w:val="00237ED6"/>
    <w:rsid w:val="00240733"/>
    <w:rsid w:val="0024387E"/>
    <w:rsid w:val="00253D78"/>
    <w:rsid w:val="00260ECD"/>
    <w:rsid w:val="002634C4"/>
    <w:rsid w:val="00265674"/>
    <w:rsid w:val="002734E5"/>
    <w:rsid w:val="00282D4F"/>
    <w:rsid w:val="002928D3"/>
    <w:rsid w:val="00292D0A"/>
    <w:rsid w:val="002D108C"/>
    <w:rsid w:val="002D1A71"/>
    <w:rsid w:val="002D7CB3"/>
    <w:rsid w:val="002E0C5B"/>
    <w:rsid w:val="002F105C"/>
    <w:rsid w:val="002F1B2D"/>
    <w:rsid w:val="002F1F45"/>
    <w:rsid w:val="002F1FE6"/>
    <w:rsid w:val="002F4E68"/>
    <w:rsid w:val="00305576"/>
    <w:rsid w:val="00312F7F"/>
    <w:rsid w:val="003216E2"/>
    <w:rsid w:val="00322243"/>
    <w:rsid w:val="00325E22"/>
    <w:rsid w:val="00343F38"/>
    <w:rsid w:val="00347976"/>
    <w:rsid w:val="00357A6C"/>
    <w:rsid w:val="00361450"/>
    <w:rsid w:val="00365019"/>
    <w:rsid w:val="003673CF"/>
    <w:rsid w:val="00372F0F"/>
    <w:rsid w:val="003845C1"/>
    <w:rsid w:val="00384A7D"/>
    <w:rsid w:val="003A18EE"/>
    <w:rsid w:val="003A6F89"/>
    <w:rsid w:val="003A78DB"/>
    <w:rsid w:val="003B38C1"/>
    <w:rsid w:val="003B4C19"/>
    <w:rsid w:val="003C1466"/>
    <w:rsid w:val="003C4968"/>
    <w:rsid w:val="003C6E56"/>
    <w:rsid w:val="003D09CB"/>
    <w:rsid w:val="003E7882"/>
    <w:rsid w:val="00401E0C"/>
    <w:rsid w:val="004079F5"/>
    <w:rsid w:val="004161CE"/>
    <w:rsid w:val="00421B99"/>
    <w:rsid w:val="0042289E"/>
    <w:rsid w:val="00423E3E"/>
    <w:rsid w:val="00427AF4"/>
    <w:rsid w:val="0043532C"/>
    <w:rsid w:val="00437A9A"/>
    <w:rsid w:val="0044050B"/>
    <w:rsid w:val="00440C1C"/>
    <w:rsid w:val="0044138C"/>
    <w:rsid w:val="004428E9"/>
    <w:rsid w:val="00455221"/>
    <w:rsid w:val="004647DA"/>
    <w:rsid w:val="004719A2"/>
    <w:rsid w:val="00474062"/>
    <w:rsid w:val="00475C75"/>
    <w:rsid w:val="00477D6B"/>
    <w:rsid w:val="00481560"/>
    <w:rsid w:val="004A3EF8"/>
    <w:rsid w:val="004A44A6"/>
    <w:rsid w:val="004A6335"/>
    <w:rsid w:val="004B0C63"/>
    <w:rsid w:val="004C6FDF"/>
    <w:rsid w:val="004D7984"/>
    <w:rsid w:val="004D7A10"/>
    <w:rsid w:val="004E44EE"/>
    <w:rsid w:val="004F31B1"/>
    <w:rsid w:val="004F4E42"/>
    <w:rsid w:val="005019FF"/>
    <w:rsid w:val="005048D2"/>
    <w:rsid w:val="00511E07"/>
    <w:rsid w:val="005225BE"/>
    <w:rsid w:val="00524741"/>
    <w:rsid w:val="0053057A"/>
    <w:rsid w:val="005315FF"/>
    <w:rsid w:val="0053203A"/>
    <w:rsid w:val="0053735C"/>
    <w:rsid w:val="00540FE1"/>
    <w:rsid w:val="00554081"/>
    <w:rsid w:val="0055507D"/>
    <w:rsid w:val="00560A29"/>
    <w:rsid w:val="005615BC"/>
    <w:rsid w:val="0057033B"/>
    <w:rsid w:val="00574D82"/>
    <w:rsid w:val="005A2AE7"/>
    <w:rsid w:val="005A33B2"/>
    <w:rsid w:val="005A49F5"/>
    <w:rsid w:val="005A7034"/>
    <w:rsid w:val="005A73A4"/>
    <w:rsid w:val="005B243C"/>
    <w:rsid w:val="005B31FF"/>
    <w:rsid w:val="005B41AE"/>
    <w:rsid w:val="005B6775"/>
    <w:rsid w:val="005C474D"/>
    <w:rsid w:val="005C6649"/>
    <w:rsid w:val="005D1B88"/>
    <w:rsid w:val="005D544B"/>
    <w:rsid w:val="005E45A3"/>
    <w:rsid w:val="006007B1"/>
    <w:rsid w:val="006010CC"/>
    <w:rsid w:val="006044B5"/>
    <w:rsid w:val="00604B40"/>
    <w:rsid w:val="00605827"/>
    <w:rsid w:val="00613CC1"/>
    <w:rsid w:val="00615D3B"/>
    <w:rsid w:val="00616F1F"/>
    <w:rsid w:val="006239AB"/>
    <w:rsid w:val="00625DED"/>
    <w:rsid w:val="00630DDD"/>
    <w:rsid w:val="00636735"/>
    <w:rsid w:val="00641CAE"/>
    <w:rsid w:val="00642DB5"/>
    <w:rsid w:val="00646050"/>
    <w:rsid w:val="00670E0E"/>
    <w:rsid w:val="006713CA"/>
    <w:rsid w:val="00672E13"/>
    <w:rsid w:val="00674127"/>
    <w:rsid w:val="00676C5C"/>
    <w:rsid w:val="006972D1"/>
    <w:rsid w:val="006A1678"/>
    <w:rsid w:val="006A2DC5"/>
    <w:rsid w:val="006A3AB5"/>
    <w:rsid w:val="006A5D2B"/>
    <w:rsid w:val="006A79DE"/>
    <w:rsid w:val="006B4E62"/>
    <w:rsid w:val="006B6BBE"/>
    <w:rsid w:val="006D0C92"/>
    <w:rsid w:val="006F648A"/>
    <w:rsid w:val="006F7852"/>
    <w:rsid w:val="00701028"/>
    <w:rsid w:val="00706D44"/>
    <w:rsid w:val="007152C8"/>
    <w:rsid w:val="00723632"/>
    <w:rsid w:val="0073171D"/>
    <w:rsid w:val="00734B29"/>
    <w:rsid w:val="007524BB"/>
    <w:rsid w:val="0075297A"/>
    <w:rsid w:val="00765AF5"/>
    <w:rsid w:val="007734DC"/>
    <w:rsid w:val="00781D8C"/>
    <w:rsid w:val="00792EF8"/>
    <w:rsid w:val="007954E3"/>
    <w:rsid w:val="007A5731"/>
    <w:rsid w:val="007B336B"/>
    <w:rsid w:val="007C6A00"/>
    <w:rsid w:val="007D1613"/>
    <w:rsid w:val="007D2B95"/>
    <w:rsid w:val="007D556A"/>
    <w:rsid w:val="007D6F6F"/>
    <w:rsid w:val="007E1926"/>
    <w:rsid w:val="007F2833"/>
    <w:rsid w:val="007F6873"/>
    <w:rsid w:val="00801CE5"/>
    <w:rsid w:val="00804A8F"/>
    <w:rsid w:val="008123A6"/>
    <w:rsid w:val="0081654E"/>
    <w:rsid w:val="0082026C"/>
    <w:rsid w:val="008319CD"/>
    <w:rsid w:val="0083567C"/>
    <w:rsid w:val="00847393"/>
    <w:rsid w:val="00851211"/>
    <w:rsid w:val="00861690"/>
    <w:rsid w:val="00861755"/>
    <w:rsid w:val="0086280F"/>
    <w:rsid w:val="00881649"/>
    <w:rsid w:val="008A02A1"/>
    <w:rsid w:val="008A18AD"/>
    <w:rsid w:val="008A4ADC"/>
    <w:rsid w:val="008A4B7A"/>
    <w:rsid w:val="008A697D"/>
    <w:rsid w:val="008B0A99"/>
    <w:rsid w:val="008B2CC1"/>
    <w:rsid w:val="008B60B2"/>
    <w:rsid w:val="008B64D5"/>
    <w:rsid w:val="008B7732"/>
    <w:rsid w:val="008D1172"/>
    <w:rsid w:val="008D592C"/>
    <w:rsid w:val="008F3443"/>
    <w:rsid w:val="00903948"/>
    <w:rsid w:val="00906F0A"/>
    <w:rsid w:val="0090731E"/>
    <w:rsid w:val="00916EE2"/>
    <w:rsid w:val="009555B8"/>
    <w:rsid w:val="009664C4"/>
    <w:rsid w:val="00966A22"/>
    <w:rsid w:val="0096722F"/>
    <w:rsid w:val="00967C1B"/>
    <w:rsid w:val="00970337"/>
    <w:rsid w:val="00973B20"/>
    <w:rsid w:val="009769B8"/>
    <w:rsid w:val="00980843"/>
    <w:rsid w:val="0098383C"/>
    <w:rsid w:val="009C3441"/>
    <w:rsid w:val="009C5832"/>
    <w:rsid w:val="009C5957"/>
    <w:rsid w:val="009D28D3"/>
    <w:rsid w:val="009D309C"/>
    <w:rsid w:val="009D525C"/>
    <w:rsid w:val="009D7B8B"/>
    <w:rsid w:val="009E2791"/>
    <w:rsid w:val="009E2E24"/>
    <w:rsid w:val="009E3F6F"/>
    <w:rsid w:val="009E6309"/>
    <w:rsid w:val="009F499F"/>
    <w:rsid w:val="009F4E4F"/>
    <w:rsid w:val="00A02569"/>
    <w:rsid w:val="00A31713"/>
    <w:rsid w:val="00A42DAF"/>
    <w:rsid w:val="00A45BD8"/>
    <w:rsid w:val="00A532CC"/>
    <w:rsid w:val="00A67C75"/>
    <w:rsid w:val="00A713CD"/>
    <w:rsid w:val="00A71C57"/>
    <w:rsid w:val="00A74CD2"/>
    <w:rsid w:val="00A869B7"/>
    <w:rsid w:val="00A914CE"/>
    <w:rsid w:val="00A958C2"/>
    <w:rsid w:val="00A95D3F"/>
    <w:rsid w:val="00AA16B2"/>
    <w:rsid w:val="00AA2FE6"/>
    <w:rsid w:val="00AA47D6"/>
    <w:rsid w:val="00AB7DFA"/>
    <w:rsid w:val="00AC205C"/>
    <w:rsid w:val="00AD2B42"/>
    <w:rsid w:val="00AD364F"/>
    <w:rsid w:val="00AF0A6B"/>
    <w:rsid w:val="00AF24F5"/>
    <w:rsid w:val="00AF5416"/>
    <w:rsid w:val="00B05A69"/>
    <w:rsid w:val="00B11469"/>
    <w:rsid w:val="00B1174E"/>
    <w:rsid w:val="00B12EE7"/>
    <w:rsid w:val="00B263AE"/>
    <w:rsid w:val="00B43A5B"/>
    <w:rsid w:val="00B51DCC"/>
    <w:rsid w:val="00B525BE"/>
    <w:rsid w:val="00B6007D"/>
    <w:rsid w:val="00B65E38"/>
    <w:rsid w:val="00B70D21"/>
    <w:rsid w:val="00B94C4C"/>
    <w:rsid w:val="00B9734B"/>
    <w:rsid w:val="00BA219A"/>
    <w:rsid w:val="00BA3626"/>
    <w:rsid w:val="00BA3DA1"/>
    <w:rsid w:val="00BB335E"/>
    <w:rsid w:val="00BB34EE"/>
    <w:rsid w:val="00BC3E96"/>
    <w:rsid w:val="00BC4E28"/>
    <w:rsid w:val="00BD1850"/>
    <w:rsid w:val="00BD5FCE"/>
    <w:rsid w:val="00BD77D0"/>
    <w:rsid w:val="00BF182E"/>
    <w:rsid w:val="00C0589C"/>
    <w:rsid w:val="00C11536"/>
    <w:rsid w:val="00C11BFE"/>
    <w:rsid w:val="00C1395E"/>
    <w:rsid w:val="00C13BB7"/>
    <w:rsid w:val="00C15035"/>
    <w:rsid w:val="00C1671A"/>
    <w:rsid w:val="00C211FB"/>
    <w:rsid w:val="00C21420"/>
    <w:rsid w:val="00C21A06"/>
    <w:rsid w:val="00C30E5D"/>
    <w:rsid w:val="00C54D52"/>
    <w:rsid w:val="00C5665B"/>
    <w:rsid w:val="00C80DAB"/>
    <w:rsid w:val="00C84120"/>
    <w:rsid w:val="00C85A08"/>
    <w:rsid w:val="00C95D3D"/>
    <w:rsid w:val="00CB4622"/>
    <w:rsid w:val="00CC1C6C"/>
    <w:rsid w:val="00CD2CD0"/>
    <w:rsid w:val="00D02941"/>
    <w:rsid w:val="00D054A0"/>
    <w:rsid w:val="00D05EC4"/>
    <w:rsid w:val="00D122D6"/>
    <w:rsid w:val="00D202FA"/>
    <w:rsid w:val="00D330C3"/>
    <w:rsid w:val="00D40043"/>
    <w:rsid w:val="00D40A5D"/>
    <w:rsid w:val="00D45252"/>
    <w:rsid w:val="00D468F7"/>
    <w:rsid w:val="00D50B4B"/>
    <w:rsid w:val="00D54A8B"/>
    <w:rsid w:val="00D578B1"/>
    <w:rsid w:val="00D71B4D"/>
    <w:rsid w:val="00D84BC3"/>
    <w:rsid w:val="00D93A49"/>
    <w:rsid w:val="00D93D55"/>
    <w:rsid w:val="00DC0574"/>
    <w:rsid w:val="00DC74CF"/>
    <w:rsid w:val="00DD5390"/>
    <w:rsid w:val="00DF0DEC"/>
    <w:rsid w:val="00DF49FB"/>
    <w:rsid w:val="00E014D5"/>
    <w:rsid w:val="00E019B9"/>
    <w:rsid w:val="00E02F88"/>
    <w:rsid w:val="00E10E40"/>
    <w:rsid w:val="00E10E7D"/>
    <w:rsid w:val="00E14C20"/>
    <w:rsid w:val="00E159B4"/>
    <w:rsid w:val="00E335FE"/>
    <w:rsid w:val="00E44FD5"/>
    <w:rsid w:val="00E51987"/>
    <w:rsid w:val="00E530F6"/>
    <w:rsid w:val="00E60711"/>
    <w:rsid w:val="00E70B77"/>
    <w:rsid w:val="00E76B13"/>
    <w:rsid w:val="00E806B0"/>
    <w:rsid w:val="00E80D18"/>
    <w:rsid w:val="00E829F1"/>
    <w:rsid w:val="00E82FA4"/>
    <w:rsid w:val="00E90CE1"/>
    <w:rsid w:val="00EA4A7C"/>
    <w:rsid w:val="00EA5B87"/>
    <w:rsid w:val="00EB4E3A"/>
    <w:rsid w:val="00EB67E1"/>
    <w:rsid w:val="00EC3AA3"/>
    <w:rsid w:val="00EC4E49"/>
    <w:rsid w:val="00EC5760"/>
    <w:rsid w:val="00EC5B5E"/>
    <w:rsid w:val="00EC7A93"/>
    <w:rsid w:val="00ED0B84"/>
    <w:rsid w:val="00ED0FB6"/>
    <w:rsid w:val="00ED77FB"/>
    <w:rsid w:val="00EE45FA"/>
    <w:rsid w:val="00EE4EA9"/>
    <w:rsid w:val="00EE6700"/>
    <w:rsid w:val="00EF66E0"/>
    <w:rsid w:val="00F16651"/>
    <w:rsid w:val="00F17AC9"/>
    <w:rsid w:val="00F25101"/>
    <w:rsid w:val="00F431A2"/>
    <w:rsid w:val="00F54C6B"/>
    <w:rsid w:val="00F6604D"/>
    <w:rsid w:val="00F66152"/>
    <w:rsid w:val="00F67C70"/>
    <w:rsid w:val="00F72481"/>
    <w:rsid w:val="00F7375F"/>
    <w:rsid w:val="00F73A9F"/>
    <w:rsid w:val="00F864DB"/>
    <w:rsid w:val="00FA4709"/>
    <w:rsid w:val="00FB0290"/>
    <w:rsid w:val="00FB4662"/>
    <w:rsid w:val="00FC1F6C"/>
    <w:rsid w:val="00FD25D7"/>
    <w:rsid w:val="00FE0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3BB7"/>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3BB7"/>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eb2.wipo.int/nef/en/project/1477/CE262" TargetMode="External"/><Relationship Id="rId18" Type="http://schemas.openxmlformats.org/officeDocument/2006/relationships/hyperlink" Target="http://web2.wipo.int/nef/nef-projects/ce262/ce262-a04_ibse.pdf"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eb2.wipo.int/nef/en/project/1477/CE262" TargetMode="External"/><Relationship Id="rId7" Type="http://schemas.openxmlformats.org/officeDocument/2006/relationships/endnotes" Target="endnotes.xml"/><Relationship Id="rId12" Type="http://schemas.openxmlformats.org/officeDocument/2006/relationships/hyperlink" Target="http://web2.wipo.int/nef/nef-projects/ce262/ce262-a01_ibgu.pdf" TargetMode="External"/><Relationship Id="rId17" Type="http://schemas.openxmlformats.org/officeDocument/2006/relationships/hyperlink" Target="http://web2.wipo.int/nef/en/project/1477/CE26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eb2.wipo.int/nef/nef-projects/ce262/ce262-a03_ibta.pdf" TargetMode="External"/><Relationship Id="rId20" Type="http://schemas.openxmlformats.org/officeDocument/2006/relationships/hyperlink" Target="http://web2.wipo.int/nef/nef-projects/ce262/ce262-a05_ibsa.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2.wipo.int/nef/en/project/1477/CE262" TargetMode="External"/><Relationship Id="rId24" Type="http://schemas.openxmlformats.org/officeDocument/2006/relationships/hyperlink" Target="http://web2.wipo.int/nef/nef-projects/ce262/ce262-a07_ibsp.pdf" TargetMode="External"/><Relationship Id="rId5" Type="http://schemas.openxmlformats.org/officeDocument/2006/relationships/webSettings" Target="webSettings.xml"/><Relationship Id="rId15" Type="http://schemas.openxmlformats.org/officeDocument/2006/relationships/hyperlink" Target="http://web2.wipo.int/nef/en/project/1477/CE262" TargetMode="External"/><Relationship Id="rId23" Type="http://schemas.openxmlformats.org/officeDocument/2006/relationships/hyperlink" Target="http://web2.wipo.int/nef/en/project/1477/CE262" TargetMode="External"/><Relationship Id="rId10" Type="http://schemas.openxmlformats.org/officeDocument/2006/relationships/hyperlink" Target="http://web2.wipo.int/nef/nef-projects/ce262/ce262-a01_ibgu.pdf" TargetMode="External"/><Relationship Id="rId19" Type="http://schemas.openxmlformats.org/officeDocument/2006/relationships/hyperlink" Target="http://web2.wipo.int/nef/en/project/1477/CE262" TargetMode="External"/><Relationship Id="rId4" Type="http://schemas.openxmlformats.org/officeDocument/2006/relationships/settings" Target="settings.xml"/><Relationship Id="rId9" Type="http://schemas.openxmlformats.org/officeDocument/2006/relationships/hyperlink" Target="http://web2.wipo.int/nef/en/project/1477/CE262" TargetMode="External"/><Relationship Id="rId14" Type="http://schemas.openxmlformats.org/officeDocument/2006/relationships/hyperlink" Target="http://web2.wipo.int/nef/nef-projects/ce262/ce262-a02_ibva.pdf" TargetMode="External"/><Relationship Id="rId22" Type="http://schemas.openxmlformats.org/officeDocument/2006/relationships/hyperlink" Target="http://web2.wipo.int/nef/nef-projects/ce262/ce262-a06_ibcl.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1475</Words>
  <Characters>9501</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CLIM/CE/26/2</vt:lpstr>
    </vt:vector>
  </TitlesOfParts>
  <Company>WIPO</Company>
  <LinksUpToDate>false</LinksUpToDate>
  <CharactersWithSpaces>10955</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CLIM/CE/26/2</dc:title>
  <dc:subject>Draft Report</dc:subject>
  <dc:creator>Carminati</dc:creator>
  <cp:lastModifiedBy>2017 (CE26)</cp:lastModifiedBy>
  <cp:revision>4</cp:revision>
  <cp:lastPrinted>2016-05-31T06:41:00Z</cp:lastPrinted>
  <dcterms:created xsi:type="dcterms:W3CDTF">2016-05-24T07:40:00Z</dcterms:created>
  <dcterms:modified xsi:type="dcterms:W3CDTF">2016-05-31T06:41:00Z</dcterms:modified>
</cp:coreProperties>
</file>