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B336B"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462A95">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903948">
              <w:rPr>
                <w:rFonts w:ascii="Arial Black" w:hAnsi="Arial Black"/>
                <w:caps/>
                <w:sz w:val="15"/>
              </w:rPr>
              <w:t>CLIM/CE/2</w:t>
            </w:r>
            <w:r w:rsidR="00616F1F">
              <w:rPr>
                <w:rFonts w:ascii="Arial Black" w:hAnsi="Arial Black"/>
                <w:caps/>
                <w:sz w:val="15"/>
              </w:rPr>
              <w:t>4</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E4733">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E4733">
              <w:rPr>
                <w:rFonts w:ascii="Arial Black" w:hAnsi="Arial Black"/>
                <w:caps/>
                <w:sz w:val="15"/>
              </w:rPr>
              <w:t>June 3</w:t>
            </w:r>
            <w:r w:rsidR="00903948">
              <w:rPr>
                <w:rFonts w:ascii="Arial Black" w:hAnsi="Arial Black"/>
                <w:caps/>
                <w:sz w:val="15"/>
              </w:rPr>
              <w:t>, 201</w:t>
            </w:r>
            <w:r w:rsidR="00616F1F">
              <w:rPr>
                <w:rFonts w:ascii="Arial Black" w:hAnsi="Arial Black"/>
                <w:caps/>
                <w:sz w:val="15"/>
              </w:rPr>
              <w:t>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903948" w:rsidP="008B2CC1">
      <w:pPr>
        <w:rPr>
          <w:b/>
          <w:sz w:val="28"/>
          <w:szCs w:val="28"/>
        </w:rPr>
      </w:pPr>
      <w:r>
        <w:rPr>
          <w:b/>
          <w:sz w:val="28"/>
          <w:szCs w:val="28"/>
        </w:rPr>
        <w:t>Special Union for the International Classification of Goods and Services for the Purposes of the Registration of Marks (Nice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903948" w:rsidP="008B2CC1">
      <w:pPr>
        <w:rPr>
          <w:b/>
          <w:sz w:val="24"/>
          <w:szCs w:val="24"/>
        </w:rPr>
      </w:pPr>
      <w:r>
        <w:rPr>
          <w:b/>
          <w:sz w:val="24"/>
          <w:szCs w:val="24"/>
        </w:rPr>
        <w:t>Twenty-</w:t>
      </w:r>
      <w:r w:rsidR="00616F1F">
        <w:rPr>
          <w:b/>
          <w:sz w:val="24"/>
          <w:szCs w:val="24"/>
        </w:rPr>
        <w:t xml:space="preserve">Fourth </w:t>
      </w:r>
      <w:proofErr w:type="gramStart"/>
      <w:r w:rsidR="003845C1" w:rsidRPr="003845C1">
        <w:rPr>
          <w:b/>
          <w:sz w:val="24"/>
          <w:szCs w:val="24"/>
        </w:rPr>
        <w:t>Session</w:t>
      </w:r>
      <w:proofErr w:type="gramEnd"/>
    </w:p>
    <w:p w:rsidR="008B2CC1" w:rsidRPr="003845C1" w:rsidRDefault="00903948" w:rsidP="008B2CC1">
      <w:pPr>
        <w:rPr>
          <w:b/>
          <w:sz w:val="24"/>
          <w:szCs w:val="24"/>
        </w:rPr>
      </w:pPr>
      <w:r>
        <w:rPr>
          <w:b/>
          <w:sz w:val="24"/>
          <w:szCs w:val="24"/>
        </w:rPr>
        <w:t>Geneva, April 2</w:t>
      </w:r>
      <w:r w:rsidR="00616F1F">
        <w:rPr>
          <w:b/>
          <w:sz w:val="24"/>
          <w:szCs w:val="24"/>
        </w:rPr>
        <w:t>8</w:t>
      </w:r>
      <w:r>
        <w:rPr>
          <w:b/>
          <w:sz w:val="24"/>
          <w:szCs w:val="24"/>
        </w:rPr>
        <w:t xml:space="preserve"> to </w:t>
      </w:r>
      <w:r w:rsidR="00616F1F">
        <w:rPr>
          <w:b/>
          <w:sz w:val="24"/>
          <w:szCs w:val="24"/>
        </w:rPr>
        <w:t xml:space="preserve">May </w:t>
      </w:r>
      <w:r>
        <w:rPr>
          <w:b/>
          <w:sz w:val="24"/>
          <w:szCs w:val="24"/>
        </w:rPr>
        <w:t>2, 201</w:t>
      </w:r>
      <w:r w:rsidR="00616F1F">
        <w:rPr>
          <w:b/>
          <w:sz w:val="24"/>
          <w:szCs w:val="24"/>
        </w:rPr>
        <w:t>4</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3" w:name="TitleOfDoc"/>
      <w:bookmarkEnd w:id="3"/>
      <w:r>
        <w:rPr>
          <w:caps/>
          <w:sz w:val="24"/>
        </w:rPr>
        <w:t>REPORT</w:t>
      </w:r>
    </w:p>
    <w:p w:rsidR="008B2CC1" w:rsidRPr="008B2CC1" w:rsidRDefault="008B2CC1" w:rsidP="008B2CC1"/>
    <w:p w:rsidR="008B2CC1" w:rsidRPr="008B2CC1" w:rsidRDefault="00462A95" w:rsidP="008B2CC1">
      <w:pPr>
        <w:rPr>
          <w:i/>
        </w:rPr>
      </w:pPr>
      <w:bookmarkStart w:id="4" w:name="Prepared"/>
      <w:bookmarkEnd w:id="4"/>
      <w:proofErr w:type="gramStart"/>
      <w:r>
        <w:rPr>
          <w:i/>
        </w:rPr>
        <w:t>adopted</w:t>
      </w:r>
      <w:proofErr w:type="gramEnd"/>
      <w:r>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of Experts of the Nice Union (hereinafter referred to as “the Committee”) held its twenty-</w:t>
      </w:r>
      <w:r w:rsidR="00616F1F">
        <w:rPr>
          <w:szCs w:val="22"/>
        </w:rPr>
        <w:t>fourth</w:t>
      </w:r>
      <w:r w:rsidRPr="003A58E4">
        <w:rPr>
          <w:szCs w:val="22"/>
        </w:rPr>
        <w:t xml:space="preserve"> session in Geneva from April 2</w:t>
      </w:r>
      <w:r w:rsidR="00616F1F">
        <w:rPr>
          <w:szCs w:val="22"/>
        </w:rPr>
        <w:t>8</w:t>
      </w:r>
      <w:r w:rsidRPr="003A58E4">
        <w:rPr>
          <w:szCs w:val="22"/>
        </w:rPr>
        <w:t xml:space="preserve"> to </w:t>
      </w:r>
      <w:r w:rsidR="00616F1F">
        <w:rPr>
          <w:szCs w:val="22"/>
        </w:rPr>
        <w:t xml:space="preserve">May </w:t>
      </w:r>
      <w:r w:rsidRPr="003A58E4">
        <w:rPr>
          <w:szCs w:val="22"/>
        </w:rPr>
        <w:t>2, 201</w:t>
      </w:r>
      <w:r w:rsidR="00616F1F">
        <w:rPr>
          <w:szCs w:val="22"/>
        </w:rPr>
        <w:t>4</w:t>
      </w:r>
      <w:r w:rsidRPr="003A58E4">
        <w:rPr>
          <w:szCs w:val="22"/>
        </w:rPr>
        <w:t xml:space="preserve">.  The following members of the Committee were represented at the session:  Austria, China, Denmark, Estonia, France, Germany, </w:t>
      </w:r>
      <w:r>
        <w:rPr>
          <w:szCs w:val="22"/>
        </w:rPr>
        <w:t xml:space="preserve">Israel, </w:t>
      </w:r>
      <w:r w:rsidRPr="003A58E4">
        <w:rPr>
          <w:szCs w:val="22"/>
        </w:rPr>
        <w:t xml:space="preserve">Italy, Japan, </w:t>
      </w:r>
      <w:r>
        <w:rPr>
          <w:szCs w:val="22"/>
        </w:rPr>
        <w:t xml:space="preserve">Latvia, </w:t>
      </w:r>
      <w:r w:rsidRPr="003A58E4">
        <w:rPr>
          <w:szCs w:val="22"/>
        </w:rPr>
        <w:t xml:space="preserve">Lithuania, </w:t>
      </w:r>
      <w:r w:rsidR="00211569">
        <w:rPr>
          <w:szCs w:val="22"/>
        </w:rPr>
        <w:t xml:space="preserve">Luxembourg, </w:t>
      </w:r>
      <w:r w:rsidRPr="003A58E4">
        <w:rPr>
          <w:szCs w:val="22"/>
        </w:rPr>
        <w:t xml:space="preserve">Mexico, Netherlands, Norway, </w:t>
      </w:r>
      <w:r w:rsidR="003216E2">
        <w:rPr>
          <w:szCs w:val="22"/>
        </w:rPr>
        <w:t xml:space="preserve">Republic of Korea, </w:t>
      </w:r>
      <w:r w:rsidRPr="003A58E4">
        <w:rPr>
          <w:szCs w:val="22"/>
        </w:rPr>
        <w:t xml:space="preserve">Romania, Russian Federation, Spain, Sweden, Switzerland, Turkey, </w:t>
      </w:r>
      <w:r w:rsidR="003216E2">
        <w:rPr>
          <w:szCs w:val="22"/>
        </w:rPr>
        <w:t xml:space="preserve">Ukraine, </w:t>
      </w:r>
      <w:r w:rsidRPr="003A58E4">
        <w:rPr>
          <w:szCs w:val="22"/>
        </w:rPr>
        <w:t>United Kingdom and United States of America</w:t>
      </w:r>
      <w:r w:rsidRPr="003A58E4">
        <w:rPr>
          <w:i/>
          <w:szCs w:val="22"/>
        </w:rPr>
        <w:t xml:space="preserve"> </w:t>
      </w:r>
      <w:r w:rsidRPr="003A58E4">
        <w:rPr>
          <w:szCs w:val="22"/>
        </w:rPr>
        <w:t>(</w:t>
      </w:r>
      <w:r>
        <w:rPr>
          <w:szCs w:val="22"/>
        </w:rPr>
        <w:t>2</w:t>
      </w:r>
      <w:r w:rsidR="004161CE">
        <w:rPr>
          <w:szCs w:val="22"/>
        </w:rPr>
        <w:t>5</w:t>
      </w:r>
      <w:r w:rsidRPr="003A58E4">
        <w:rPr>
          <w:szCs w:val="22"/>
        </w:rPr>
        <w:t xml:space="preserve">).  The following States were represented by observers:  </w:t>
      </w:r>
      <w:r w:rsidR="004161CE">
        <w:rPr>
          <w:szCs w:val="22"/>
        </w:rPr>
        <w:t xml:space="preserve">Canada, </w:t>
      </w:r>
      <w:r>
        <w:rPr>
          <w:szCs w:val="22"/>
        </w:rPr>
        <w:t>N</w:t>
      </w:r>
      <w:r w:rsidR="004161CE">
        <w:rPr>
          <w:szCs w:val="22"/>
        </w:rPr>
        <w:t>amibia and Qatar</w:t>
      </w:r>
      <w:r>
        <w:rPr>
          <w:szCs w:val="22"/>
        </w:rPr>
        <w:t> </w:t>
      </w:r>
      <w:r w:rsidRPr="003A58E4">
        <w:rPr>
          <w:szCs w:val="22"/>
        </w:rPr>
        <w:t>(</w:t>
      </w:r>
      <w:r w:rsidR="004161CE">
        <w:rPr>
          <w:szCs w:val="22"/>
        </w:rPr>
        <w:t>3</w:t>
      </w:r>
      <w:r w:rsidRPr="003A58E4">
        <w:rPr>
          <w:szCs w:val="22"/>
        </w:rPr>
        <w:t xml:space="preserve">).  Representatives of the following international intergovernmental organizations took part in the session in an observer capacity:  </w:t>
      </w:r>
      <w:r w:rsidR="00211569">
        <w:rPr>
          <w:szCs w:val="22"/>
        </w:rPr>
        <w:t xml:space="preserve">African Intellectual Property Organization (OAPI), </w:t>
      </w:r>
      <w:r w:rsidR="004161CE">
        <w:rPr>
          <w:szCs w:val="22"/>
        </w:rPr>
        <w:t xml:space="preserve">African Regional Intellectual Property Organization (ARIPO), </w:t>
      </w:r>
      <w:proofErr w:type="gramStart"/>
      <w:r w:rsidRPr="003A58E4">
        <w:rPr>
          <w:szCs w:val="22"/>
        </w:rPr>
        <w:t>Benelux</w:t>
      </w:r>
      <w:proofErr w:type="gramEnd"/>
      <w:r w:rsidRPr="003A58E4">
        <w:rPr>
          <w:szCs w:val="22"/>
        </w:rPr>
        <w:t> </w:t>
      </w:r>
      <w:r w:rsidR="00071219">
        <w:rPr>
          <w:szCs w:val="22"/>
        </w:rPr>
        <w:t>O</w:t>
      </w:r>
      <w:r w:rsidR="00E76B13">
        <w:rPr>
          <w:szCs w:val="22"/>
        </w:rPr>
        <w:t>ffice</w:t>
      </w:r>
      <w:r w:rsidRPr="003A58E4">
        <w:rPr>
          <w:szCs w:val="22"/>
        </w:rPr>
        <w:t xml:space="preserve"> for Intellectual Property (BOIP) and European Union (EU).  </w:t>
      </w:r>
      <w:r>
        <w:rPr>
          <w:szCs w:val="22"/>
        </w:rPr>
        <w:t>A r</w:t>
      </w:r>
      <w:r w:rsidRPr="003A58E4">
        <w:rPr>
          <w:szCs w:val="22"/>
        </w:rPr>
        <w:t>epresentative of the following international non-governmental organization (NGO) attended the session in an observer capacity:  International Trademark Association (INTA).  The list of participants appears as Annex I to this report.</w:t>
      </w:r>
    </w:p>
    <w:p w:rsidR="00903948" w:rsidRPr="003A58E4" w:rsidRDefault="00903948" w:rsidP="00A713CD">
      <w:pPr>
        <w:spacing w:line="260" w:lineRule="exact"/>
        <w:rPr>
          <w:szCs w:val="22"/>
        </w:rPr>
      </w:pPr>
    </w:p>
    <w:p w:rsidR="00A713CD" w:rsidRDefault="00903948" w:rsidP="00A713CD">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Mr. Antonios Farassopoulos, </w:t>
      </w:r>
      <w:r w:rsidR="00C0589C">
        <w:t>Director</w:t>
      </w:r>
      <w:r w:rsidRPr="00CA64CE">
        <w:t xml:space="preserve">, International Classifications and Standards </w:t>
      </w:r>
      <w:r w:rsidR="00C0589C">
        <w:t>Division, WIPO</w:t>
      </w:r>
      <w:r w:rsidRPr="003A58E4">
        <w:t xml:space="preserve">, who welcomed the participants on </w:t>
      </w:r>
      <w:r w:rsidR="0024387E">
        <w:t>behalf of the Director General.</w:t>
      </w:r>
    </w:p>
    <w:p w:rsidR="00A713CD" w:rsidRDefault="00A713CD" w:rsidP="00A713CD">
      <w:pPr>
        <w:spacing w:line="260" w:lineRule="exact"/>
      </w:pPr>
    </w:p>
    <w:p w:rsidR="00A713CD" w:rsidRDefault="00A713CD" w:rsidP="00A713CD">
      <w:pPr>
        <w:spacing w:line="260" w:lineRule="exact"/>
      </w:pPr>
    </w:p>
    <w:p w:rsidR="00A713CD" w:rsidRDefault="008F3443" w:rsidP="00A713CD">
      <w:pPr>
        <w:spacing w:line="260" w:lineRule="exact"/>
        <w:rPr>
          <w:b/>
        </w:rPr>
      </w:pPr>
      <w:r>
        <w:rPr>
          <w:b/>
        </w:rPr>
        <w:br w:type="page"/>
      </w:r>
      <w:r w:rsidR="00A713CD" w:rsidRPr="003A58E4">
        <w:rPr>
          <w:b/>
        </w:rPr>
        <w:lastRenderedPageBreak/>
        <w:t>OFFICERS</w:t>
      </w:r>
    </w:p>
    <w:p w:rsidR="00A713CD" w:rsidRPr="00A713CD" w:rsidRDefault="00A713CD" w:rsidP="00A713CD">
      <w:pPr>
        <w:spacing w:line="260" w:lineRule="exact"/>
      </w:pPr>
    </w:p>
    <w:p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1C3FE2" w:rsidRPr="003A58E4">
        <w:rPr>
          <w:szCs w:val="22"/>
        </w:rPr>
        <w:t>The Committee unanimously elected</w:t>
      </w:r>
      <w:r w:rsidR="000E0B4B">
        <w:rPr>
          <w:szCs w:val="22"/>
        </w:rPr>
        <w:t xml:space="preserve"> </w:t>
      </w:r>
      <w:r w:rsidR="005A49F5">
        <w:rPr>
          <w:szCs w:val="22"/>
        </w:rPr>
        <w:t xml:space="preserve">Mr. </w:t>
      </w:r>
      <w:r w:rsidR="001C3FE2">
        <w:rPr>
          <w:szCs w:val="22"/>
        </w:rPr>
        <w:t>Thom Clark</w:t>
      </w:r>
      <w:r w:rsidR="005A49F5">
        <w:rPr>
          <w:szCs w:val="22"/>
        </w:rPr>
        <w:t xml:space="preserve"> (</w:t>
      </w:r>
      <w:r w:rsidR="001C3FE2">
        <w:rPr>
          <w:szCs w:val="22"/>
        </w:rPr>
        <w:t>OHIM</w:t>
      </w:r>
      <w:r w:rsidR="005A49F5">
        <w:rPr>
          <w:szCs w:val="22"/>
        </w:rPr>
        <w:t>)</w:t>
      </w:r>
      <w:r w:rsidR="001C3FE2">
        <w:rPr>
          <w:szCs w:val="22"/>
        </w:rPr>
        <w:t xml:space="preserve"> as Chair</w:t>
      </w:r>
      <w:r w:rsidR="000E0B4B">
        <w:rPr>
          <w:szCs w:val="22"/>
        </w:rPr>
        <w:t xml:space="preserve">, </w:t>
      </w:r>
      <w:r w:rsidR="00C80DAB">
        <w:rPr>
          <w:szCs w:val="22"/>
        </w:rPr>
        <w:t>and</w:t>
      </w:r>
      <w:r w:rsidR="005A49F5">
        <w:rPr>
          <w:szCs w:val="22"/>
        </w:rPr>
        <w:t xml:space="preserve"> Mrs.</w:t>
      </w:r>
      <w:r w:rsidR="001C3FE2">
        <w:rPr>
          <w:szCs w:val="22"/>
        </w:rPr>
        <w:t> </w:t>
      </w:r>
      <w:proofErr w:type="spellStart"/>
      <w:r w:rsidR="001C3FE2">
        <w:rPr>
          <w:szCs w:val="22"/>
        </w:rPr>
        <w:t>Anat</w:t>
      </w:r>
      <w:proofErr w:type="spellEnd"/>
      <w:r w:rsidR="001C3FE2">
        <w:rPr>
          <w:szCs w:val="22"/>
        </w:rPr>
        <w:t xml:space="preserve"> Levy (Israel) </w:t>
      </w:r>
      <w:r w:rsidR="000E0B4B">
        <w:rPr>
          <w:szCs w:val="22"/>
        </w:rPr>
        <w:t xml:space="preserve">and </w:t>
      </w:r>
      <w:r w:rsidR="00C80DAB">
        <w:rPr>
          <w:szCs w:val="22"/>
        </w:rPr>
        <w:t>Mrs. </w:t>
      </w:r>
      <w:r w:rsidR="001C3FE2">
        <w:rPr>
          <w:szCs w:val="22"/>
        </w:rPr>
        <w:t xml:space="preserve">Iliana </w:t>
      </w:r>
      <w:proofErr w:type="spellStart"/>
      <w:r w:rsidR="001C3FE2">
        <w:rPr>
          <w:szCs w:val="22"/>
        </w:rPr>
        <w:t>Mier</w:t>
      </w:r>
      <w:proofErr w:type="spellEnd"/>
      <w:r w:rsidR="000E0B4B">
        <w:rPr>
          <w:szCs w:val="22"/>
        </w:rPr>
        <w:t xml:space="preserve"> (</w:t>
      </w:r>
      <w:r w:rsidR="001C3FE2">
        <w:rPr>
          <w:szCs w:val="22"/>
        </w:rPr>
        <w:t>Mexico</w:t>
      </w:r>
      <w:r w:rsidR="000E0B4B">
        <w:rPr>
          <w:szCs w:val="22"/>
        </w:rPr>
        <w:t>)</w:t>
      </w:r>
      <w:r w:rsidR="001C3FE2" w:rsidRPr="001C3FE2">
        <w:rPr>
          <w:szCs w:val="22"/>
        </w:rPr>
        <w:t xml:space="preserve"> </w:t>
      </w:r>
      <w:r w:rsidR="001C3FE2">
        <w:rPr>
          <w:szCs w:val="22"/>
        </w:rPr>
        <w:t>as Vice-Chairs</w:t>
      </w:r>
      <w:r w:rsidR="000E0B4B">
        <w:rPr>
          <w:szCs w:val="22"/>
        </w:rPr>
        <w:t>.</w:t>
      </w:r>
    </w:p>
    <w:p w:rsidR="00A713CD" w:rsidRPr="003A58E4" w:rsidRDefault="008F3443" w:rsidP="00A713CD">
      <w:pPr>
        <w:spacing w:line="260" w:lineRule="exact"/>
        <w:rPr>
          <w:szCs w:val="22"/>
        </w:rPr>
      </w:pPr>
      <w:r>
        <w:rPr>
          <w:szCs w:val="22"/>
        </w:rPr>
        <w:t xml:space="preserve"> </w:t>
      </w: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Mr. Antonios Farassopoulos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DISCUSSIONS, CONCLUSIONS AND DECISIONS</w:t>
      </w:r>
    </w:p>
    <w:p w:rsidR="00A713CD" w:rsidRPr="00A713CD"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A713CD" w:rsidRDefault="00A713CD" w:rsidP="00A713CD">
      <w:pPr>
        <w:spacing w:line="260" w:lineRule="exact"/>
        <w:rPr>
          <w:b/>
          <w:szCs w:val="22"/>
        </w:rPr>
      </w:pPr>
      <w:r>
        <w:rPr>
          <w:b/>
          <w:szCs w:val="22"/>
        </w:rPr>
        <w:t>ENTRY INTO FORCE OF THE DECISIONS OF THE COMMITTEE OF EXPERTS</w:t>
      </w:r>
    </w:p>
    <w:p w:rsidR="00A713CD" w:rsidRPr="00A823EC" w:rsidRDefault="00A713CD" w:rsidP="00A713CD"/>
    <w:p w:rsidR="00A713CD"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In accordance with Rule 7 of the Revised Rules of Procedure, the Committee agreed that changes to the </w:t>
      </w:r>
      <w:r w:rsidR="00AF24F5">
        <w:rPr>
          <w:szCs w:val="22"/>
        </w:rPr>
        <w:t xml:space="preserve">2014 version of the </w:t>
      </w:r>
      <w:r>
        <w:rPr>
          <w:szCs w:val="22"/>
        </w:rPr>
        <w:t>ten</w:t>
      </w:r>
      <w:r w:rsidRPr="003A58E4">
        <w:rPr>
          <w:szCs w:val="22"/>
        </w:rPr>
        <w:t>th edition of the Nice Classification</w:t>
      </w:r>
      <w:r w:rsidR="00AF24F5">
        <w:rPr>
          <w:szCs w:val="22"/>
        </w:rPr>
        <w:t xml:space="preserve"> </w:t>
      </w:r>
      <w:r w:rsidR="00E530F6">
        <w:rPr>
          <w:szCs w:val="22"/>
        </w:rPr>
        <w:t>that</w:t>
      </w:r>
      <w:r>
        <w:rPr>
          <w:szCs w:val="22"/>
        </w:rPr>
        <w:t xml:space="preserve"> do not entail an amendment </w:t>
      </w:r>
      <w:r w:rsidR="00E530F6">
        <w:rPr>
          <w:szCs w:val="22"/>
        </w:rPr>
        <w:t>in the sense of</w:t>
      </w:r>
      <w:r>
        <w:rPr>
          <w:szCs w:val="22"/>
        </w:rPr>
        <w:t xml:space="preserve"> Article 3(7</w:t>
      </w:r>
      <w:proofErr w:type="gramStart"/>
      <w:r>
        <w:rPr>
          <w:szCs w:val="22"/>
        </w:rPr>
        <w:t>)(</w:t>
      </w:r>
      <w:proofErr w:type="gramEnd"/>
      <w:r>
        <w:rPr>
          <w:szCs w:val="22"/>
        </w:rPr>
        <w:t>b) of the Nice Agreement</w:t>
      </w:r>
      <w:r w:rsidR="00E530F6">
        <w:rPr>
          <w:rStyle w:val="FootnoteReference"/>
          <w:szCs w:val="22"/>
        </w:rPr>
        <w:footnoteReference w:id="2"/>
      </w:r>
      <w:r>
        <w:rPr>
          <w:szCs w:val="22"/>
        </w:rPr>
        <w:t>, would enter into force on January 1, 201</w:t>
      </w:r>
      <w:r w:rsidR="00616F1F">
        <w:rPr>
          <w:szCs w:val="22"/>
        </w:rPr>
        <w:t>5</w:t>
      </w:r>
      <w:r>
        <w:rPr>
          <w:szCs w:val="22"/>
        </w:rPr>
        <w:t>, and be published</w:t>
      </w:r>
      <w:r w:rsidRPr="00AD00B6">
        <w:rPr>
          <w:szCs w:val="22"/>
        </w:rPr>
        <w:t xml:space="preserve"> </w:t>
      </w:r>
      <w:r>
        <w:rPr>
          <w:szCs w:val="22"/>
        </w:rPr>
        <w:t>online in a new version of the tenth edition</w:t>
      </w:r>
      <w:r w:rsidR="00E530F6">
        <w:rPr>
          <w:szCs w:val="22"/>
        </w:rPr>
        <w:t xml:space="preserve"> (NCL (10-201</w:t>
      </w:r>
      <w:r w:rsidR="00616F1F">
        <w:rPr>
          <w:szCs w:val="22"/>
        </w:rPr>
        <w:t>5</w:t>
      </w:r>
      <w:r w:rsidR="00E530F6">
        <w:rPr>
          <w:szCs w:val="22"/>
        </w:rPr>
        <w:t>)</w:t>
      </w:r>
      <w:r w:rsidR="00AF24F5">
        <w:rPr>
          <w:szCs w:val="22"/>
        </w:rPr>
        <w:t>) by the end of 2014</w:t>
      </w:r>
      <w:r w:rsidR="00E530F6">
        <w:rPr>
          <w:szCs w:val="22"/>
        </w:rPr>
        <w:t>.</w:t>
      </w:r>
    </w:p>
    <w:p w:rsidR="005B31FF" w:rsidRDefault="005B31FF" w:rsidP="00A713CD">
      <w:pPr>
        <w:spacing w:line="260" w:lineRule="exact"/>
        <w:rPr>
          <w:szCs w:val="22"/>
        </w:rPr>
      </w:pPr>
    </w:p>
    <w:p w:rsidR="005B31FF" w:rsidRPr="003A58E4" w:rsidRDefault="005B31FF" w:rsidP="00A713CD">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 Committee invited the International Bureau to take the opportunity of correcting any obvious typing or grammatical errors which it found in the text of the Classification and harmonizing, as far as possible, the use of punctuation.</w:t>
      </w:r>
    </w:p>
    <w:p w:rsidR="004E44EE" w:rsidRPr="0024387E" w:rsidRDefault="004E44EE" w:rsidP="00A713CD">
      <w:pPr>
        <w:spacing w:line="260" w:lineRule="exact"/>
        <w:rPr>
          <w:caps/>
          <w:szCs w:val="22"/>
        </w:rPr>
      </w:pPr>
    </w:p>
    <w:p w:rsidR="00A713CD" w:rsidRDefault="00A713CD" w:rsidP="00A713CD">
      <w:pPr>
        <w:spacing w:line="260" w:lineRule="exact"/>
        <w:rPr>
          <w:b/>
          <w:caps/>
          <w:szCs w:val="22"/>
        </w:rPr>
      </w:pPr>
      <w:r w:rsidRPr="00A713CD">
        <w:rPr>
          <w:b/>
          <w:caps/>
          <w:szCs w:val="22"/>
        </w:rPr>
        <w:t xml:space="preserve">Consideration of proposals for MODIFICATIONS to </w:t>
      </w:r>
      <w:r w:rsidR="008A02A1">
        <w:rPr>
          <w:b/>
          <w:caps/>
          <w:szCs w:val="22"/>
        </w:rPr>
        <w:t>NCL (10-201</w:t>
      </w:r>
      <w:r w:rsidR="00616F1F">
        <w:rPr>
          <w:b/>
          <w:caps/>
          <w:szCs w:val="22"/>
        </w:rPr>
        <w:t>4</w:t>
      </w:r>
      <w:r w:rsidR="008A02A1">
        <w:rPr>
          <w:b/>
          <w:caps/>
          <w:szCs w:val="22"/>
        </w:rPr>
        <w:t>)</w:t>
      </w:r>
    </w:p>
    <w:p w:rsidR="00A713CD" w:rsidRPr="00A713CD" w:rsidRDefault="00A713CD" w:rsidP="00A713CD">
      <w:pPr>
        <w:spacing w:line="260" w:lineRule="exact"/>
        <w:rPr>
          <w:caps/>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9" w:history="1">
        <w:r w:rsidR="00E014D5" w:rsidRPr="00616F1F">
          <w:rPr>
            <w:rStyle w:val="Hyperlink"/>
            <w:szCs w:val="22"/>
          </w:rPr>
          <w:t>CE2</w:t>
        </w:r>
        <w:r w:rsidR="00616F1F" w:rsidRPr="00616F1F">
          <w:rPr>
            <w:rStyle w:val="Hyperlink"/>
            <w:szCs w:val="22"/>
          </w:rPr>
          <w:t>4</w:t>
        </w:r>
        <w:r w:rsidR="00E014D5" w:rsidRPr="00616F1F">
          <w:rPr>
            <w:rStyle w:val="Hyperlink"/>
            <w:szCs w:val="22"/>
          </w:rPr>
          <w:t>2</w:t>
        </w:r>
      </w:hyperlink>
      <w:r w:rsidR="00616F1F">
        <w:rPr>
          <w:szCs w:val="22"/>
        </w:rPr>
        <w:t xml:space="preserve">, </w:t>
      </w:r>
      <w:hyperlink r:id="rId10" w:history="1">
        <w:r w:rsidR="00616F1F" w:rsidRPr="00616F1F">
          <w:rPr>
            <w:rStyle w:val="Hyperlink"/>
            <w:szCs w:val="22"/>
          </w:rPr>
          <w:t xml:space="preserve">Annex </w:t>
        </w:r>
        <w:r w:rsidR="0022236E">
          <w:rPr>
            <w:rStyle w:val="Hyperlink"/>
            <w:szCs w:val="22"/>
          </w:rPr>
          <w:t>1</w:t>
        </w:r>
      </w:hyperlink>
      <w:r w:rsidR="00616F1F">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summary table of proposals for modifications to NCL (10-2014)</w:t>
      </w:r>
      <w:r w:rsidRPr="003A58E4">
        <w:rPr>
          <w:szCs w:val="22"/>
        </w:rPr>
        <w:t>.</w:t>
      </w:r>
    </w:p>
    <w:p w:rsidR="00013EC7" w:rsidRPr="003A58E4" w:rsidRDefault="00013EC7" w:rsidP="00013EC7">
      <w:pPr>
        <w:spacing w:line="260" w:lineRule="exact"/>
        <w:rPr>
          <w:szCs w:val="22"/>
        </w:rPr>
      </w:pPr>
    </w:p>
    <w:p w:rsidR="00A713CD" w:rsidRPr="003A58E4" w:rsidRDefault="00A713CD" w:rsidP="00013EC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adopted a certain number of amendments and other changes, as contained in Annex I</w:t>
      </w:r>
      <w:r>
        <w:rPr>
          <w:szCs w:val="22"/>
        </w:rPr>
        <w:t>II</w:t>
      </w:r>
      <w:r w:rsidRPr="003A58E4">
        <w:rPr>
          <w:szCs w:val="22"/>
        </w:rPr>
        <w:t xml:space="preserve"> to this report.</w:t>
      </w:r>
    </w:p>
    <w:p w:rsidR="00A713CD" w:rsidRDefault="00A713CD" w:rsidP="00013EC7">
      <w:pPr>
        <w:spacing w:line="260" w:lineRule="exact"/>
        <w:rPr>
          <w:szCs w:val="22"/>
        </w:rPr>
      </w:pPr>
    </w:p>
    <w:p w:rsidR="004E44EE" w:rsidRPr="003A58E4" w:rsidRDefault="004E44EE" w:rsidP="00013EC7">
      <w:pPr>
        <w:spacing w:line="260" w:lineRule="exact"/>
        <w:rPr>
          <w:szCs w:val="22"/>
        </w:rPr>
      </w:pPr>
    </w:p>
    <w:p w:rsidR="00AF24F5" w:rsidRDefault="00AF24F5">
      <w:pPr>
        <w:rPr>
          <w:b/>
          <w:caps/>
          <w:szCs w:val="22"/>
        </w:rPr>
      </w:pPr>
      <w:r>
        <w:rPr>
          <w:b/>
          <w:caps/>
          <w:szCs w:val="22"/>
        </w:rPr>
        <w:br w:type="page"/>
      </w:r>
    </w:p>
    <w:p w:rsidR="00A713CD" w:rsidRDefault="00C5665B" w:rsidP="00013EC7">
      <w:pPr>
        <w:spacing w:line="260" w:lineRule="exact"/>
        <w:rPr>
          <w:b/>
          <w:caps/>
          <w:szCs w:val="22"/>
        </w:rPr>
      </w:pPr>
      <w:r>
        <w:rPr>
          <w:b/>
          <w:caps/>
          <w:szCs w:val="22"/>
        </w:rPr>
        <w:lastRenderedPageBreak/>
        <w:t>CONSIDERATION OF MATTERS RELATING TO</w:t>
      </w:r>
      <w:r w:rsidR="00616F1F">
        <w:rPr>
          <w:b/>
          <w:caps/>
          <w:szCs w:val="22"/>
        </w:rPr>
        <w:t xml:space="preserve"> the electronic publication of the nice classification (nicepub)</w:t>
      </w:r>
    </w:p>
    <w:p w:rsidR="00013EC7" w:rsidRPr="00013EC7" w:rsidRDefault="00013EC7" w:rsidP="00013EC7">
      <w:pPr>
        <w:spacing w:line="260" w:lineRule="exact"/>
        <w:rPr>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1" w:history="1">
        <w:r w:rsidR="00E014D5" w:rsidRPr="00616F1F">
          <w:rPr>
            <w:rStyle w:val="Hyperlink"/>
            <w:szCs w:val="22"/>
          </w:rPr>
          <w:t>CE2</w:t>
        </w:r>
        <w:r w:rsidR="00616F1F" w:rsidRPr="00616F1F">
          <w:rPr>
            <w:rStyle w:val="Hyperlink"/>
            <w:szCs w:val="22"/>
          </w:rPr>
          <w:t>4</w:t>
        </w:r>
        <w:r w:rsidR="00E014D5" w:rsidRPr="00616F1F">
          <w:rPr>
            <w:rStyle w:val="Hyperlink"/>
            <w:szCs w:val="22"/>
          </w:rPr>
          <w:t>3</w:t>
        </w:r>
      </w:hyperlink>
      <w:r>
        <w:rPr>
          <w:szCs w:val="22"/>
        </w:rPr>
        <w:t xml:space="preserve">, </w:t>
      </w:r>
      <w:r w:rsidRPr="003A58E4">
        <w:rPr>
          <w:szCs w:val="22"/>
        </w:rPr>
        <w:t xml:space="preserve">which </w:t>
      </w:r>
      <w:r>
        <w:rPr>
          <w:szCs w:val="22"/>
        </w:rPr>
        <w:t>contained</w:t>
      </w:r>
      <w:r w:rsidRPr="003A58E4">
        <w:rPr>
          <w:szCs w:val="22"/>
        </w:rPr>
        <w:t xml:space="preserve"> </w:t>
      </w:r>
      <w:r>
        <w:rPr>
          <w:szCs w:val="22"/>
        </w:rPr>
        <w:t>a</w:t>
      </w:r>
      <w:r w:rsidRPr="003A58E4">
        <w:rPr>
          <w:szCs w:val="22"/>
        </w:rPr>
        <w:t xml:space="preserve"> </w:t>
      </w:r>
      <w:r w:rsidR="00616F1F">
        <w:rPr>
          <w:szCs w:val="22"/>
        </w:rPr>
        <w:t xml:space="preserve">questionnaire </w:t>
      </w:r>
      <w:r w:rsidR="008A02A1">
        <w:rPr>
          <w:szCs w:val="22"/>
        </w:rPr>
        <w:t>submitted by the International Bureau</w:t>
      </w:r>
      <w:r w:rsidR="00282D4F">
        <w:rPr>
          <w:szCs w:val="22"/>
        </w:rPr>
        <w:t xml:space="preserve">, and in particular on </w:t>
      </w:r>
      <w:hyperlink r:id="rId12" w:history="1">
        <w:r w:rsidR="00282D4F" w:rsidRPr="006A5D2B">
          <w:rPr>
            <w:rStyle w:val="Hyperlink"/>
            <w:szCs w:val="22"/>
          </w:rPr>
          <w:t>Annex 21</w:t>
        </w:r>
      </w:hyperlink>
      <w:r w:rsidR="00282D4F">
        <w:rPr>
          <w:szCs w:val="22"/>
        </w:rPr>
        <w:t xml:space="preserve"> which contained a compilation of the replies submitted to </w:t>
      </w:r>
      <w:proofErr w:type="gramStart"/>
      <w:r w:rsidR="00282D4F">
        <w:rPr>
          <w:szCs w:val="22"/>
        </w:rPr>
        <w:t>said</w:t>
      </w:r>
      <w:proofErr w:type="gramEnd"/>
      <w:r w:rsidR="00282D4F">
        <w:rPr>
          <w:szCs w:val="22"/>
        </w:rPr>
        <w:t xml:space="preserve"> questionnaire</w:t>
      </w:r>
      <w:r w:rsidRPr="003A58E4">
        <w:rPr>
          <w:szCs w:val="22"/>
        </w:rPr>
        <w:t>.</w:t>
      </w:r>
    </w:p>
    <w:p w:rsidR="008A02A1" w:rsidRPr="003A58E4" w:rsidRDefault="008A02A1" w:rsidP="008A02A1">
      <w:pPr>
        <w:spacing w:line="260" w:lineRule="exact"/>
        <w:rPr>
          <w:szCs w:val="22"/>
        </w:rPr>
      </w:pPr>
    </w:p>
    <w:p w:rsidR="008A02A1" w:rsidRDefault="008A02A1" w:rsidP="00282D4F">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282D4F">
        <w:rPr>
          <w:szCs w:val="22"/>
        </w:rPr>
        <w:t xml:space="preserve">It was noted that </w:t>
      </w:r>
      <w:proofErr w:type="spellStart"/>
      <w:r w:rsidR="00282D4F">
        <w:rPr>
          <w:szCs w:val="22"/>
        </w:rPr>
        <w:t>NicePub</w:t>
      </w:r>
      <w:proofErr w:type="spellEnd"/>
      <w:r w:rsidR="00282D4F">
        <w:rPr>
          <w:szCs w:val="22"/>
        </w:rPr>
        <w:t xml:space="preserve"> was unanimously considered to be an improvement in respect of the previous Nivilo publication.  The Secretariat</w:t>
      </w:r>
      <w:r w:rsidR="000C379F">
        <w:rPr>
          <w:szCs w:val="22"/>
        </w:rPr>
        <w:t xml:space="preserve"> informed the Committee that the average number of visits to </w:t>
      </w:r>
      <w:proofErr w:type="spellStart"/>
      <w:r w:rsidR="000C379F">
        <w:rPr>
          <w:szCs w:val="22"/>
        </w:rPr>
        <w:t>NicePub</w:t>
      </w:r>
      <w:proofErr w:type="spellEnd"/>
      <w:r w:rsidR="000C379F">
        <w:rPr>
          <w:szCs w:val="22"/>
        </w:rPr>
        <w:t xml:space="preserve"> was multiplied by 15 compared to Nivilo.</w:t>
      </w:r>
    </w:p>
    <w:p w:rsidR="000C379F" w:rsidRDefault="000C379F" w:rsidP="00282D4F">
      <w:pPr>
        <w:spacing w:line="260" w:lineRule="exact"/>
        <w:rPr>
          <w:szCs w:val="22"/>
        </w:rPr>
      </w:pPr>
    </w:p>
    <w:p w:rsidR="000C379F" w:rsidRDefault="000C379F" w:rsidP="000C379F">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Pr>
          <w:szCs w:val="22"/>
        </w:rPr>
        <w:t xml:space="preserve">The Committee expressed in particular its satisfaction on the presentation of synonymous, the presentation of the bilingual version, the extended possibilities of the search functions, the possibility to display the modifications between subsequent versions of the Classification and the introduction of the information files.  In particular, many </w:t>
      </w:r>
      <w:r w:rsidR="00AF5416">
        <w:rPr>
          <w:szCs w:val="22"/>
        </w:rPr>
        <w:t>o</w:t>
      </w:r>
      <w:r>
        <w:rPr>
          <w:szCs w:val="22"/>
        </w:rPr>
        <w:t>ffices volunteered to submit info files, in order to improve clarity of new accepted proposals, where needed.</w:t>
      </w:r>
    </w:p>
    <w:p w:rsidR="000C379F" w:rsidRDefault="000C379F" w:rsidP="000C379F">
      <w:pPr>
        <w:spacing w:line="260" w:lineRule="exact"/>
        <w:rPr>
          <w:szCs w:val="22"/>
        </w:rPr>
      </w:pPr>
    </w:p>
    <w:p w:rsidR="000C379F" w:rsidRDefault="000C379F" w:rsidP="000C379F">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Pr>
          <w:szCs w:val="22"/>
        </w:rPr>
        <w:t>The Committee noted</w:t>
      </w:r>
      <w:r w:rsidR="006A3AB5">
        <w:rPr>
          <w:szCs w:val="22"/>
        </w:rPr>
        <w:t>,</w:t>
      </w:r>
      <w:r>
        <w:rPr>
          <w:szCs w:val="22"/>
        </w:rPr>
        <w:t xml:space="preserve"> in particular, that the presentation, on request, of the NCL goods and services according to the </w:t>
      </w:r>
      <w:r w:rsidR="006A3AB5">
        <w:rPr>
          <w:szCs w:val="22"/>
        </w:rPr>
        <w:t>T</w:t>
      </w:r>
      <w:r>
        <w:rPr>
          <w:szCs w:val="22"/>
        </w:rPr>
        <w:t>axonomy, was a positive contribution to the official publication of Nice.</w:t>
      </w:r>
    </w:p>
    <w:p w:rsidR="000C379F" w:rsidRDefault="000C379F" w:rsidP="000C379F">
      <w:pPr>
        <w:spacing w:line="260" w:lineRule="exact"/>
        <w:rPr>
          <w:szCs w:val="22"/>
        </w:rPr>
      </w:pPr>
    </w:p>
    <w:p w:rsidR="001C6DCF" w:rsidRDefault="000C379F" w:rsidP="000C379F">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Pr>
          <w:szCs w:val="22"/>
        </w:rPr>
        <w:tab/>
        <w:t xml:space="preserve">However, some reservations were expressed, since the publication of the </w:t>
      </w:r>
      <w:r w:rsidR="006A3AB5">
        <w:rPr>
          <w:szCs w:val="22"/>
        </w:rPr>
        <w:t>T</w:t>
      </w:r>
      <w:r>
        <w:rPr>
          <w:szCs w:val="22"/>
        </w:rPr>
        <w:t xml:space="preserve">axonomy had been interpreted by some users as being officially part of the Classification.  In that respect, it was agreed to increase the visibility of the relevant disclaimer and to modify the appearance of the titles of the </w:t>
      </w:r>
      <w:r w:rsidR="006A3AB5">
        <w:rPr>
          <w:szCs w:val="22"/>
        </w:rPr>
        <w:t>T</w:t>
      </w:r>
      <w:r>
        <w:rPr>
          <w:szCs w:val="22"/>
        </w:rPr>
        <w:t xml:space="preserve">axonomy groups in order to further distinguish them from the official </w:t>
      </w:r>
      <w:proofErr w:type="gramStart"/>
      <w:r>
        <w:rPr>
          <w:szCs w:val="22"/>
        </w:rPr>
        <w:t>Nice</w:t>
      </w:r>
      <w:proofErr w:type="gramEnd"/>
      <w:r>
        <w:rPr>
          <w:szCs w:val="22"/>
        </w:rPr>
        <w:t xml:space="preserve"> indications.  Furthermore, </w:t>
      </w:r>
      <w:r w:rsidR="001C6DCF">
        <w:rPr>
          <w:szCs w:val="22"/>
        </w:rPr>
        <w:t xml:space="preserve">the members of the Committee were invited to submit proposals for the improvement of the </w:t>
      </w:r>
      <w:r w:rsidR="006A3AB5">
        <w:rPr>
          <w:szCs w:val="22"/>
        </w:rPr>
        <w:t>T</w:t>
      </w:r>
      <w:r w:rsidR="001C6DCF">
        <w:rPr>
          <w:szCs w:val="22"/>
        </w:rPr>
        <w:t>axonomy to the International Bureau.</w:t>
      </w:r>
    </w:p>
    <w:p w:rsidR="001C6DCF" w:rsidRDefault="001C6DCF" w:rsidP="000C379F">
      <w:pPr>
        <w:spacing w:line="260" w:lineRule="exact"/>
        <w:rPr>
          <w:szCs w:val="22"/>
        </w:rPr>
      </w:pPr>
    </w:p>
    <w:p w:rsidR="001C6DCF" w:rsidRDefault="001C6DCF" w:rsidP="009F4E4F">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Pr>
          <w:szCs w:val="22"/>
        </w:rPr>
        <w:tab/>
        <w:t xml:space="preserve">The following improvements to </w:t>
      </w:r>
      <w:proofErr w:type="spellStart"/>
      <w:r>
        <w:rPr>
          <w:szCs w:val="22"/>
        </w:rPr>
        <w:t>NicePub</w:t>
      </w:r>
      <w:proofErr w:type="spellEnd"/>
      <w:r>
        <w:rPr>
          <w:szCs w:val="22"/>
        </w:rPr>
        <w:t xml:space="preserve"> were agreed</w:t>
      </w:r>
      <w:r w:rsidR="00EF66E0">
        <w:rPr>
          <w:szCs w:val="22"/>
        </w:rPr>
        <w:t xml:space="preserve"> on</w:t>
      </w:r>
      <w:r>
        <w:rPr>
          <w:szCs w:val="22"/>
        </w:rPr>
        <w:t>;</w:t>
      </w:r>
      <w:r w:rsidR="006A3AB5">
        <w:rPr>
          <w:szCs w:val="22"/>
        </w:rPr>
        <w:t xml:space="preserve"> </w:t>
      </w:r>
      <w:r>
        <w:rPr>
          <w:szCs w:val="22"/>
        </w:rPr>
        <w:t>the Secretariat indicated that they would be implemented, when feasible with reduced cost, by the second half of 2014:</w:t>
      </w:r>
    </w:p>
    <w:p w:rsidR="006A5D2B" w:rsidRDefault="006A5D2B" w:rsidP="000C379F">
      <w:pPr>
        <w:spacing w:line="260" w:lineRule="exact"/>
        <w:rPr>
          <w:szCs w:val="22"/>
        </w:rPr>
      </w:pPr>
    </w:p>
    <w:p w:rsidR="006A5D2B" w:rsidRPr="000655CA" w:rsidRDefault="00625DED" w:rsidP="000655CA">
      <w:pPr>
        <w:pStyle w:val="ListParagraph"/>
        <w:numPr>
          <w:ilvl w:val="0"/>
          <w:numId w:val="19"/>
        </w:numPr>
        <w:spacing w:line="260" w:lineRule="exact"/>
        <w:ind w:left="1134" w:hanging="567"/>
        <w:rPr>
          <w:szCs w:val="22"/>
        </w:rPr>
      </w:pPr>
      <w:r w:rsidRPr="000655CA">
        <w:rPr>
          <w:szCs w:val="22"/>
        </w:rPr>
        <w:t>c</w:t>
      </w:r>
      <w:r w:rsidR="006A5D2B" w:rsidRPr="000655CA">
        <w:rPr>
          <w:szCs w:val="22"/>
        </w:rPr>
        <w:t>hange of the displayed class with one click;</w:t>
      </w:r>
      <w:r w:rsidR="006A5D2B" w:rsidRPr="000655CA">
        <w:rPr>
          <w:szCs w:val="22"/>
        </w:rPr>
        <w:br/>
      </w:r>
    </w:p>
    <w:p w:rsidR="006A5D2B" w:rsidRDefault="00625DED" w:rsidP="000655CA">
      <w:pPr>
        <w:pStyle w:val="ListParagraph"/>
        <w:numPr>
          <w:ilvl w:val="0"/>
          <w:numId w:val="19"/>
        </w:numPr>
        <w:spacing w:line="260" w:lineRule="exact"/>
        <w:ind w:left="1134" w:hanging="567"/>
        <w:rPr>
          <w:szCs w:val="22"/>
        </w:rPr>
      </w:pPr>
      <w:r>
        <w:rPr>
          <w:szCs w:val="22"/>
        </w:rPr>
        <w:t>i</w:t>
      </w:r>
      <w:r w:rsidR="006A5D2B">
        <w:rPr>
          <w:szCs w:val="22"/>
        </w:rPr>
        <w:t>mprovement of the display of the correspondence between English and French terms in bilingual display;</w:t>
      </w:r>
      <w:r w:rsidR="006A5D2B">
        <w:rPr>
          <w:szCs w:val="22"/>
        </w:rPr>
        <w:br/>
      </w:r>
    </w:p>
    <w:p w:rsidR="006A5D2B" w:rsidRDefault="00625DED" w:rsidP="000655CA">
      <w:pPr>
        <w:pStyle w:val="ListParagraph"/>
        <w:numPr>
          <w:ilvl w:val="0"/>
          <w:numId w:val="19"/>
        </w:numPr>
        <w:spacing w:line="260" w:lineRule="exact"/>
        <w:ind w:left="1134" w:hanging="567"/>
        <w:rPr>
          <w:szCs w:val="22"/>
        </w:rPr>
      </w:pPr>
      <w:r>
        <w:rPr>
          <w:szCs w:val="22"/>
        </w:rPr>
        <w:t>a</w:t>
      </w:r>
      <w:r w:rsidR="006A5D2B">
        <w:rPr>
          <w:szCs w:val="22"/>
        </w:rPr>
        <w:t xml:space="preserve">ddition of a new tab displaying the complete </w:t>
      </w:r>
      <w:r w:rsidR="00325E22">
        <w:rPr>
          <w:szCs w:val="22"/>
        </w:rPr>
        <w:t>L</w:t>
      </w:r>
      <w:r w:rsidR="006A5D2B">
        <w:rPr>
          <w:szCs w:val="22"/>
        </w:rPr>
        <w:t>ist of Class Headings, including, on request, the Explanatory Notes;</w:t>
      </w:r>
      <w:r w:rsidR="006A5D2B">
        <w:rPr>
          <w:szCs w:val="22"/>
        </w:rPr>
        <w:br/>
      </w:r>
    </w:p>
    <w:p w:rsidR="006A5D2B" w:rsidRDefault="00625DED" w:rsidP="000655CA">
      <w:pPr>
        <w:pStyle w:val="ListParagraph"/>
        <w:numPr>
          <w:ilvl w:val="0"/>
          <w:numId w:val="19"/>
        </w:numPr>
        <w:spacing w:line="260" w:lineRule="exact"/>
        <w:ind w:left="1134" w:hanging="567"/>
        <w:rPr>
          <w:szCs w:val="22"/>
        </w:rPr>
      </w:pPr>
      <w:r>
        <w:rPr>
          <w:szCs w:val="22"/>
        </w:rPr>
        <w:t>t</w:t>
      </w:r>
      <w:r w:rsidR="006A5D2B" w:rsidRPr="006A5D2B">
        <w:rPr>
          <w:szCs w:val="22"/>
        </w:rPr>
        <w:t>he following files will be made available for downloading:</w:t>
      </w:r>
    </w:p>
    <w:p w:rsidR="006A5D2B" w:rsidRDefault="006A5D2B" w:rsidP="006A5D2B">
      <w:pPr>
        <w:pStyle w:val="ListParagraph"/>
        <w:spacing w:line="260" w:lineRule="exact"/>
        <w:rPr>
          <w:szCs w:val="22"/>
        </w:rPr>
      </w:pPr>
    </w:p>
    <w:p w:rsidR="006A5D2B" w:rsidRPr="000655CA" w:rsidRDefault="000655CA" w:rsidP="000655CA">
      <w:pPr>
        <w:spacing w:line="260" w:lineRule="exact"/>
        <w:ind w:left="1134"/>
        <w:rPr>
          <w:szCs w:val="22"/>
        </w:rPr>
      </w:pPr>
      <w:r>
        <w:rPr>
          <w:szCs w:val="22"/>
          <w:lang w:val="en-GB"/>
        </w:rPr>
        <w:t>(</w:t>
      </w:r>
      <w:proofErr w:type="spellStart"/>
      <w:proofErr w:type="gramStart"/>
      <w:r>
        <w:rPr>
          <w:szCs w:val="22"/>
          <w:lang w:val="en-GB"/>
        </w:rPr>
        <w:t>i</w:t>
      </w:r>
      <w:proofErr w:type="spellEnd"/>
      <w:proofErr w:type="gramEnd"/>
      <w:r>
        <w:rPr>
          <w:szCs w:val="22"/>
          <w:lang w:val="en-GB"/>
        </w:rPr>
        <w:t>)</w:t>
      </w:r>
      <w:r>
        <w:rPr>
          <w:szCs w:val="22"/>
          <w:lang w:val="en-GB"/>
        </w:rPr>
        <w:tab/>
      </w:r>
      <w:r w:rsidR="00625DED" w:rsidRPr="000655CA">
        <w:rPr>
          <w:szCs w:val="22"/>
        </w:rPr>
        <w:t>l</w:t>
      </w:r>
      <w:r w:rsidR="006A5D2B" w:rsidRPr="000655CA">
        <w:rPr>
          <w:szCs w:val="22"/>
        </w:rPr>
        <w:t>ist of Class Headings and Explanatory Notes in searchable PDF format;</w:t>
      </w:r>
      <w:r w:rsidR="00322243" w:rsidRPr="000655CA">
        <w:rPr>
          <w:szCs w:val="22"/>
        </w:rPr>
        <w:br/>
      </w:r>
    </w:p>
    <w:p w:rsidR="006A5D2B" w:rsidRPr="000655CA" w:rsidRDefault="000655CA" w:rsidP="000655CA">
      <w:pPr>
        <w:spacing w:line="260" w:lineRule="exact"/>
        <w:ind w:left="1134"/>
        <w:rPr>
          <w:szCs w:val="22"/>
        </w:rPr>
      </w:pPr>
      <w:r>
        <w:rPr>
          <w:szCs w:val="22"/>
          <w:lang w:val="en-GB"/>
        </w:rPr>
        <w:t>(</w:t>
      </w:r>
      <w:proofErr w:type="gramStart"/>
      <w:r>
        <w:rPr>
          <w:szCs w:val="22"/>
          <w:lang w:val="en-GB"/>
        </w:rPr>
        <w:t>ii</w:t>
      </w:r>
      <w:proofErr w:type="gramEnd"/>
      <w:r>
        <w:rPr>
          <w:szCs w:val="22"/>
          <w:lang w:val="en-GB"/>
        </w:rPr>
        <w:t>)</w:t>
      </w:r>
      <w:r>
        <w:rPr>
          <w:szCs w:val="22"/>
          <w:lang w:val="en-GB"/>
        </w:rPr>
        <w:tab/>
      </w:r>
      <w:r w:rsidR="00625DED" w:rsidRPr="000655CA">
        <w:rPr>
          <w:szCs w:val="22"/>
        </w:rPr>
        <w:t>l</w:t>
      </w:r>
      <w:r w:rsidR="006A5D2B" w:rsidRPr="000655CA">
        <w:rPr>
          <w:szCs w:val="22"/>
        </w:rPr>
        <w:t>ist</w:t>
      </w:r>
      <w:r w:rsidR="00343F38" w:rsidRPr="000655CA">
        <w:rPr>
          <w:szCs w:val="22"/>
        </w:rPr>
        <w:t xml:space="preserve">s of Goods and Services per </w:t>
      </w:r>
      <w:r w:rsidR="00322243" w:rsidRPr="000655CA">
        <w:rPr>
          <w:szCs w:val="22"/>
        </w:rPr>
        <w:t>c</w:t>
      </w:r>
      <w:r w:rsidR="00343F38" w:rsidRPr="000655CA">
        <w:rPr>
          <w:szCs w:val="22"/>
        </w:rPr>
        <w:t>lass (PDF);</w:t>
      </w:r>
      <w:r w:rsidR="00322243" w:rsidRPr="000655CA">
        <w:rPr>
          <w:szCs w:val="22"/>
        </w:rPr>
        <w:br/>
      </w:r>
    </w:p>
    <w:p w:rsidR="00343F38" w:rsidRPr="000655CA" w:rsidRDefault="000655CA" w:rsidP="000655CA">
      <w:pPr>
        <w:spacing w:line="260" w:lineRule="exact"/>
        <w:ind w:left="1134"/>
        <w:rPr>
          <w:szCs w:val="22"/>
        </w:rPr>
      </w:pPr>
      <w:r>
        <w:rPr>
          <w:szCs w:val="22"/>
          <w:lang w:val="en-GB"/>
        </w:rPr>
        <w:t>(</w:t>
      </w:r>
      <w:proofErr w:type="gramStart"/>
      <w:r>
        <w:rPr>
          <w:szCs w:val="22"/>
          <w:lang w:val="en-GB"/>
        </w:rPr>
        <w:t>iii</w:t>
      </w:r>
      <w:proofErr w:type="gramEnd"/>
      <w:r>
        <w:rPr>
          <w:szCs w:val="22"/>
          <w:lang w:val="en-GB"/>
        </w:rPr>
        <w:t>)</w:t>
      </w:r>
      <w:r w:rsidRPr="000655CA">
        <w:rPr>
          <w:szCs w:val="22"/>
          <w:lang w:val="en-GB"/>
        </w:rPr>
        <w:t xml:space="preserve"> </w:t>
      </w:r>
      <w:r>
        <w:rPr>
          <w:szCs w:val="22"/>
          <w:lang w:val="en-GB"/>
        </w:rPr>
        <w:tab/>
      </w:r>
      <w:r w:rsidR="00625DED" w:rsidRPr="000655CA">
        <w:rPr>
          <w:szCs w:val="22"/>
        </w:rPr>
        <w:t>l</w:t>
      </w:r>
      <w:r w:rsidR="00343F38" w:rsidRPr="000655CA">
        <w:rPr>
          <w:szCs w:val="22"/>
        </w:rPr>
        <w:t xml:space="preserve">ists of Goods and Services per </w:t>
      </w:r>
      <w:r w:rsidR="00322243" w:rsidRPr="000655CA">
        <w:rPr>
          <w:szCs w:val="22"/>
        </w:rPr>
        <w:t>c</w:t>
      </w:r>
      <w:r w:rsidR="00343F38" w:rsidRPr="000655CA">
        <w:rPr>
          <w:szCs w:val="22"/>
        </w:rPr>
        <w:t xml:space="preserve">lass including the </w:t>
      </w:r>
      <w:r w:rsidR="00322243" w:rsidRPr="000655CA">
        <w:rPr>
          <w:szCs w:val="22"/>
        </w:rPr>
        <w:t>T</w:t>
      </w:r>
      <w:r w:rsidR="00343F38" w:rsidRPr="000655CA">
        <w:rPr>
          <w:szCs w:val="22"/>
        </w:rPr>
        <w:t>axonomy (PDF);</w:t>
      </w:r>
      <w:r w:rsidR="00322243" w:rsidRPr="000655CA">
        <w:rPr>
          <w:szCs w:val="22"/>
        </w:rPr>
        <w:br/>
      </w:r>
    </w:p>
    <w:p w:rsidR="00343F38" w:rsidRPr="000655CA" w:rsidRDefault="000655CA" w:rsidP="000655CA">
      <w:pPr>
        <w:spacing w:line="260" w:lineRule="exact"/>
        <w:ind w:left="1134"/>
        <w:rPr>
          <w:szCs w:val="22"/>
        </w:rPr>
      </w:pPr>
      <w:r>
        <w:rPr>
          <w:szCs w:val="22"/>
          <w:lang w:val="en-GB"/>
        </w:rPr>
        <w:t>(iv)</w:t>
      </w:r>
      <w:r>
        <w:rPr>
          <w:szCs w:val="22"/>
          <w:lang w:val="en-GB"/>
        </w:rPr>
        <w:tab/>
      </w:r>
      <w:proofErr w:type="gramStart"/>
      <w:r w:rsidR="00625DED" w:rsidRPr="000655CA">
        <w:rPr>
          <w:szCs w:val="22"/>
        </w:rPr>
        <w:t>c</w:t>
      </w:r>
      <w:r w:rsidR="00343F38" w:rsidRPr="000655CA">
        <w:rPr>
          <w:szCs w:val="22"/>
        </w:rPr>
        <w:t>omplete</w:t>
      </w:r>
      <w:proofErr w:type="gramEnd"/>
      <w:r w:rsidR="00343F38" w:rsidRPr="000655CA">
        <w:rPr>
          <w:szCs w:val="22"/>
        </w:rPr>
        <w:t xml:space="preserve"> list of Goods and Services in Excel.</w:t>
      </w:r>
    </w:p>
    <w:p w:rsidR="00343F38" w:rsidRDefault="00343F38" w:rsidP="00343F38">
      <w:pPr>
        <w:spacing w:line="260" w:lineRule="exact"/>
        <w:rPr>
          <w:szCs w:val="22"/>
        </w:rPr>
      </w:pPr>
    </w:p>
    <w:p w:rsidR="00343F38" w:rsidRPr="00343F38" w:rsidRDefault="00343F38" w:rsidP="00B525BE">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Pr>
          <w:szCs w:val="22"/>
        </w:rPr>
        <w:tab/>
        <w:t xml:space="preserve">Finally, it was decided to include editions 1 to 10 into </w:t>
      </w:r>
      <w:proofErr w:type="spellStart"/>
      <w:r>
        <w:rPr>
          <w:szCs w:val="22"/>
        </w:rPr>
        <w:t>NicePub</w:t>
      </w:r>
      <w:proofErr w:type="spellEnd"/>
      <w:r>
        <w:rPr>
          <w:szCs w:val="22"/>
        </w:rPr>
        <w:t>.  It was noted that editions</w:t>
      </w:r>
      <w:r w:rsidR="0081654E">
        <w:rPr>
          <w:szCs w:val="22"/>
        </w:rPr>
        <w:t> </w:t>
      </w:r>
      <w:r>
        <w:rPr>
          <w:szCs w:val="22"/>
        </w:rPr>
        <w:t xml:space="preserve">1 to 6 would inevitably contain some errors due to imperfect </w:t>
      </w:r>
      <w:r w:rsidR="00201F06">
        <w:rPr>
          <w:szCs w:val="22"/>
        </w:rPr>
        <w:t>O</w:t>
      </w:r>
      <w:r>
        <w:rPr>
          <w:szCs w:val="22"/>
        </w:rPr>
        <w:t xml:space="preserve">ptical </w:t>
      </w:r>
      <w:r w:rsidR="00201F06">
        <w:rPr>
          <w:szCs w:val="22"/>
        </w:rPr>
        <w:t>C</w:t>
      </w:r>
      <w:r>
        <w:rPr>
          <w:szCs w:val="22"/>
        </w:rPr>
        <w:t xml:space="preserve">haracter </w:t>
      </w:r>
      <w:r w:rsidR="00201F06">
        <w:rPr>
          <w:szCs w:val="22"/>
        </w:rPr>
        <w:t>R</w:t>
      </w:r>
      <w:r>
        <w:rPr>
          <w:szCs w:val="22"/>
        </w:rPr>
        <w:t>ecognition of the scanned paper copies.  The effort to produce these versions should be minimized.</w:t>
      </w:r>
    </w:p>
    <w:p w:rsidR="008A02A1" w:rsidRDefault="008A02A1" w:rsidP="008A02A1">
      <w:pPr>
        <w:spacing w:line="260" w:lineRule="exact"/>
        <w:rPr>
          <w:szCs w:val="22"/>
        </w:rPr>
      </w:pPr>
    </w:p>
    <w:p w:rsidR="008A02A1" w:rsidRDefault="008A02A1" w:rsidP="008A02A1">
      <w:pPr>
        <w:spacing w:line="260" w:lineRule="exact"/>
        <w:rPr>
          <w:b/>
          <w:caps/>
          <w:szCs w:val="22"/>
        </w:rPr>
      </w:pPr>
      <w:r w:rsidRPr="00013EC7">
        <w:rPr>
          <w:b/>
          <w:caps/>
          <w:szCs w:val="22"/>
        </w:rPr>
        <w:t xml:space="preserve">Consideration of </w:t>
      </w:r>
      <w:r>
        <w:rPr>
          <w:b/>
          <w:caps/>
          <w:szCs w:val="22"/>
        </w:rPr>
        <w:t xml:space="preserve">A </w:t>
      </w:r>
      <w:r w:rsidR="008D592C">
        <w:rPr>
          <w:b/>
          <w:caps/>
          <w:szCs w:val="22"/>
        </w:rPr>
        <w:t xml:space="preserve">proposal concerning the addition of the term “services” to certain indications </w:t>
      </w:r>
      <w:r w:rsidR="00AF24F5">
        <w:rPr>
          <w:b/>
          <w:caps/>
          <w:szCs w:val="22"/>
        </w:rPr>
        <w:t xml:space="preserve">of services </w:t>
      </w:r>
      <w:r w:rsidR="008D592C">
        <w:rPr>
          <w:b/>
          <w:caps/>
          <w:szCs w:val="22"/>
        </w:rPr>
        <w:t xml:space="preserve">in the </w:t>
      </w:r>
      <w:r w:rsidR="00AF24F5">
        <w:rPr>
          <w:b/>
          <w:caps/>
          <w:szCs w:val="22"/>
        </w:rPr>
        <w:t xml:space="preserve">alphabetical </w:t>
      </w:r>
      <w:r w:rsidR="008D592C">
        <w:rPr>
          <w:b/>
          <w:caps/>
          <w:szCs w:val="22"/>
        </w:rPr>
        <w:t>list</w:t>
      </w:r>
      <w:r w:rsidR="00734B29">
        <w:rPr>
          <w:b/>
          <w:caps/>
          <w:szCs w:val="22"/>
        </w:rPr>
        <w:t>, submitted by switzerland</w:t>
      </w:r>
    </w:p>
    <w:p w:rsidR="008A02A1" w:rsidRPr="00013EC7" w:rsidRDefault="008A02A1" w:rsidP="008A02A1">
      <w:pPr>
        <w:spacing w:line="260" w:lineRule="exact"/>
        <w:rPr>
          <w:szCs w:val="22"/>
        </w:rPr>
      </w:pPr>
    </w:p>
    <w:p w:rsidR="00A713CD" w:rsidRDefault="008A02A1"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3" w:history="1">
        <w:r w:rsidR="00E014D5" w:rsidRPr="007152C8">
          <w:rPr>
            <w:rStyle w:val="Hyperlink"/>
            <w:szCs w:val="22"/>
          </w:rPr>
          <w:t>CE2</w:t>
        </w:r>
        <w:r w:rsidR="008D592C" w:rsidRPr="007152C8">
          <w:rPr>
            <w:rStyle w:val="Hyperlink"/>
            <w:szCs w:val="22"/>
          </w:rPr>
          <w:t>42</w:t>
        </w:r>
      </w:hyperlink>
      <w:r w:rsidR="001442B8" w:rsidRPr="00734B29">
        <w:rPr>
          <w:szCs w:val="22"/>
        </w:rPr>
        <w:t xml:space="preserve">, </w:t>
      </w:r>
      <w:hyperlink r:id="rId14" w:history="1">
        <w:r w:rsidR="001442B8" w:rsidRPr="007152C8">
          <w:rPr>
            <w:rStyle w:val="Hyperlink"/>
            <w:szCs w:val="22"/>
          </w:rPr>
          <w:t>Annex </w:t>
        </w:r>
        <w:r w:rsidR="008D592C" w:rsidRPr="007152C8">
          <w:rPr>
            <w:rStyle w:val="Hyperlink"/>
            <w:szCs w:val="22"/>
          </w:rPr>
          <w:t>2</w:t>
        </w:r>
      </w:hyperlink>
      <w:r w:rsidR="0075297A">
        <w:rPr>
          <w:szCs w:val="22"/>
        </w:rPr>
        <w:t xml:space="preserve">, </w:t>
      </w:r>
      <w:r w:rsidR="0075297A" w:rsidRPr="003A58E4">
        <w:rPr>
          <w:szCs w:val="22"/>
        </w:rPr>
        <w:t xml:space="preserve">which </w:t>
      </w:r>
      <w:r w:rsidR="0075297A">
        <w:rPr>
          <w:szCs w:val="22"/>
        </w:rPr>
        <w:t>contained a proposal concerning the addition of the term “services” to certain indications of services in the alphabetical list, submitted by Switzerland</w:t>
      </w:r>
      <w:r w:rsidR="00734B29">
        <w:rPr>
          <w:szCs w:val="22"/>
        </w:rPr>
        <w:t xml:space="preserve">.  </w:t>
      </w:r>
      <w:r w:rsidR="00A713CD">
        <w:rPr>
          <w:szCs w:val="22"/>
        </w:rPr>
        <w:t xml:space="preserve">While </w:t>
      </w:r>
      <w:r w:rsidR="007D556A">
        <w:rPr>
          <w:szCs w:val="22"/>
        </w:rPr>
        <w:t xml:space="preserve">the </w:t>
      </w:r>
      <w:r w:rsidR="00801CE5">
        <w:rPr>
          <w:szCs w:val="22"/>
        </w:rPr>
        <w:t>addition of</w:t>
      </w:r>
      <w:r w:rsidR="007D556A">
        <w:rPr>
          <w:szCs w:val="22"/>
        </w:rPr>
        <w:t xml:space="preserve"> the term “services” </w:t>
      </w:r>
      <w:r w:rsidR="00801CE5">
        <w:rPr>
          <w:szCs w:val="22"/>
        </w:rPr>
        <w:t>was considered necessary for the indications in French, this was not the case for the corresponding indications in English</w:t>
      </w:r>
      <w:r w:rsidR="00A713CD">
        <w:rPr>
          <w:szCs w:val="22"/>
        </w:rPr>
        <w:t>.</w:t>
      </w:r>
    </w:p>
    <w:p w:rsidR="00013EC7" w:rsidRDefault="00013EC7" w:rsidP="00013EC7">
      <w:pPr>
        <w:spacing w:line="260" w:lineRule="exact"/>
        <w:rPr>
          <w:szCs w:val="22"/>
        </w:rPr>
      </w:pPr>
    </w:p>
    <w:p w:rsidR="00A713CD" w:rsidRDefault="00A713CD" w:rsidP="007D556A">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7D556A" w:rsidRPr="003A58E4">
        <w:rPr>
          <w:szCs w:val="22"/>
        </w:rPr>
        <w:t>The Committee adopted a certain number of changes, as contained in Annex </w:t>
      </w:r>
      <w:r w:rsidR="007152C8">
        <w:rPr>
          <w:szCs w:val="22"/>
        </w:rPr>
        <w:t>IV</w:t>
      </w:r>
      <w:r w:rsidR="007D556A" w:rsidRPr="003A58E4">
        <w:rPr>
          <w:szCs w:val="22"/>
        </w:rPr>
        <w:t xml:space="preserve"> to this report</w:t>
      </w:r>
      <w:r w:rsidR="007D556A">
        <w:rPr>
          <w:szCs w:val="22"/>
        </w:rPr>
        <w:t>.</w:t>
      </w:r>
    </w:p>
    <w:p w:rsidR="007D556A" w:rsidRDefault="007D556A" w:rsidP="007D556A">
      <w:pPr>
        <w:spacing w:line="260" w:lineRule="exact"/>
        <w:ind w:left="550"/>
        <w:rPr>
          <w:szCs w:val="22"/>
        </w:rPr>
      </w:pPr>
    </w:p>
    <w:p w:rsidR="00013EC7" w:rsidRPr="003A58E4" w:rsidRDefault="00013EC7" w:rsidP="00A713CD">
      <w:pPr>
        <w:rPr>
          <w:szCs w:val="22"/>
        </w:rPr>
      </w:pPr>
    </w:p>
    <w:p w:rsidR="008A02A1" w:rsidRDefault="00B1174E" w:rsidP="008A02A1">
      <w:pPr>
        <w:spacing w:line="260" w:lineRule="exact"/>
        <w:rPr>
          <w:b/>
          <w:caps/>
          <w:szCs w:val="22"/>
        </w:rPr>
      </w:pPr>
      <w:r w:rsidRPr="00013EC7">
        <w:rPr>
          <w:b/>
          <w:caps/>
          <w:szCs w:val="22"/>
        </w:rPr>
        <w:t xml:space="preserve">Consideration of </w:t>
      </w:r>
      <w:r>
        <w:rPr>
          <w:b/>
          <w:caps/>
          <w:szCs w:val="22"/>
        </w:rPr>
        <w:t xml:space="preserve">A survey CONCERNING the classification of cutlery, </w:t>
      </w:r>
      <w:r w:rsidR="00734B29">
        <w:rPr>
          <w:b/>
          <w:caps/>
          <w:szCs w:val="22"/>
        </w:rPr>
        <w:t xml:space="preserve">serving </w:t>
      </w:r>
      <w:r w:rsidR="00B43A5B">
        <w:rPr>
          <w:b/>
          <w:caps/>
          <w:szCs w:val="22"/>
        </w:rPr>
        <w:t>UTENSILS AND</w:t>
      </w:r>
      <w:r w:rsidR="00734B29">
        <w:rPr>
          <w:b/>
          <w:caps/>
          <w:szCs w:val="22"/>
        </w:rPr>
        <w:t xml:space="preserve"> kitchen utensils</w:t>
      </w:r>
      <w:r w:rsidR="008A02A1">
        <w:rPr>
          <w:b/>
          <w:caps/>
          <w:szCs w:val="22"/>
        </w:rPr>
        <w:t xml:space="preserve">, SUBMITTED BY THE </w:t>
      </w:r>
      <w:r w:rsidR="00B263AE">
        <w:rPr>
          <w:b/>
          <w:caps/>
          <w:szCs w:val="22"/>
        </w:rPr>
        <w:t>UNITED STATES</w:t>
      </w:r>
      <w:r w:rsidR="000042C0">
        <w:rPr>
          <w:b/>
          <w:caps/>
          <w:szCs w:val="22"/>
        </w:rPr>
        <w:t xml:space="preserve"> OF AMERICA</w:t>
      </w:r>
    </w:p>
    <w:p w:rsidR="008A02A1" w:rsidRPr="00013EC7" w:rsidRDefault="008A02A1" w:rsidP="008A02A1">
      <w:pPr>
        <w:spacing w:line="260" w:lineRule="exact"/>
        <w:rPr>
          <w:szCs w:val="22"/>
        </w:rPr>
      </w:pPr>
    </w:p>
    <w:p w:rsidR="00A74CD2" w:rsidRDefault="00EB4E3A" w:rsidP="00A74CD2">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15" w:history="1">
        <w:r w:rsidR="00E014D5" w:rsidRPr="007152C8">
          <w:rPr>
            <w:rStyle w:val="Hyperlink"/>
            <w:szCs w:val="22"/>
          </w:rPr>
          <w:t>CE24</w:t>
        </w:r>
        <w:r w:rsidR="00734B29" w:rsidRPr="007152C8">
          <w:rPr>
            <w:rStyle w:val="Hyperlink"/>
            <w:szCs w:val="22"/>
          </w:rPr>
          <w:t>2</w:t>
        </w:r>
      </w:hyperlink>
      <w:r w:rsidRPr="00734B29">
        <w:rPr>
          <w:szCs w:val="22"/>
        </w:rPr>
        <w:t xml:space="preserve">, </w:t>
      </w:r>
      <w:hyperlink r:id="rId16" w:history="1">
        <w:r w:rsidR="00B263AE" w:rsidRPr="001601F2">
          <w:rPr>
            <w:rStyle w:val="Hyperlink"/>
            <w:szCs w:val="22"/>
          </w:rPr>
          <w:t>Annex </w:t>
        </w:r>
        <w:r w:rsidR="00734B29" w:rsidRPr="001601F2">
          <w:rPr>
            <w:rStyle w:val="Hyperlink"/>
            <w:szCs w:val="22"/>
          </w:rPr>
          <w:t>3</w:t>
        </w:r>
      </w:hyperlink>
      <w:r w:rsidR="0075297A">
        <w:rPr>
          <w:szCs w:val="22"/>
        </w:rPr>
        <w:t xml:space="preserve">, </w:t>
      </w:r>
      <w:r w:rsidR="0075297A" w:rsidRPr="003A58E4">
        <w:rPr>
          <w:szCs w:val="22"/>
        </w:rPr>
        <w:t xml:space="preserve">which </w:t>
      </w:r>
      <w:r w:rsidR="0075297A">
        <w:rPr>
          <w:szCs w:val="22"/>
        </w:rPr>
        <w:t>contained a survey concerning the classification of cutlery, serving utensils and kitchen utensils, submitted by the United States of America</w:t>
      </w:r>
      <w:r>
        <w:rPr>
          <w:szCs w:val="22"/>
        </w:rPr>
        <w:t>.</w:t>
      </w:r>
      <w:r w:rsidR="00F25101">
        <w:rPr>
          <w:szCs w:val="22"/>
        </w:rPr>
        <w:t xml:space="preserve">  The survey was intended to find out whether the Nice Union </w:t>
      </w:r>
      <w:r w:rsidR="009D309C">
        <w:rPr>
          <w:szCs w:val="22"/>
        </w:rPr>
        <w:t>members</w:t>
      </w:r>
      <w:r w:rsidR="0057033B">
        <w:rPr>
          <w:szCs w:val="22"/>
        </w:rPr>
        <w:t xml:space="preserve"> </w:t>
      </w:r>
      <w:r w:rsidR="00F25101">
        <w:rPr>
          <w:szCs w:val="22"/>
        </w:rPr>
        <w:t xml:space="preserve">would </w:t>
      </w:r>
      <w:r w:rsidR="0057033B">
        <w:rPr>
          <w:szCs w:val="22"/>
        </w:rPr>
        <w:t xml:space="preserve">eventually </w:t>
      </w:r>
      <w:r w:rsidR="00F25101">
        <w:rPr>
          <w:szCs w:val="22"/>
        </w:rPr>
        <w:t xml:space="preserve">support a proposal aiming at </w:t>
      </w:r>
      <w:r w:rsidR="00A74CD2">
        <w:rPr>
          <w:szCs w:val="22"/>
        </w:rPr>
        <w:t xml:space="preserve">transferring </w:t>
      </w:r>
      <w:r w:rsidR="00EB67E1">
        <w:rPr>
          <w:szCs w:val="22"/>
        </w:rPr>
        <w:t xml:space="preserve">table </w:t>
      </w:r>
      <w:r w:rsidR="00734B29">
        <w:rPr>
          <w:szCs w:val="22"/>
        </w:rPr>
        <w:t>knives, forks and spoons</w:t>
      </w:r>
      <w:r w:rsidR="00EB67E1">
        <w:rPr>
          <w:szCs w:val="22"/>
        </w:rPr>
        <w:t>, certain serving utensils</w:t>
      </w:r>
      <w:r w:rsidR="009D309C">
        <w:rPr>
          <w:szCs w:val="22"/>
        </w:rPr>
        <w:t>,</w:t>
      </w:r>
      <w:r w:rsidR="00EB67E1">
        <w:rPr>
          <w:szCs w:val="22"/>
        </w:rPr>
        <w:t xml:space="preserve"> and household kitchen knives, blades and cutters</w:t>
      </w:r>
      <w:r w:rsidR="00734B29">
        <w:rPr>
          <w:szCs w:val="22"/>
        </w:rPr>
        <w:t xml:space="preserve"> from Class 8 to Class 21</w:t>
      </w:r>
      <w:r w:rsidR="0057033B">
        <w:rPr>
          <w:szCs w:val="22"/>
        </w:rPr>
        <w:t>.</w:t>
      </w:r>
    </w:p>
    <w:p w:rsidR="0057033B" w:rsidRDefault="0057033B" w:rsidP="00A74CD2">
      <w:pPr>
        <w:spacing w:line="260" w:lineRule="exact"/>
        <w:rPr>
          <w:szCs w:val="22"/>
        </w:rPr>
      </w:pPr>
    </w:p>
    <w:p w:rsidR="0057033B" w:rsidRDefault="0057033B" w:rsidP="00A74CD2">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 xml:space="preserve">Out of the 25 member countries present at the session, </w:t>
      </w:r>
      <w:r w:rsidR="00215AB6">
        <w:rPr>
          <w:szCs w:val="22"/>
        </w:rPr>
        <w:t>14</w:t>
      </w:r>
      <w:r>
        <w:rPr>
          <w:szCs w:val="22"/>
        </w:rPr>
        <w:t xml:space="preserve"> </w:t>
      </w:r>
      <w:r w:rsidR="009D309C">
        <w:rPr>
          <w:szCs w:val="22"/>
        </w:rPr>
        <w:t>indicated they would be</w:t>
      </w:r>
      <w:r>
        <w:rPr>
          <w:szCs w:val="22"/>
        </w:rPr>
        <w:t xml:space="preserve"> in principle in </w:t>
      </w:r>
      <w:r w:rsidR="00B1174E">
        <w:rPr>
          <w:szCs w:val="22"/>
        </w:rPr>
        <w:t>favor</w:t>
      </w:r>
      <w:r>
        <w:rPr>
          <w:szCs w:val="22"/>
        </w:rPr>
        <w:t xml:space="preserve"> of the transfer </w:t>
      </w:r>
      <w:r w:rsidR="009D309C">
        <w:rPr>
          <w:szCs w:val="22"/>
        </w:rPr>
        <w:t>while</w:t>
      </w:r>
      <w:r>
        <w:rPr>
          <w:szCs w:val="22"/>
        </w:rPr>
        <w:t xml:space="preserve"> three </w:t>
      </w:r>
      <w:r w:rsidR="009D309C">
        <w:rPr>
          <w:szCs w:val="22"/>
        </w:rPr>
        <w:t xml:space="preserve">would be </w:t>
      </w:r>
      <w:r>
        <w:rPr>
          <w:szCs w:val="22"/>
        </w:rPr>
        <w:t xml:space="preserve">against it.  </w:t>
      </w:r>
      <w:r w:rsidR="009D309C">
        <w:rPr>
          <w:szCs w:val="22"/>
        </w:rPr>
        <w:t xml:space="preserve">Two member countries, one intergovernmental organization and the International Bureau expressed their concern that the classification of knives in Class 8 </w:t>
      </w:r>
      <w:r w:rsidR="00BB335E">
        <w:rPr>
          <w:szCs w:val="22"/>
        </w:rPr>
        <w:t xml:space="preserve">when used </w:t>
      </w:r>
      <w:r w:rsidR="009D309C">
        <w:rPr>
          <w:szCs w:val="22"/>
        </w:rPr>
        <w:t xml:space="preserve">as </w:t>
      </w:r>
      <w:r w:rsidR="00C5665B">
        <w:rPr>
          <w:szCs w:val="22"/>
        </w:rPr>
        <w:t>“</w:t>
      </w:r>
      <w:r w:rsidR="009D309C">
        <w:rPr>
          <w:szCs w:val="22"/>
        </w:rPr>
        <w:t>hand tools</w:t>
      </w:r>
      <w:r w:rsidR="00C5665B">
        <w:rPr>
          <w:szCs w:val="22"/>
        </w:rPr>
        <w:t xml:space="preserve"> in the respective professions”</w:t>
      </w:r>
      <w:r w:rsidR="009D309C">
        <w:rPr>
          <w:szCs w:val="22"/>
        </w:rPr>
        <w:t xml:space="preserve"> and </w:t>
      </w:r>
      <w:r w:rsidR="00215AB6">
        <w:rPr>
          <w:szCs w:val="22"/>
        </w:rPr>
        <w:t xml:space="preserve">in </w:t>
      </w:r>
      <w:r w:rsidR="00BB335E">
        <w:rPr>
          <w:szCs w:val="22"/>
        </w:rPr>
        <w:t>Class 21 when</w:t>
      </w:r>
      <w:r w:rsidR="009D309C">
        <w:rPr>
          <w:szCs w:val="22"/>
        </w:rPr>
        <w:t xml:space="preserve"> used as kitchen utensils</w:t>
      </w:r>
      <w:r w:rsidR="00215AB6">
        <w:rPr>
          <w:szCs w:val="22"/>
        </w:rPr>
        <w:t>,</w:t>
      </w:r>
      <w:r w:rsidR="009D309C">
        <w:rPr>
          <w:szCs w:val="22"/>
        </w:rPr>
        <w:t xml:space="preserve"> could be problematic as it would be difficult to make the difference between, for example, a butcher’s knife and a kitchen knife.  The delegation of the United States was of the opinion that </w:t>
      </w:r>
      <w:r w:rsidR="00BB335E">
        <w:rPr>
          <w:szCs w:val="22"/>
        </w:rPr>
        <w:t>even if</w:t>
      </w:r>
      <w:r w:rsidR="009D309C">
        <w:rPr>
          <w:szCs w:val="22"/>
        </w:rPr>
        <w:t xml:space="preserve"> the goods </w:t>
      </w:r>
      <w:r w:rsidR="00BB335E">
        <w:rPr>
          <w:szCs w:val="22"/>
        </w:rPr>
        <w:t>were</w:t>
      </w:r>
      <w:r w:rsidR="009D309C">
        <w:rPr>
          <w:szCs w:val="22"/>
        </w:rPr>
        <w:t xml:space="preserve"> </w:t>
      </w:r>
      <w:r w:rsidR="00BB335E">
        <w:rPr>
          <w:szCs w:val="22"/>
        </w:rPr>
        <w:t>identical, the purpose indicated by the applicant would determine the class.  This would be in accordance with General Remark</w:t>
      </w:r>
      <w:r w:rsidR="00604B40">
        <w:rPr>
          <w:szCs w:val="22"/>
        </w:rPr>
        <w:t> </w:t>
      </w:r>
      <w:r w:rsidR="00BB335E">
        <w:rPr>
          <w:szCs w:val="22"/>
        </w:rPr>
        <w:t xml:space="preserve">(a) for Goods, which sets forth the first and main criterion that should be applied for classifying finished goods, namely, function or purpose.  Two delegations stated that it </w:t>
      </w:r>
      <w:r w:rsidR="00215AB6">
        <w:rPr>
          <w:szCs w:val="22"/>
        </w:rPr>
        <w:t>was</w:t>
      </w:r>
      <w:r w:rsidR="00BB335E">
        <w:rPr>
          <w:szCs w:val="22"/>
        </w:rPr>
        <w:t xml:space="preserve"> not clear what “function” or “purpose” is </w:t>
      </w:r>
      <w:r w:rsidR="00C5665B">
        <w:rPr>
          <w:szCs w:val="22"/>
        </w:rPr>
        <w:t>meant to be.</w:t>
      </w:r>
    </w:p>
    <w:p w:rsidR="005B243C" w:rsidRDefault="005B243C" w:rsidP="005B243C">
      <w:pPr>
        <w:rPr>
          <w:szCs w:val="22"/>
        </w:rPr>
      </w:pPr>
    </w:p>
    <w:p w:rsidR="00013EC7" w:rsidRPr="003A58E4" w:rsidRDefault="00013EC7" w:rsidP="00A713CD">
      <w:pPr>
        <w:rPr>
          <w:szCs w:val="22"/>
        </w:rPr>
      </w:pPr>
    </w:p>
    <w:p w:rsidR="00A713CD" w:rsidRDefault="00A713CD" w:rsidP="00013EC7">
      <w:pPr>
        <w:spacing w:line="260" w:lineRule="exact"/>
        <w:rPr>
          <w:b/>
          <w:caps/>
          <w:szCs w:val="22"/>
        </w:rPr>
      </w:pPr>
      <w:r w:rsidRPr="00013EC7">
        <w:rPr>
          <w:b/>
          <w:caps/>
          <w:szCs w:val="22"/>
        </w:rPr>
        <w:t>NEXT SESSION OF THE committee of experts</w:t>
      </w:r>
    </w:p>
    <w:p w:rsidR="00511E07" w:rsidRDefault="00511E07" w:rsidP="00511E07">
      <w:pPr>
        <w:spacing w:line="260" w:lineRule="exact"/>
        <w:rPr>
          <w:caps/>
          <w:szCs w:val="22"/>
        </w:rPr>
      </w:pPr>
    </w:p>
    <w:p w:rsidR="00511E07" w:rsidRPr="003A58E4" w:rsidRDefault="00511E07" w:rsidP="00511E0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713CD" w:rsidRPr="003A58E4">
        <w:rPr>
          <w:szCs w:val="22"/>
        </w:rPr>
        <w:t>The Committee noted that its twenty-</w:t>
      </w:r>
      <w:r w:rsidR="004A6335">
        <w:rPr>
          <w:szCs w:val="22"/>
        </w:rPr>
        <w:t>f</w:t>
      </w:r>
      <w:r w:rsidR="009D525C">
        <w:rPr>
          <w:szCs w:val="22"/>
        </w:rPr>
        <w:t>ifth</w:t>
      </w:r>
      <w:r w:rsidR="00A713CD" w:rsidRPr="003A58E4">
        <w:rPr>
          <w:szCs w:val="22"/>
        </w:rPr>
        <w:t xml:space="preserve"> session would be held in Geneva </w:t>
      </w:r>
      <w:r w:rsidR="00A713CD">
        <w:rPr>
          <w:szCs w:val="22"/>
        </w:rPr>
        <w:t>at the end of April or beginning of May</w:t>
      </w:r>
      <w:r w:rsidR="00A713CD" w:rsidRPr="003A58E4">
        <w:rPr>
          <w:szCs w:val="22"/>
        </w:rPr>
        <w:t> 201</w:t>
      </w:r>
      <w:r w:rsidR="009D525C">
        <w:rPr>
          <w:szCs w:val="22"/>
        </w:rPr>
        <w:t>5</w:t>
      </w:r>
      <w:r w:rsidR="00A713CD" w:rsidRPr="003A58E4">
        <w:rPr>
          <w:szCs w:val="22"/>
        </w:rPr>
        <w:t>.</w:t>
      </w:r>
    </w:p>
    <w:p w:rsidR="00A713CD" w:rsidRDefault="00A713CD" w:rsidP="00A713CD">
      <w:pPr>
        <w:rPr>
          <w:szCs w:val="22"/>
        </w:rPr>
      </w:pPr>
    </w:p>
    <w:p w:rsidR="004E44EE" w:rsidRPr="003A58E4" w:rsidRDefault="004E44EE" w:rsidP="00A713CD">
      <w:pPr>
        <w:rPr>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462A95" w:rsidRDefault="00A713CD" w:rsidP="00462A95">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 xml:space="preserve"> </w:t>
      </w:r>
      <w:r w:rsidRPr="003A58E4">
        <w:rPr>
          <w:szCs w:val="22"/>
        </w:rPr>
        <w:tab/>
        <w:t>The Chair closed the session.</w:t>
      </w:r>
      <w:r w:rsidR="00462A95" w:rsidRPr="00462A95">
        <w:rPr>
          <w:szCs w:val="22"/>
        </w:rPr>
        <w:t xml:space="preserve"> </w:t>
      </w:r>
    </w:p>
    <w:p w:rsidR="00462A95" w:rsidRPr="003A58E4" w:rsidRDefault="00462A95" w:rsidP="00462A95">
      <w:pPr>
        <w:rPr>
          <w:szCs w:val="22"/>
        </w:rPr>
      </w:pPr>
    </w:p>
    <w:p w:rsidR="00462A95" w:rsidRPr="00C007F4" w:rsidRDefault="00462A95" w:rsidP="00462A95">
      <w:pPr>
        <w:pStyle w:val="DecisionInvitingPara"/>
        <w:rPr>
          <w:sz w:val="22"/>
          <w:szCs w:val="22"/>
        </w:rPr>
      </w:pPr>
      <w:r>
        <w:rPr>
          <w:sz w:val="22"/>
          <w:szCs w:val="22"/>
        </w:rPr>
        <w:t>24</w:t>
      </w:r>
      <w:r w:rsidRPr="00C007F4">
        <w:rPr>
          <w:sz w:val="22"/>
          <w:szCs w:val="22"/>
        </w:rPr>
        <w:t>.</w:t>
      </w:r>
      <w:r w:rsidRPr="00C007F4">
        <w:rPr>
          <w:sz w:val="22"/>
          <w:szCs w:val="22"/>
        </w:rPr>
        <w:tab/>
        <w:t xml:space="preserve">The Committee of Experts unanimously adopted this report by electronic means on </w:t>
      </w:r>
      <w:r w:rsidR="004E4733">
        <w:rPr>
          <w:sz w:val="22"/>
          <w:szCs w:val="22"/>
        </w:rPr>
        <w:t>June 3</w:t>
      </w:r>
      <w:bookmarkStart w:id="5" w:name="_GoBack"/>
      <w:bookmarkEnd w:id="5"/>
      <w:r>
        <w:rPr>
          <w:sz w:val="22"/>
          <w:szCs w:val="22"/>
        </w:rPr>
        <w:t>, 2014</w:t>
      </w:r>
      <w:r w:rsidRPr="00C007F4">
        <w:rPr>
          <w:sz w:val="22"/>
          <w:szCs w:val="22"/>
        </w:rPr>
        <w:t>.</w:t>
      </w:r>
    </w:p>
    <w:p w:rsidR="00A713CD" w:rsidRPr="003A58E4" w:rsidRDefault="00A713CD" w:rsidP="004E44EE">
      <w:pPr>
        <w:rPr>
          <w:szCs w:val="22"/>
        </w:rPr>
      </w:pPr>
    </w:p>
    <w:p w:rsidR="00A713CD" w:rsidRPr="003A58E4" w:rsidRDefault="00A713CD" w:rsidP="00A713CD">
      <w:pPr>
        <w:pStyle w:val="Endofdocument"/>
        <w:rPr>
          <w:sz w:val="22"/>
          <w:szCs w:val="22"/>
        </w:rPr>
      </w:pPr>
      <w:r w:rsidRPr="003A58E4">
        <w:rPr>
          <w:sz w:val="22"/>
          <w:szCs w:val="22"/>
        </w:rPr>
        <w:t>[Annexes follow]</w:t>
      </w:r>
    </w:p>
    <w:sectPr w:rsidR="00A713CD" w:rsidRPr="003A58E4" w:rsidSect="00903948">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 w:id="2">
    <w:p w:rsidR="001D3AEC" w:rsidRPr="00E530F6" w:rsidRDefault="001D3AEC">
      <w:pPr>
        <w:pStyle w:val="FootnoteText"/>
      </w:pPr>
      <w:r>
        <w:rPr>
          <w:rStyle w:val="FootnoteReference"/>
        </w:rPr>
        <w:footnoteRef/>
      </w:r>
      <w:r>
        <w:t xml:space="preserve"> </w:t>
      </w:r>
      <w:r w:rsidRPr="00E530F6">
        <w:t>Article 3(7</w:t>
      </w:r>
      <w:proofErr w:type="gramStart"/>
      <w:r w:rsidRPr="00E530F6">
        <w:t>)(</w:t>
      </w:r>
      <w:proofErr w:type="gramEnd"/>
      <w:r w:rsidRPr="00E530F6">
        <w:t xml:space="preserve">b) of the Nice Agreement:  “Decisions concerning the adoption of amendments to the Classification shall require a majority of four-fifths of the countries of the Special Union represented and voting. </w:t>
      </w:r>
      <w:r>
        <w:t xml:space="preserve"> “Amendment” shall mean any transfer of goods or services from one class to another or the creation of any new class.”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EC" w:rsidRDefault="001D3AEC" w:rsidP="00477D6B">
    <w:pPr>
      <w:jc w:val="right"/>
    </w:pPr>
    <w:bookmarkStart w:id="6" w:name="Code2"/>
    <w:bookmarkEnd w:id="6"/>
    <w:r>
      <w:t>CLIM/CE/2</w:t>
    </w:r>
    <w:r w:rsidR="00616F1F">
      <w:t>4</w:t>
    </w:r>
    <w:r>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4E4733">
      <w:rPr>
        <w:noProof/>
      </w:rPr>
      <w:t>4</w:t>
    </w:r>
    <w:r>
      <w:fldChar w:fldCharType="end"/>
    </w:r>
  </w:p>
  <w:p w:rsidR="001D3AEC" w:rsidRDefault="001D3A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621204"/>
    <w:multiLevelType w:val="hybridMultilevel"/>
    <w:tmpl w:val="E9DE87F8"/>
    <w:lvl w:ilvl="0" w:tplc="D45A3C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1"/>
  </w:num>
  <w:num w:numId="3">
    <w:abstractNumId w:val="0"/>
  </w:num>
  <w:num w:numId="4">
    <w:abstractNumId w:val="13"/>
  </w:num>
  <w:num w:numId="5">
    <w:abstractNumId w:val="1"/>
  </w:num>
  <w:num w:numId="6">
    <w:abstractNumId w:val="5"/>
  </w:num>
  <w:num w:numId="7">
    <w:abstractNumId w:val="2"/>
  </w:num>
  <w:num w:numId="8">
    <w:abstractNumId w:val="15"/>
  </w:num>
  <w:num w:numId="9">
    <w:abstractNumId w:val="3"/>
  </w:num>
  <w:num w:numId="10">
    <w:abstractNumId w:val="14"/>
  </w:num>
  <w:num w:numId="11">
    <w:abstractNumId w:val="18"/>
  </w:num>
  <w:num w:numId="12">
    <w:abstractNumId w:val="19"/>
  </w:num>
  <w:num w:numId="13">
    <w:abstractNumId w:val="8"/>
  </w:num>
  <w:num w:numId="14">
    <w:abstractNumId w:val="12"/>
  </w:num>
  <w:num w:numId="15">
    <w:abstractNumId w:val="7"/>
  </w:num>
  <w:num w:numId="16">
    <w:abstractNumId w:val="10"/>
  </w:num>
  <w:num w:numId="17">
    <w:abstractNumId w:val="9"/>
  </w:num>
  <w:num w:numId="18">
    <w:abstractNumId w:val="17"/>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48"/>
    <w:rsid w:val="000042C0"/>
    <w:rsid w:val="00013EC7"/>
    <w:rsid w:val="000331EA"/>
    <w:rsid w:val="00043CAA"/>
    <w:rsid w:val="000655CA"/>
    <w:rsid w:val="00071219"/>
    <w:rsid w:val="00075432"/>
    <w:rsid w:val="00075FA3"/>
    <w:rsid w:val="000809E9"/>
    <w:rsid w:val="00081689"/>
    <w:rsid w:val="000968ED"/>
    <w:rsid w:val="000C379F"/>
    <w:rsid w:val="000E0B4B"/>
    <w:rsid w:val="000F5E56"/>
    <w:rsid w:val="0013284B"/>
    <w:rsid w:val="00133089"/>
    <w:rsid w:val="001362EE"/>
    <w:rsid w:val="00142529"/>
    <w:rsid w:val="001442B8"/>
    <w:rsid w:val="00157411"/>
    <w:rsid w:val="001601F2"/>
    <w:rsid w:val="001832A6"/>
    <w:rsid w:val="001952B5"/>
    <w:rsid w:val="001C3FE2"/>
    <w:rsid w:val="001C613E"/>
    <w:rsid w:val="001C6DCF"/>
    <w:rsid w:val="001D3AEC"/>
    <w:rsid w:val="00201F06"/>
    <w:rsid w:val="00207F22"/>
    <w:rsid w:val="00211569"/>
    <w:rsid w:val="00214A27"/>
    <w:rsid w:val="002150AF"/>
    <w:rsid w:val="00215AB6"/>
    <w:rsid w:val="0022236E"/>
    <w:rsid w:val="0024387E"/>
    <w:rsid w:val="002634C4"/>
    <w:rsid w:val="00265674"/>
    <w:rsid w:val="002734E5"/>
    <w:rsid w:val="00282D4F"/>
    <w:rsid w:val="002928D3"/>
    <w:rsid w:val="002D108C"/>
    <w:rsid w:val="002F1FE6"/>
    <w:rsid w:val="002F4E68"/>
    <w:rsid w:val="00312F7F"/>
    <w:rsid w:val="003216E2"/>
    <w:rsid w:val="00322243"/>
    <w:rsid w:val="00325E22"/>
    <w:rsid w:val="00343F38"/>
    <w:rsid w:val="00361450"/>
    <w:rsid w:val="003673CF"/>
    <w:rsid w:val="003845C1"/>
    <w:rsid w:val="003A18EE"/>
    <w:rsid w:val="003A6F89"/>
    <w:rsid w:val="003B38C1"/>
    <w:rsid w:val="003C4968"/>
    <w:rsid w:val="00401E0C"/>
    <w:rsid w:val="004161CE"/>
    <w:rsid w:val="0042289E"/>
    <w:rsid w:val="00423E3E"/>
    <w:rsid w:val="00427AF4"/>
    <w:rsid w:val="00437A9A"/>
    <w:rsid w:val="00440C1C"/>
    <w:rsid w:val="00462A95"/>
    <w:rsid w:val="004647DA"/>
    <w:rsid w:val="00474062"/>
    <w:rsid w:val="00477D6B"/>
    <w:rsid w:val="004A3EF8"/>
    <w:rsid w:val="004A6335"/>
    <w:rsid w:val="004C6FDF"/>
    <w:rsid w:val="004D7984"/>
    <w:rsid w:val="004E44EE"/>
    <w:rsid w:val="004E4733"/>
    <w:rsid w:val="004F31B1"/>
    <w:rsid w:val="005019FF"/>
    <w:rsid w:val="00511E07"/>
    <w:rsid w:val="0053057A"/>
    <w:rsid w:val="005315FF"/>
    <w:rsid w:val="0053203A"/>
    <w:rsid w:val="00540FE1"/>
    <w:rsid w:val="00560A29"/>
    <w:rsid w:val="0057033B"/>
    <w:rsid w:val="00574D82"/>
    <w:rsid w:val="005A2AE7"/>
    <w:rsid w:val="005A33B2"/>
    <w:rsid w:val="005A49F5"/>
    <w:rsid w:val="005B243C"/>
    <w:rsid w:val="005B31FF"/>
    <w:rsid w:val="005C6649"/>
    <w:rsid w:val="005D544B"/>
    <w:rsid w:val="006007B1"/>
    <w:rsid w:val="006044B5"/>
    <w:rsid w:val="00604B40"/>
    <w:rsid w:val="00605827"/>
    <w:rsid w:val="00616F1F"/>
    <w:rsid w:val="00625DED"/>
    <w:rsid w:val="00642DB5"/>
    <w:rsid w:val="00646050"/>
    <w:rsid w:val="006713CA"/>
    <w:rsid w:val="00672E13"/>
    <w:rsid w:val="00676C5C"/>
    <w:rsid w:val="006A2DC5"/>
    <w:rsid w:val="006A3AB5"/>
    <w:rsid w:val="006A5D2B"/>
    <w:rsid w:val="006D0C92"/>
    <w:rsid w:val="006F648A"/>
    <w:rsid w:val="007152C8"/>
    <w:rsid w:val="00723632"/>
    <w:rsid w:val="0073171D"/>
    <w:rsid w:val="00734B29"/>
    <w:rsid w:val="0075297A"/>
    <w:rsid w:val="007A5731"/>
    <w:rsid w:val="007B336B"/>
    <w:rsid w:val="007C6A00"/>
    <w:rsid w:val="007D1613"/>
    <w:rsid w:val="007D556A"/>
    <w:rsid w:val="007E1926"/>
    <w:rsid w:val="007F6873"/>
    <w:rsid w:val="00801CE5"/>
    <w:rsid w:val="0081654E"/>
    <w:rsid w:val="008319CD"/>
    <w:rsid w:val="00861690"/>
    <w:rsid w:val="0086280F"/>
    <w:rsid w:val="00881649"/>
    <w:rsid w:val="008A02A1"/>
    <w:rsid w:val="008A18AD"/>
    <w:rsid w:val="008A4B7A"/>
    <w:rsid w:val="008A697D"/>
    <w:rsid w:val="008B0A99"/>
    <w:rsid w:val="008B2CC1"/>
    <w:rsid w:val="008B60B2"/>
    <w:rsid w:val="008B64D5"/>
    <w:rsid w:val="008D1172"/>
    <w:rsid w:val="008D592C"/>
    <w:rsid w:val="008F3443"/>
    <w:rsid w:val="00903948"/>
    <w:rsid w:val="00906F0A"/>
    <w:rsid w:val="0090731E"/>
    <w:rsid w:val="00916EE2"/>
    <w:rsid w:val="009464DB"/>
    <w:rsid w:val="00966A22"/>
    <w:rsid w:val="0096722F"/>
    <w:rsid w:val="00970337"/>
    <w:rsid w:val="00973B20"/>
    <w:rsid w:val="00980843"/>
    <w:rsid w:val="009C3441"/>
    <w:rsid w:val="009C5957"/>
    <w:rsid w:val="009D28D3"/>
    <w:rsid w:val="009D309C"/>
    <w:rsid w:val="009D525C"/>
    <w:rsid w:val="009E2791"/>
    <w:rsid w:val="009E3F6F"/>
    <w:rsid w:val="009E6309"/>
    <w:rsid w:val="009F499F"/>
    <w:rsid w:val="009F4E4F"/>
    <w:rsid w:val="00A17A67"/>
    <w:rsid w:val="00A31713"/>
    <w:rsid w:val="00A42DAF"/>
    <w:rsid w:val="00A45BD8"/>
    <w:rsid w:val="00A713CD"/>
    <w:rsid w:val="00A71C57"/>
    <w:rsid w:val="00A74CD2"/>
    <w:rsid w:val="00A869B7"/>
    <w:rsid w:val="00A95D3F"/>
    <w:rsid w:val="00AA47D6"/>
    <w:rsid w:val="00AC205C"/>
    <w:rsid w:val="00AF0A6B"/>
    <w:rsid w:val="00AF24F5"/>
    <w:rsid w:val="00AF5416"/>
    <w:rsid w:val="00B05A69"/>
    <w:rsid w:val="00B1174E"/>
    <w:rsid w:val="00B263AE"/>
    <w:rsid w:val="00B43A5B"/>
    <w:rsid w:val="00B525BE"/>
    <w:rsid w:val="00B6007D"/>
    <w:rsid w:val="00B65E38"/>
    <w:rsid w:val="00B94C4C"/>
    <w:rsid w:val="00B9734B"/>
    <w:rsid w:val="00BA219A"/>
    <w:rsid w:val="00BB335E"/>
    <w:rsid w:val="00BC3E96"/>
    <w:rsid w:val="00BC4E28"/>
    <w:rsid w:val="00BD1850"/>
    <w:rsid w:val="00C0589C"/>
    <w:rsid w:val="00C11BFE"/>
    <w:rsid w:val="00C21420"/>
    <w:rsid w:val="00C5665B"/>
    <w:rsid w:val="00C80DAB"/>
    <w:rsid w:val="00C84120"/>
    <w:rsid w:val="00CB4622"/>
    <w:rsid w:val="00CC1C6C"/>
    <w:rsid w:val="00D054A0"/>
    <w:rsid w:val="00D202FA"/>
    <w:rsid w:val="00D330C3"/>
    <w:rsid w:val="00D40A5D"/>
    <w:rsid w:val="00D45252"/>
    <w:rsid w:val="00D54A8B"/>
    <w:rsid w:val="00D71B4D"/>
    <w:rsid w:val="00D93D55"/>
    <w:rsid w:val="00DD5390"/>
    <w:rsid w:val="00DF0DEC"/>
    <w:rsid w:val="00DF49FB"/>
    <w:rsid w:val="00E014D5"/>
    <w:rsid w:val="00E335FE"/>
    <w:rsid w:val="00E44FD5"/>
    <w:rsid w:val="00E530F6"/>
    <w:rsid w:val="00E76B13"/>
    <w:rsid w:val="00E829F1"/>
    <w:rsid w:val="00E90CE1"/>
    <w:rsid w:val="00EB4E3A"/>
    <w:rsid w:val="00EB67E1"/>
    <w:rsid w:val="00EC4E49"/>
    <w:rsid w:val="00ED0FB6"/>
    <w:rsid w:val="00ED77FB"/>
    <w:rsid w:val="00EE45FA"/>
    <w:rsid w:val="00EF66E0"/>
    <w:rsid w:val="00F25101"/>
    <w:rsid w:val="00F6604D"/>
    <w:rsid w:val="00F66152"/>
    <w:rsid w:val="00FA4709"/>
    <w:rsid w:val="00FB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cisionInvitingPara">
    <w:name w:val="Decision Inviting Para."/>
    <w:basedOn w:val="Normal"/>
    <w:rsid w:val="00462A95"/>
    <w:pPr>
      <w:spacing w:after="120" w:line="260" w:lineRule="atLeast"/>
      <w:ind w:left="5534"/>
      <w:contextualSpacing/>
    </w:pPr>
    <w:rPr>
      <w:rFonts w:eastAsia="Times New Roman" w:cs="Times New Roman"/>
      <w:i/>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cisionInvitingPara">
    <w:name w:val="Decision Inviting Para."/>
    <w:basedOn w:val="Normal"/>
    <w:rsid w:val="00462A95"/>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nef/en/project/1414/CE24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2.wipo.int/nef/nef-projects/ce243/ce243-a22_ibco.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eb2.wipo.int/nef/nef-projects/ce242/ce242-a03_iban.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nef/en/project/1415/CE243" TargetMode="External"/><Relationship Id="rId5" Type="http://schemas.openxmlformats.org/officeDocument/2006/relationships/webSettings" Target="webSettings.xml"/><Relationship Id="rId15" Type="http://schemas.openxmlformats.org/officeDocument/2006/relationships/hyperlink" Target="http://web2.wipo.int/nef/en/project/1414/CE242" TargetMode="External"/><Relationship Id="rId10" Type="http://schemas.openxmlformats.org/officeDocument/2006/relationships/hyperlink" Target="http://web2.wipo.int/nef/nef-projects/ce242/ce242-a01_iban.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2.wipo.int/nef/en/project/1414/CE242" TargetMode="External"/><Relationship Id="rId14" Type="http://schemas.openxmlformats.org/officeDocument/2006/relationships/hyperlink" Target="http://web2.wipo.int/nef/nef-projects/ce242/ce242-a02_iba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CLIM/CE/24/2</vt:lpstr>
    </vt:vector>
  </TitlesOfParts>
  <Company>WIPO</Company>
  <LinksUpToDate>false</LinksUpToDate>
  <CharactersWithSpaces>9779</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CLIM/CE/24/2</dc:title>
  <dc:subject>Draft Report</dc:subject>
  <dc:creator>Carminati</dc:creator>
  <cp:lastModifiedBy>CARMINATI Christine</cp:lastModifiedBy>
  <cp:revision>5</cp:revision>
  <cp:lastPrinted>2014-05-12T08:12:00Z</cp:lastPrinted>
  <dcterms:created xsi:type="dcterms:W3CDTF">2014-05-26T11:09:00Z</dcterms:created>
  <dcterms:modified xsi:type="dcterms:W3CDTF">2014-06-02T11:00:00Z</dcterms:modified>
</cp:coreProperties>
</file>