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14:anchorId="73556CFB" wp14:editId="2F42DDBC">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D61C7">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903948">
              <w:rPr>
                <w:rFonts w:ascii="Arial Black" w:hAnsi="Arial Black"/>
                <w:caps/>
                <w:sz w:val="15"/>
              </w:rPr>
              <w:t>C</w:t>
            </w:r>
            <w:r w:rsidR="008B5E94">
              <w:rPr>
                <w:rFonts w:ascii="Arial Black" w:hAnsi="Arial Black"/>
                <w:caps/>
                <w:sz w:val="15"/>
              </w:rPr>
              <w:t>e</w:t>
            </w:r>
            <w:r w:rsidR="00903948">
              <w:rPr>
                <w:rFonts w:ascii="Arial Black" w:hAnsi="Arial Black"/>
                <w:caps/>
                <w:sz w:val="15"/>
              </w:rPr>
              <w:t>L/</w:t>
            </w:r>
            <w:r w:rsidR="008B5E94">
              <w:rPr>
                <w:rFonts w:ascii="Arial Black" w:hAnsi="Arial Black"/>
                <w:caps/>
                <w:sz w:val="15"/>
              </w:rPr>
              <w:t>12</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038D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9D61C7">
              <w:rPr>
                <w:rFonts w:ascii="Arial Black" w:hAnsi="Arial Black"/>
                <w:caps/>
                <w:sz w:val="15"/>
              </w:rPr>
              <w:t>NOVEMBER</w:t>
            </w:r>
            <w:r w:rsidR="008B5E94">
              <w:rPr>
                <w:rFonts w:ascii="Arial Black" w:hAnsi="Arial Black"/>
                <w:caps/>
                <w:sz w:val="15"/>
              </w:rPr>
              <w:t xml:space="preserve"> </w:t>
            </w:r>
            <w:r w:rsidR="009D61C7">
              <w:rPr>
                <w:rFonts w:ascii="Arial Black" w:hAnsi="Arial Black"/>
                <w:caps/>
                <w:sz w:val="15"/>
              </w:rPr>
              <w:t>1</w:t>
            </w:r>
            <w:r w:rsidR="003038D7">
              <w:rPr>
                <w:rFonts w:ascii="Arial Black" w:hAnsi="Arial Black"/>
                <w:caps/>
                <w:sz w:val="15"/>
              </w:rPr>
              <w:t>9</w:t>
            </w:r>
            <w:r w:rsidR="00903948">
              <w:rPr>
                <w:rFonts w:ascii="Arial Black" w:hAnsi="Arial Black"/>
                <w:caps/>
                <w:sz w:val="15"/>
              </w:rPr>
              <w:t>, 201</w:t>
            </w:r>
            <w:r w:rsidR="00E159B4">
              <w:rPr>
                <w:rFonts w:ascii="Arial Black" w:hAnsi="Arial Black"/>
                <w:caps/>
                <w:sz w:val="15"/>
              </w:rPr>
              <w:t>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8B5E94" w:rsidP="008B2CC1">
      <w:pPr>
        <w:rPr>
          <w:b/>
          <w:sz w:val="28"/>
          <w:szCs w:val="28"/>
        </w:rPr>
      </w:pPr>
      <w:r w:rsidRPr="008B5E94">
        <w:rPr>
          <w:b/>
          <w:sz w:val="28"/>
          <w:szCs w:val="28"/>
        </w:rPr>
        <w:t>Special Union for the International Classification for Industrial Designs (Locarno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8B5E94" w:rsidP="008B2CC1">
      <w:pPr>
        <w:rPr>
          <w:b/>
          <w:sz w:val="24"/>
          <w:szCs w:val="24"/>
        </w:rPr>
      </w:pPr>
      <w:r w:rsidRPr="008B5E94">
        <w:rPr>
          <w:b/>
          <w:sz w:val="24"/>
          <w:szCs w:val="24"/>
        </w:rPr>
        <w:t>Twelfth</w:t>
      </w:r>
      <w:r w:rsidR="00616F1F">
        <w:rPr>
          <w:b/>
          <w:sz w:val="24"/>
          <w:szCs w:val="24"/>
        </w:rPr>
        <w:t xml:space="preserve"> </w:t>
      </w:r>
      <w:r w:rsidR="003845C1" w:rsidRPr="003845C1">
        <w:rPr>
          <w:b/>
          <w:sz w:val="24"/>
          <w:szCs w:val="24"/>
        </w:rPr>
        <w:t>Session</w:t>
      </w:r>
    </w:p>
    <w:p w:rsidR="008B2CC1" w:rsidRPr="003845C1" w:rsidRDefault="00903948" w:rsidP="008B2CC1">
      <w:pPr>
        <w:rPr>
          <w:b/>
          <w:sz w:val="24"/>
          <w:szCs w:val="24"/>
        </w:rPr>
      </w:pPr>
      <w:r>
        <w:rPr>
          <w:b/>
          <w:sz w:val="24"/>
          <w:szCs w:val="24"/>
        </w:rPr>
        <w:t xml:space="preserve">Geneva, </w:t>
      </w:r>
      <w:r w:rsidR="008B5E94" w:rsidRPr="008B5E94">
        <w:rPr>
          <w:b/>
          <w:sz w:val="24"/>
          <w:szCs w:val="24"/>
        </w:rPr>
        <w:t>October 26 to 30,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4" w:name="TitleOfDoc"/>
      <w:bookmarkEnd w:id="4"/>
      <w:r>
        <w:rPr>
          <w:caps/>
          <w:sz w:val="24"/>
        </w:rPr>
        <w:t>REPORT</w:t>
      </w:r>
    </w:p>
    <w:p w:rsidR="008B2CC1" w:rsidRPr="008B2CC1" w:rsidRDefault="008B2CC1" w:rsidP="008B2CC1"/>
    <w:p w:rsidR="008B2CC1" w:rsidRPr="008B2CC1" w:rsidRDefault="009D61C7" w:rsidP="008B2CC1">
      <w:pPr>
        <w:rPr>
          <w:i/>
        </w:rPr>
      </w:pPr>
      <w:bookmarkStart w:id="5" w:name="Prepared"/>
      <w:bookmarkEnd w:id="5"/>
      <w:proofErr w:type="gramStart"/>
      <w:r>
        <w:rPr>
          <w:i/>
        </w:rPr>
        <w:t>adopted</w:t>
      </w:r>
      <w:proofErr w:type="gramEnd"/>
      <w:r>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00727ADB" w:rsidRPr="00727ADB">
        <w:rPr>
          <w:szCs w:val="22"/>
        </w:rPr>
        <w:t xml:space="preserve">Locarno </w:t>
      </w:r>
      <w:r w:rsidRPr="003A58E4">
        <w:rPr>
          <w:szCs w:val="22"/>
        </w:rPr>
        <w:t>Union (hereinafter referred to as “the Committee”) held its twe</w:t>
      </w:r>
      <w:r w:rsidR="00727ADB">
        <w:rPr>
          <w:szCs w:val="22"/>
        </w:rPr>
        <w:t>lfth</w:t>
      </w:r>
      <w:r w:rsidRPr="003A58E4">
        <w:rPr>
          <w:szCs w:val="22"/>
        </w:rPr>
        <w:t xml:space="preserve"> session in Geneva from </w:t>
      </w:r>
      <w:r w:rsidR="00727ADB">
        <w:rPr>
          <w:szCs w:val="22"/>
        </w:rPr>
        <w:t>October 26</w:t>
      </w:r>
      <w:r w:rsidR="00727ADB" w:rsidRPr="003A58E4">
        <w:rPr>
          <w:szCs w:val="22"/>
        </w:rPr>
        <w:t xml:space="preserve"> to </w:t>
      </w:r>
      <w:r w:rsidR="00727ADB">
        <w:rPr>
          <w:szCs w:val="22"/>
        </w:rPr>
        <w:t>30</w:t>
      </w:r>
      <w:r w:rsidRPr="003A58E4">
        <w:rPr>
          <w:szCs w:val="22"/>
        </w:rPr>
        <w:t>, 201</w:t>
      </w:r>
      <w:r w:rsidR="00E159B4">
        <w:rPr>
          <w:szCs w:val="22"/>
        </w:rPr>
        <w:t>5</w:t>
      </w:r>
      <w:r w:rsidRPr="003A58E4">
        <w:rPr>
          <w:szCs w:val="22"/>
        </w:rPr>
        <w:t xml:space="preserve">.  The following members of the Committee were represented at the session:  China, </w:t>
      </w:r>
      <w:r w:rsidR="00A914CE">
        <w:rPr>
          <w:szCs w:val="22"/>
        </w:rPr>
        <w:t xml:space="preserve">Czech Republic, Finland, </w:t>
      </w:r>
      <w:r w:rsidR="003453FA">
        <w:rPr>
          <w:szCs w:val="22"/>
        </w:rPr>
        <w:t xml:space="preserve">France, </w:t>
      </w:r>
      <w:r w:rsidRPr="003A58E4">
        <w:rPr>
          <w:szCs w:val="22"/>
        </w:rPr>
        <w:t xml:space="preserve">Germany, Japan, Mexico, Netherlands, Norway, </w:t>
      </w:r>
      <w:r w:rsidR="00A914CE">
        <w:rPr>
          <w:szCs w:val="22"/>
        </w:rPr>
        <w:t xml:space="preserve">Poland, </w:t>
      </w:r>
      <w:r w:rsidR="00C908B4">
        <w:rPr>
          <w:szCs w:val="22"/>
        </w:rPr>
        <w:t xml:space="preserve">Romania, </w:t>
      </w:r>
      <w:r w:rsidRPr="003A58E4">
        <w:rPr>
          <w:szCs w:val="22"/>
        </w:rPr>
        <w:t xml:space="preserve">Russian Federation, Sweden, Switzerland, </w:t>
      </w:r>
      <w:r w:rsidR="003216E2">
        <w:rPr>
          <w:szCs w:val="22"/>
        </w:rPr>
        <w:t>Ukraine</w:t>
      </w:r>
      <w:r w:rsidR="00727ADB">
        <w:rPr>
          <w:szCs w:val="22"/>
        </w:rPr>
        <w:t xml:space="preserve"> and</w:t>
      </w:r>
      <w:r w:rsidR="003216E2">
        <w:rPr>
          <w:szCs w:val="22"/>
        </w:rPr>
        <w:t xml:space="preserve"> </w:t>
      </w:r>
      <w:r w:rsidRPr="003A58E4">
        <w:rPr>
          <w:szCs w:val="22"/>
        </w:rPr>
        <w:t>United Kingdom (</w:t>
      </w:r>
      <w:r w:rsidR="003453FA">
        <w:rPr>
          <w:szCs w:val="22"/>
        </w:rPr>
        <w:t>1</w:t>
      </w:r>
      <w:r w:rsidR="00C908B4">
        <w:rPr>
          <w:szCs w:val="22"/>
        </w:rPr>
        <w:t>6</w:t>
      </w:r>
      <w:r w:rsidRPr="003A58E4">
        <w:rPr>
          <w:szCs w:val="22"/>
        </w:rPr>
        <w:t xml:space="preserve">).  The following States were represented by observers:  </w:t>
      </w:r>
      <w:r w:rsidR="003453FA">
        <w:rPr>
          <w:szCs w:val="22"/>
        </w:rPr>
        <w:t>Albania</w:t>
      </w:r>
      <w:r w:rsidR="004161CE">
        <w:rPr>
          <w:szCs w:val="22"/>
        </w:rPr>
        <w:t xml:space="preserve">, </w:t>
      </w:r>
      <w:r w:rsidR="00C908B4">
        <w:rPr>
          <w:szCs w:val="22"/>
        </w:rPr>
        <w:t xml:space="preserve">Algeria, </w:t>
      </w:r>
      <w:r w:rsidR="003453FA">
        <w:rPr>
          <w:szCs w:val="22"/>
        </w:rPr>
        <w:t>Cameroon</w:t>
      </w:r>
      <w:r w:rsidR="001F7FD7">
        <w:rPr>
          <w:szCs w:val="22"/>
        </w:rPr>
        <w:t xml:space="preserve">, </w:t>
      </w:r>
      <w:r w:rsidR="00055B5F">
        <w:rPr>
          <w:szCs w:val="22"/>
        </w:rPr>
        <w:t xml:space="preserve">Israel, </w:t>
      </w:r>
      <w:r w:rsidR="00C908B4">
        <w:rPr>
          <w:szCs w:val="22"/>
        </w:rPr>
        <w:t xml:space="preserve">Myanmar, </w:t>
      </w:r>
      <w:r w:rsidR="001F7FD7">
        <w:rPr>
          <w:szCs w:val="22"/>
        </w:rPr>
        <w:t>Saudi Arabia</w:t>
      </w:r>
      <w:r w:rsidR="00727ADB" w:rsidRPr="003A58E4">
        <w:rPr>
          <w:szCs w:val="22"/>
        </w:rPr>
        <w:t xml:space="preserve"> </w:t>
      </w:r>
      <w:r w:rsidR="004161CE">
        <w:rPr>
          <w:szCs w:val="22"/>
        </w:rPr>
        <w:t xml:space="preserve">and </w:t>
      </w:r>
      <w:r w:rsidR="00727ADB" w:rsidRPr="003A58E4">
        <w:rPr>
          <w:szCs w:val="22"/>
        </w:rPr>
        <w:t xml:space="preserve">United States of America </w:t>
      </w:r>
      <w:r w:rsidRPr="003A58E4">
        <w:rPr>
          <w:szCs w:val="22"/>
        </w:rPr>
        <w:t>(</w:t>
      </w:r>
      <w:r w:rsidR="00BA59BE">
        <w:rPr>
          <w:szCs w:val="22"/>
        </w:rPr>
        <w:t>7</w:t>
      </w:r>
      <w:r w:rsidRPr="003A58E4">
        <w:rPr>
          <w:szCs w:val="22"/>
        </w:rPr>
        <w:t>).  Representatives of the following international intergovernmental organizations took part in the session in an observer capacity:  Benelux </w:t>
      </w:r>
      <w:r w:rsidR="00071219">
        <w:rPr>
          <w:szCs w:val="22"/>
        </w:rPr>
        <w:t>O</w:t>
      </w:r>
      <w:r w:rsidR="00E76B13">
        <w:rPr>
          <w:szCs w:val="22"/>
        </w:rPr>
        <w:t>ffice</w:t>
      </w:r>
      <w:r w:rsidRPr="003A58E4">
        <w:rPr>
          <w:szCs w:val="22"/>
        </w:rPr>
        <w:t xml:space="preserve"> for Intellectual Property (BOIP)</w:t>
      </w:r>
      <w:r w:rsidR="003453FA">
        <w:rPr>
          <w:szCs w:val="22"/>
        </w:rPr>
        <w:t>,</w:t>
      </w:r>
      <w:r w:rsidRPr="003A58E4">
        <w:rPr>
          <w:szCs w:val="22"/>
        </w:rPr>
        <w:t xml:space="preserve"> European Union (EU)</w:t>
      </w:r>
      <w:r w:rsidR="003453FA">
        <w:rPr>
          <w:szCs w:val="22"/>
        </w:rPr>
        <w:t xml:space="preserve"> and South Centre (SC)</w:t>
      </w:r>
      <w:r w:rsidRPr="003A58E4">
        <w:rPr>
          <w:szCs w:val="22"/>
        </w:rPr>
        <w:t>.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proofErr w:type="spellStart"/>
      <w:r w:rsidR="00A355BC">
        <w:t>Yo</w:t>
      </w:r>
      <w:proofErr w:type="spellEnd"/>
      <w:r w:rsidR="00A355BC">
        <w:t xml:space="preserve"> Takagi</w:t>
      </w:r>
      <w:r w:rsidRPr="003A58E4">
        <w:t xml:space="preserve">, </w:t>
      </w:r>
      <w:r w:rsidR="00A355BC">
        <w:t xml:space="preserve">Assistant </w:t>
      </w:r>
      <w:r w:rsidR="00C0589C">
        <w:t>Director</w:t>
      </w:r>
      <w:r w:rsidR="00A355BC">
        <w:t xml:space="preserve"> General</w:t>
      </w:r>
      <w:r w:rsidRPr="00CA64CE">
        <w:t xml:space="preserve">, </w:t>
      </w:r>
      <w:proofErr w:type="gramStart"/>
      <w:r w:rsidR="00A355BC">
        <w:t>Global</w:t>
      </w:r>
      <w:proofErr w:type="gramEnd"/>
      <w:r w:rsidR="00A355BC">
        <w:t xml:space="preserve"> Infrastructure Sector</w:t>
      </w:r>
      <w:r w:rsidR="0008373D">
        <w:rPr>
          <w:szCs w:val="22"/>
        </w:rPr>
        <w:t xml:space="preserve"> (WIPO)</w:t>
      </w:r>
      <w:r w:rsidR="00C0589C">
        <w:t xml:space="preserve">, </w:t>
      </w:r>
      <w:r w:rsidRPr="003A58E4">
        <w:t xml:space="preserve">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A713CD" w:rsidRDefault="008F3443" w:rsidP="00A713CD">
      <w:pPr>
        <w:spacing w:line="260" w:lineRule="exact"/>
        <w:rPr>
          <w:b/>
        </w:rPr>
      </w:pPr>
      <w:r>
        <w:rPr>
          <w:b/>
        </w:rPr>
        <w:br w:type="page"/>
      </w:r>
      <w:r w:rsidR="00A713CD" w:rsidRPr="003A58E4">
        <w:rPr>
          <w:b/>
        </w:rPr>
        <w:lastRenderedPageBreak/>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727ADB" w:rsidRPr="00D41707">
        <w:rPr>
          <w:szCs w:val="22"/>
        </w:rPr>
        <w:t>The Committee unanimously elected M</w:t>
      </w:r>
      <w:r w:rsidR="00795C20">
        <w:rPr>
          <w:szCs w:val="22"/>
        </w:rPr>
        <w:t>r</w:t>
      </w:r>
      <w:r w:rsidR="00727ADB" w:rsidRPr="00D41707">
        <w:rPr>
          <w:szCs w:val="22"/>
        </w:rPr>
        <w:t xml:space="preserve">. </w:t>
      </w:r>
      <w:r w:rsidR="00795C20">
        <w:rPr>
          <w:szCs w:val="22"/>
        </w:rPr>
        <w:t xml:space="preserve">Marcus </w:t>
      </w:r>
      <w:proofErr w:type="spellStart"/>
      <w:r w:rsidR="00795C20">
        <w:rPr>
          <w:szCs w:val="22"/>
        </w:rPr>
        <w:t>Kühne</w:t>
      </w:r>
      <w:proofErr w:type="spellEnd"/>
      <w:r w:rsidR="00727ADB" w:rsidRPr="00D41707">
        <w:rPr>
          <w:szCs w:val="22"/>
        </w:rPr>
        <w:t xml:space="preserve"> (</w:t>
      </w:r>
      <w:r w:rsidR="00795C20">
        <w:rPr>
          <w:szCs w:val="22"/>
        </w:rPr>
        <w:t>Germany</w:t>
      </w:r>
      <w:r w:rsidR="00727ADB" w:rsidRPr="00D41707">
        <w:rPr>
          <w:szCs w:val="22"/>
        </w:rPr>
        <w:t>) as Chair, and Ms. </w:t>
      </w:r>
      <w:r w:rsidR="0092302D">
        <w:rPr>
          <w:szCs w:val="22"/>
        </w:rPr>
        <w:t>Natalie Morgan</w:t>
      </w:r>
      <w:r w:rsidR="00727ADB" w:rsidRPr="003A58E4">
        <w:rPr>
          <w:szCs w:val="22"/>
        </w:rPr>
        <w:t xml:space="preserve"> </w:t>
      </w:r>
      <w:r w:rsidR="00727ADB" w:rsidRPr="00D41707">
        <w:rPr>
          <w:szCs w:val="22"/>
        </w:rPr>
        <w:t>(</w:t>
      </w:r>
      <w:r w:rsidR="0092302D">
        <w:rPr>
          <w:szCs w:val="22"/>
        </w:rPr>
        <w:t>United Kingdom</w:t>
      </w:r>
      <w:r w:rsidR="00727ADB" w:rsidRPr="00D41707">
        <w:rPr>
          <w:szCs w:val="22"/>
        </w:rPr>
        <w:t>) and M</w:t>
      </w:r>
      <w:r w:rsidR="00727ADB">
        <w:rPr>
          <w:szCs w:val="22"/>
        </w:rPr>
        <w:t>s</w:t>
      </w:r>
      <w:r w:rsidR="00727ADB" w:rsidRPr="00D41707">
        <w:rPr>
          <w:szCs w:val="22"/>
        </w:rPr>
        <w:t xml:space="preserve">. </w:t>
      </w:r>
      <w:proofErr w:type="spellStart"/>
      <w:r w:rsidR="0092302D">
        <w:rPr>
          <w:szCs w:val="22"/>
        </w:rPr>
        <w:t>Kjersti</w:t>
      </w:r>
      <w:proofErr w:type="spellEnd"/>
      <w:r w:rsidR="0092302D">
        <w:rPr>
          <w:szCs w:val="22"/>
        </w:rPr>
        <w:t xml:space="preserve"> </w:t>
      </w:r>
      <w:proofErr w:type="spellStart"/>
      <w:r w:rsidR="0092302D">
        <w:rPr>
          <w:szCs w:val="22"/>
        </w:rPr>
        <w:t>Gravklev</w:t>
      </w:r>
      <w:proofErr w:type="spellEnd"/>
      <w:r w:rsidR="00727ADB">
        <w:rPr>
          <w:szCs w:val="22"/>
        </w:rPr>
        <w:t xml:space="preserve"> </w:t>
      </w:r>
      <w:r w:rsidR="00727ADB" w:rsidRPr="00D41707">
        <w:rPr>
          <w:szCs w:val="22"/>
        </w:rPr>
        <w:t>(</w:t>
      </w:r>
      <w:r w:rsidR="0092302D">
        <w:rPr>
          <w:szCs w:val="22"/>
        </w:rPr>
        <w:t>Norway</w:t>
      </w:r>
      <w:r w:rsidR="00727ADB" w:rsidRPr="00D41707">
        <w:rPr>
          <w:szCs w:val="22"/>
        </w:rPr>
        <w:t>) as Vice</w:t>
      </w:r>
      <w:r w:rsidR="00727ADB" w:rsidRPr="00D41707">
        <w:rPr>
          <w:szCs w:val="22"/>
        </w:rPr>
        <w:noBreakHyphen/>
        <w:t>Chairs.</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0B4323">
        <w:rPr>
          <w:szCs w:val="22"/>
        </w:rPr>
        <w:t>s.</w:t>
      </w:r>
      <w:r w:rsidRPr="003A58E4">
        <w:rPr>
          <w:szCs w:val="22"/>
        </w:rPr>
        <w:t xml:space="preserve"> </w:t>
      </w:r>
      <w:r w:rsidR="000B4323">
        <w:rPr>
          <w:szCs w:val="22"/>
        </w:rPr>
        <w:t>Belkis</w:t>
      </w:r>
      <w:r w:rsidRPr="003A58E4">
        <w:rPr>
          <w:szCs w:val="22"/>
        </w:rPr>
        <w:t xml:space="preserve"> Fa</w:t>
      </w:r>
      <w:r w:rsidR="000B4323">
        <w:rPr>
          <w:szCs w:val="22"/>
        </w:rPr>
        <w:t>v</w:t>
      </w:r>
      <w:r w:rsidRPr="003A58E4">
        <w:rPr>
          <w:szCs w:val="22"/>
        </w:rPr>
        <w:t>a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6D3ABC" w:rsidP="00A713CD">
      <w:pPr>
        <w:rPr>
          <w:b/>
          <w:szCs w:val="22"/>
        </w:rPr>
      </w:pPr>
      <w:r w:rsidRPr="006D3ABC">
        <w:rPr>
          <w:b/>
          <w:szCs w:val="22"/>
        </w:rPr>
        <w:t xml:space="preserve">PROCEDURE FOR ADOPTION OF AMENDMENTS AND ADDITIONS TO THE </w:t>
      </w:r>
      <w:r w:rsidR="00A00079">
        <w:rPr>
          <w:b/>
          <w:szCs w:val="22"/>
        </w:rPr>
        <w:t>TE</w:t>
      </w:r>
      <w:r w:rsidRPr="006D3ABC">
        <w:rPr>
          <w:b/>
          <w:szCs w:val="22"/>
        </w:rPr>
        <w:t>NTH EDITION OF THE LOCARNO CLASSIFICATION</w:t>
      </w:r>
    </w:p>
    <w:p w:rsidR="006D3ABC" w:rsidRPr="00A823EC" w:rsidRDefault="006D3ABC" w:rsidP="00A713CD"/>
    <w:p w:rsidR="006D3ABC" w:rsidRDefault="006D3ABC" w:rsidP="006D3ABC">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E69B9">
        <w:rPr>
          <w:szCs w:val="22"/>
        </w:rPr>
        <w:t>Discussions took place on the understanding that:</w:t>
      </w:r>
    </w:p>
    <w:p w:rsidR="006D3ABC" w:rsidRPr="00CE69B9" w:rsidRDefault="006D3ABC" w:rsidP="006D3ABC">
      <w:pPr>
        <w:spacing w:line="260" w:lineRule="exact"/>
        <w:rPr>
          <w:szCs w:val="22"/>
        </w:rPr>
      </w:pPr>
    </w:p>
    <w:p w:rsidR="00DA1299" w:rsidRPr="00DA1299" w:rsidRDefault="006D3ABC" w:rsidP="00DA1299">
      <w:pPr>
        <w:pStyle w:val="ListParagraph"/>
        <w:numPr>
          <w:ilvl w:val="0"/>
          <w:numId w:val="22"/>
        </w:numPr>
        <w:rPr>
          <w:szCs w:val="22"/>
        </w:rPr>
      </w:pPr>
      <w:r w:rsidRPr="00DA1299">
        <w:rPr>
          <w:szCs w:val="22"/>
        </w:rPr>
        <w:t>for amendments and additions to the Locarno Classification (hereinafter referred to as the “Classification”) not entailing a transfer of goods from one class to another, a simple majority of the countries of the Locarno Union was required under Article 3(4) of the Locarno Agreement;</w:t>
      </w:r>
      <w:r w:rsidR="00DA1299" w:rsidRPr="00DA1299">
        <w:rPr>
          <w:szCs w:val="22"/>
        </w:rPr>
        <w:br/>
      </w:r>
    </w:p>
    <w:p w:rsidR="006D3ABC" w:rsidRPr="00DA1299" w:rsidRDefault="006D3ABC" w:rsidP="00DA1299">
      <w:pPr>
        <w:pStyle w:val="ListParagraph"/>
        <w:numPr>
          <w:ilvl w:val="0"/>
          <w:numId w:val="22"/>
        </w:numPr>
        <w:rPr>
          <w:szCs w:val="22"/>
        </w:rPr>
      </w:pPr>
      <w:proofErr w:type="gramStart"/>
      <w:r w:rsidRPr="00DA1299">
        <w:rPr>
          <w:szCs w:val="22"/>
        </w:rPr>
        <w:t>for</w:t>
      </w:r>
      <w:proofErr w:type="gramEnd"/>
      <w:r w:rsidRPr="00DA1299">
        <w:rPr>
          <w:szCs w:val="22"/>
        </w:rPr>
        <w:t xml:space="preserve"> the transfer of goods from one class to another, unanimity among the countries of the Locarno Union was required under the same Article 3(4).</w:t>
      </w:r>
      <w:r w:rsidR="00DA1299">
        <w:rPr>
          <w:szCs w:val="22"/>
        </w:rPr>
        <w:br/>
      </w:r>
    </w:p>
    <w:p w:rsidR="006D3ABC" w:rsidRPr="00CE69B9" w:rsidRDefault="006D3ABC" w:rsidP="006D3ABC">
      <w:pPr>
        <w:spacing w:line="260" w:lineRule="exact"/>
        <w:rPr>
          <w:szCs w:val="22"/>
        </w:rPr>
      </w:pPr>
      <w:r w:rsidRPr="00CE69B9">
        <w:rPr>
          <w:szCs w:val="22"/>
        </w:rPr>
        <w:fldChar w:fldCharType="begin"/>
      </w:r>
      <w:r w:rsidRPr="00CE69B9">
        <w:rPr>
          <w:szCs w:val="22"/>
        </w:rPr>
        <w:instrText xml:space="preserve"> AUTONUM  </w:instrText>
      </w:r>
      <w:r w:rsidRPr="00CE69B9">
        <w:rPr>
          <w:szCs w:val="22"/>
        </w:rPr>
        <w:fldChar w:fldCharType="end"/>
      </w:r>
      <w:r w:rsidRPr="00CE69B9">
        <w:rPr>
          <w:szCs w:val="22"/>
        </w:rPr>
        <w:tab/>
        <w:t xml:space="preserve">The Committee noted that countries of the Union not represented at the session or not having expressed their vote during the session or within the period prescribed by the Rules of Procedure of the Committee were considered to have accepted the decisions of the Committee, as set forth in Article 3(6) of the Locarno Agreement. </w:t>
      </w:r>
    </w:p>
    <w:p w:rsidR="006D3ABC" w:rsidRDefault="006D3ABC" w:rsidP="006D3ABC">
      <w:pPr>
        <w:rPr>
          <w:szCs w:val="22"/>
        </w:rPr>
      </w:pPr>
    </w:p>
    <w:p w:rsidR="006D3ABC" w:rsidRPr="0040336A" w:rsidRDefault="006D3ABC" w:rsidP="006D3ABC">
      <w:pPr>
        <w:rPr>
          <w:szCs w:val="22"/>
        </w:rPr>
      </w:pPr>
    </w:p>
    <w:p w:rsidR="0086631E" w:rsidRDefault="0086631E" w:rsidP="0086631E">
      <w:pPr>
        <w:spacing w:line="260" w:lineRule="exact"/>
        <w:rPr>
          <w:b/>
          <w:caps/>
          <w:szCs w:val="22"/>
        </w:rPr>
      </w:pPr>
      <w:r w:rsidRPr="0086631E">
        <w:rPr>
          <w:b/>
          <w:caps/>
          <w:szCs w:val="22"/>
        </w:rPr>
        <w:t xml:space="preserve">CONSIDERATION OF PROPOSALS FOR AMENDMENTS AND ADDITIONS TO THE </w:t>
      </w:r>
      <w:r>
        <w:rPr>
          <w:b/>
          <w:caps/>
          <w:szCs w:val="22"/>
        </w:rPr>
        <w:t>TE</w:t>
      </w:r>
      <w:r w:rsidRPr="0086631E">
        <w:rPr>
          <w:b/>
          <w:caps/>
          <w:szCs w:val="22"/>
        </w:rPr>
        <w:t>NTH EDITION OF THE LOCARNO CLASSIFICATION</w:t>
      </w:r>
    </w:p>
    <w:p w:rsidR="0086631E" w:rsidRDefault="0086631E" w:rsidP="0086631E">
      <w:pPr>
        <w:spacing w:line="260" w:lineRule="exact"/>
        <w:rPr>
          <w:b/>
          <w:caps/>
          <w:szCs w:val="22"/>
        </w:rPr>
      </w:pPr>
    </w:p>
    <w:p w:rsidR="0086631E" w:rsidRDefault="0086631E" w:rsidP="0086631E">
      <w:pPr>
        <w:spacing w:line="260" w:lineRule="exact"/>
        <w:rPr>
          <w:b/>
          <w:caps/>
          <w:szCs w:val="22"/>
        </w:rPr>
      </w:pPr>
      <w:r w:rsidRPr="00554081">
        <w:rPr>
          <w:b/>
          <w:caps/>
          <w:szCs w:val="22"/>
        </w:rPr>
        <w:t>(</w:t>
      </w:r>
      <w:r w:rsidRPr="00554081">
        <w:rPr>
          <w:b/>
          <w:szCs w:val="22"/>
        </w:rPr>
        <w:t>a</w:t>
      </w:r>
      <w:r w:rsidRPr="00554081">
        <w:rPr>
          <w:b/>
          <w:caps/>
          <w:szCs w:val="22"/>
        </w:rPr>
        <w:t>)</w:t>
      </w:r>
      <w:r w:rsidRPr="00554081">
        <w:rPr>
          <w:b/>
          <w:caps/>
          <w:szCs w:val="22"/>
        </w:rPr>
        <w:tab/>
      </w:r>
      <w:r>
        <w:rPr>
          <w:b/>
          <w:caps/>
          <w:szCs w:val="22"/>
        </w:rPr>
        <w:t>VARIOUS PROPOSALS</w:t>
      </w:r>
    </w:p>
    <w:p w:rsidR="0086631E" w:rsidRPr="00013EC7" w:rsidRDefault="0086631E" w:rsidP="0086631E">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0" w:history="1">
        <w:r w:rsidR="0086631E" w:rsidRPr="00025858">
          <w:rPr>
            <w:rStyle w:val="Hyperlink"/>
            <w:szCs w:val="22"/>
          </w:rPr>
          <w:t>LO122</w:t>
        </w:r>
      </w:hyperlink>
      <w:r w:rsidR="00616F1F">
        <w:rPr>
          <w:szCs w:val="22"/>
        </w:rPr>
        <w:t xml:space="preserve">, </w:t>
      </w:r>
      <w:hyperlink r:id="rId11" w:history="1">
        <w:r w:rsidR="00616F1F" w:rsidRPr="00025858">
          <w:rPr>
            <w:rStyle w:val="Hyperlink"/>
            <w:szCs w:val="22"/>
          </w:rPr>
          <w:t xml:space="preserve">Annex </w:t>
        </w:r>
        <w:r w:rsidR="0022236E" w:rsidRPr="00025858">
          <w:rPr>
            <w:rStyle w:val="Hyperlink"/>
            <w:szCs w:val="22"/>
          </w:rPr>
          <w:t>1</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 xml:space="preserve">summary table of proposals for </w:t>
      </w:r>
      <w:r w:rsidR="0086631E" w:rsidRPr="0086631E">
        <w:rPr>
          <w:szCs w:val="22"/>
        </w:rPr>
        <w:t>amendments and additions to the current (</w:t>
      </w:r>
      <w:r w:rsidR="0086631E">
        <w:rPr>
          <w:szCs w:val="22"/>
        </w:rPr>
        <w:t>te</w:t>
      </w:r>
      <w:r w:rsidR="0086631E" w:rsidRPr="0086631E">
        <w:rPr>
          <w:szCs w:val="22"/>
        </w:rPr>
        <w:t>nth) edition of the Classification</w:t>
      </w:r>
      <w:r w:rsidRPr="003A58E4">
        <w:rPr>
          <w:szCs w:val="22"/>
        </w:rPr>
        <w:t>.</w:t>
      </w:r>
    </w:p>
    <w:p w:rsidR="00013EC7" w:rsidRPr="003A58E4" w:rsidRDefault="009E51A9" w:rsidP="009E51A9">
      <w:pPr>
        <w:tabs>
          <w:tab w:val="left" w:pos="4120"/>
        </w:tabs>
        <w:spacing w:line="260" w:lineRule="exact"/>
        <w:rPr>
          <w:szCs w:val="22"/>
        </w:rPr>
      </w:pPr>
      <w:r>
        <w:rPr>
          <w:szCs w:val="22"/>
        </w:rPr>
        <w:tab/>
      </w:r>
    </w:p>
    <w:p w:rsidR="00A713CD" w:rsidRPr="003A58E4"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86631E" w:rsidRPr="0086631E">
        <w:rPr>
          <w:szCs w:val="22"/>
        </w:rPr>
        <w:t>a certain number of amendments and additions</w:t>
      </w:r>
      <w:r w:rsidRPr="003A58E4">
        <w:rPr>
          <w:szCs w:val="22"/>
        </w:rPr>
        <w:t>, as contained in Annex I</w:t>
      </w:r>
      <w:r>
        <w:rPr>
          <w:szCs w:val="22"/>
        </w:rPr>
        <w:t>II</w:t>
      </w:r>
      <w:r w:rsidRPr="003A58E4">
        <w:rPr>
          <w:szCs w:val="22"/>
        </w:rPr>
        <w:t xml:space="preserve"> to this report.</w:t>
      </w:r>
    </w:p>
    <w:p w:rsidR="00A713CD" w:rsidRDefault="00A713CD" w:rsidP="00013EC7">
      <w:pPr>
        <w:spacing w:line="260" w:lineRule="exact"/>
        <w:rPr>
          <w:szCs w:val="22"/>
        </w:rPr>
      </w:pPr>
    </w:p>
    <w:p w:rsidR="005048D2" w:rsidRDefault="005048D2" w:rsidP="005048D2">
      <w:pPr>
        <w:spacing w:line="260" w:lineRule="exact"/>
        <w:rPr>
          <w:b/>
          <w:caps/>
          <w:szCs w:val="22"/>
        </w:rPr>
      </w:pPr>
      <w:r w:rsidRPr="00554081">
        <w:rPr>
          <w:b/>
          <w:caps/>
          <w:szCs w:val="22"/>
        </w:rPr>
        <w:lastRenderedPageBreak/>
        <w:t>(</w:t>
      </w:r>
      <w:r>
        <w:rPr>
          <w:b/>
          <w:szCs w:val="22"/>
        </w:rPr>
        <w:t>b</w:t>
      </w:r>
      <w:r w:rsidRPr="00554081">
        <w:rPr>
          <w:b/>
          <w:caps/>
          <w:szCs w:val="22"/>
        </w:rPr>
        <w:t>)</w:t>
      </w:r>
      <w:r w:rsidRPr="00554081">
        <w:rPr>
          <w:b/>
          <w:caps/>
          <w:szCs w:val="22"/>
        </w:rPr>
        <w:tab/>
      </w:r>
      <w:r w:rsidR="0086631E" w:rsidRPr="0086631E">
        <w:rPr>
          <w:b/>
          <w:caps/>
          <w:szCs w:val="22"/>
        </w:rPr>
        <w:t xml:space="preserve">Changes concerning Classes </w:t>
      </w:r>
      <w:r w:rsidR="00C677BF">
        <w:rPr>
          <w:b/>
          <w:caps/>
          <w:szCs w:val="22"/>
        </w:rPr>
        <w:t>0</w:t>
      </w:r>
      <w:r w:rsidR="0086631E" w:rsidRPr="0086631E">
        <w:rPr>
          <w:b/>
          <w:caps/>
          <w:szCs w:val="22"/>
        </w:rPr>
        <w:t>3-01, 23-02 and 31-00</w:t>
      </w:r>
    </w:p>
    <w:p w:rsidR="008A02A1" w:rsidRPr="003A58E4" w:rsidRDefault="008A02A1" w:rsidP="008A02A1">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2" w:history="1">
        <w:r w:rsidR="008724A1" w:rsidRPr="00025858">
          <w:rPr>
            <w:rStyle w:val="Hyperlink"/>
            <w:szCs w:val="22"/>
          </w:rPr>
          <w:t>LO122</w:t>
        </w:r>
      </w:hyperlink>
      <w:r>
        <w:rPr>
          <w:szCs w:val="22"/>
        </w:rPr>
        <w:t xml:space="preserve">, </w:t>
      </w:r>
      <w:r w:rsidR="00D578B1" w:rsidRPr="00363AEA">
        <w:rPr>
          <w:szCs w:val="22"/>
        </w:rPr>
        <w:t>Annex</w:t>
      </w:r>
      <w:r w:rsidR="008724A1" w:rsidRPr="00363AEA">
        <w:rPr>
          <w:szCs w:val="22"/>
        </w:rPr>
        <w:t>es</w:t>
      </w:r>
      <w:r w:rsidR="00C677BF" w:rsidRPr="00363AEA">
        <w:rPr>
          <w:szCs w:val="22"/>
        </w:rPr>
        <w:t xml:space="preserve"> 2 </w:t>
      </w:r>
      <w:r w:rsidR="00C677BF">
        <w:rPr>
          <w:szCs w:val="22"/>
        </w:rPr>
        <w:t xml:space="preserve">to </w:t>
      </w:r>
      <w:r w:rsidR="00C677BF" w:rsidRPr="00363AEA">
        <w:rPr>
          <w:szCs w:val="22"/>
        </w:rPr>
        <w:t>5</w:t>
      </w:r>
      <w:r w:rsidR="00C677BF">
        <w:rPr>
          <w:szCs w:val="22"/>
        </w:rPr>
        <w:t>,</w:t>
      </w:r>
      <w:r w:rsidR="00D578B1">
        <w:rPr>
          <w:szCs w:val="22"/>
        </w:rPr>
        <w:t xml:space="preserve"> </w:t>
      </w:r>
      <w:r w:rsidR="00363AEA">
        <w:rPr>
          <w:szCs w:val="22"/>
        </w:rPr>
        <w:t xml:space="preserve">and a modified version of those annexes in project </w:t>
      </w:r>
      <w:hyperlink r:id="rId13" w:history="1">
        <w:r w:rsidR="00363AEA" w:rsidRPr="0050710B">
          <w:rPr>
            <w:rStyle w:val="Hyperlink"/>
            <w:szCs w:val="22"/>
          </w:rPr>
          <w:t>PL001</w:t>
        </w:r>
      </w:hyperlink>
      <w:r w:rsidR="00363AEA">
        <w:rPr>
          <w:szCs w:val="22"/>
        </w:rPr>
        <w:t>, Annexes 8 to 10</w:t>
      </w:r>
      <w:r w:rsidR="00DC74CF">
        <w:rPr>
          <w:szCs w:val="22"/>
        </w:rPr>
        <w:t>,</w:t>
      </w:r>
      <w:r>
        <w:rPr>
          <w:szCs w:val="22"/>
        </w:rPr>
        <w:t xml:space="preserve"> submitted by </w:t>
      </w:r>
      <w:r w:rsidR="00C677BF">
        <w:rPr>
          <w:szCs w:val="22"/>
        </w:rPr>
        <w:t>China</w:t>
      </w:r>
      <w:r w:rsidRPr="003A58E4">
        <w:rPr>
          <w:szCs w:val="22"/>
        </w:rPr>
        <w:t>.</w:t>
      </w:r>
      <w:r w:rsidR="00363AEA">
        <w:rPr>
          <w:szCs w:val="22"/>
        </w:rPr>
        <w:t xml:space="preserve"> The proposals aimed at extending subclasses 03-01, 23-02 and 31-00 by creating new subclasses.</w:t>
      </w:r>
    </w:p>
    <w:p w:rsidR="00C13BB7" w:rsidRDefault="00C13BB7" w:rsidP="00C13BB7">
      <w:pPr>
        <w:spacing w:line="260" w:lineRule="exact"/>
        <w:rPr>
          <w:szCs w:val="22"/>
        </w:rPr>
      </w:pPr>
    </w:p>
    <w:p w:rsidR="00305875" w:rsidRDefault="00305875" w:rsidP="00305875">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50710B">
        <w:rPr>
          <w:szCs w:val="22"/>
        </w:rPr>
        <w:t xml:space="preserve">A number of delegations </w:t>
      </w:r>
      <w:r w:rsidR="00547F14">
        <w:rPr>
          <w:szCs w:val="22"/>
        </w:rPr>
        <w:t xml:space="preserve">from countries of the European Union </w:t>
      </w:r>
      <w:r w:rsidR="0050710B">
        <w:rPr>
          <w:szCs w:val="22"/>
        </w:rPr>
        <w:t xml:space="preserve">thanked China for the research and the work done in order to prepare their proposals. However, </w:t>
      </w:r>
      <w:r w:rsidR="00344B09">
        <w:rPr>
          <w:szCs w:val="22"/>
        </w:rPr>
        <w:t>the</w:t>
      </w:r>
      <w:r w:rsidR="00547F14">
        <w:rPr>
          <w:szCs w:val="22"/>
        </w:rPr>
        <w:t xml:space="preserve"> delegations </w:t>
      </w:r>
      <w:r w:rsidR="0050710B">
        <w:rPr>
          <w:szCs w:val="22"/>
        </w:rPr>
        <w:t xml:space="preserve">stated that they were involved in a project conducted by </w:t>
      </w:r>
      <w:r w:rsidR="005D69EC">
        <w:rPr>
          <w:szCs w:val="22"/>
        </w:rPr>
        <w:t>the European Union</w:t>
      </w:r>
      <w:r w:rsidR="00547F14">
        <w:rPr>
          <w:szCs w:val="22"/>
        </w:rPr>
        <w:t xml:space="preserve"> that had similar purposes and thus preferred </w:t>
      </w:r>
      <w:r w:rsidR="0022248E">
        <w:rPr>
          <w:szCs w:val="22"/>
        </w:rPr>
        <w:t>to wait</w:t>
      </w:r>
      <w:r w:rsidR="00547F14">
        <w:rPr>
          <w:szCs w:val="22"/>
        </w:rPr>
        <w:t xml:space="preserve"> for the results of that project before accepting any modifications to the current structure of the Classification.</w:t>
      </w:r>
      <w:r w:rsidR="006D10A0">
        <w:rPr>
          <w:szCs w:val="22"/>
        </w:rPr>
        <w:t xml:space="preserve"> </w:t>
      </w:r>
      <w:r w:rsidR="006D10A0" w:rsidRPr="006D10A0">
        <w:rPr>
          <w:szCs w:val="22"/>
        </w:rPr>
        <w:t>Japan expressed concern that changes in the Classification might be discussed only among European countries, and stated that changes in the Classification should be discussed among the Locarno member countries.</w:t>
      </w:r>
    </w:p>
    <w:p w:rsidR="00305875" w:rsidRDefault="00305875" w:rsidP="00305875">
      <w:pPr>
        <w:spacing w:line="260" w:lineRule="exact"/>
        <w:rPr>
          <w:szCs w:val="22"/>
        </w:rPr>
      </w:pPr>
    </w:p>
    <w:p w:rsidR="005048D2" w:rsidRDefault="00305875" w:rsidP="005048D2">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B42549">
        <w:rPr>
          <w:szCs w:val="22"/>
        </w:rPr>
        <w:t>The</w:t>
      </w:r>
      <w:r>
        <w:rPr>
          <w:szCs w:val="22"/>
        </w:rPr>
        <w:t xml:space="preserve"> </w:t>
      </w:r>
      <w:r w:rsidR="00F74BC6">
        <w:rPr>
          <w:szCs w:val="22"/>
        </w:rPr>
        <w:t>discussions did</w:t>
      </w:r>
      <w:r w:rsidR="00B42549">
        <w:rPr>
          <w:szCs w:val="22"/>
        </w:rPr>
        <w:t xml:space="preserve"> not</w:t>
      </w:r>
      <w:r w:rsidR="00F74BC6">
        <w:rPr>
          <w:szCs w:val="22"/>
        </w:rPr>
        <w:t xml:space="preserve"> </w:t>
      </w:r>
      <w:r w:rsidR="008F1B3C">
        <w:rPr>
          <w:szCs w:val="22"/>
        </w:rPr>
        <w:t xml:space="preserve">result in </w:t>
      </w:r>
      <w:r w:rsidR="00F74BC6">
        <w:rPr>
          <w:szCs w:val="22"/>
        </w:rPr>
        <w:t>a clear consensus and the delegation of China withdrew its proposals</w:t>
      </w:r>
      <w:r w:rsidR="00C677BF">
        <w:rPr>
          <w:szCs w:val="22"/>
        </w:rPr>
        <w:t>.</w:t>
      </w:r>
    </w:p>
    <w:p w:rsidR="00C13BB7" w:rsidRDefault="00C13BB7" w:rsidP="00C13BB7">
      <w:pPr>
        <w:spacing w:line="260" w:lineRule="exact"/>
        <w:rPr>
          <w:szCs w:val="22"/>
        </w:rPr>
      </w:pPr>
    </w:p>
    <w:p w:rsidR="005048D2" w:rsidRDefault="005048D2" w:rsidP="005048D2">
      <w:pPr>
        <w:spacing w:line="260" w:lineRule="exact"/>
        <w:rPr>
          <w:b/>
          <w:caps/>
          <w:szCs w:val="22"/>
        </w:rPr>
      </w:pPr>
      <w:r w:rsidRPr="00554081">
        <w:rPr>
          <w:b/>
          <w:caps/>
          <w:szCs w:val="22"/>
        </w:rPr>
        <w:t>(</w:t>
      </w:r>
      <w:r>
        <w:rPr>
          <w:b/>
          <w:szCs w:val="22"/>
        </w:rPr>
        <w:t>c</w:t>
      </w:r>
      <w:r w:rsidRPr="00554081">
        <w:rPr>
          <w:b/>
          <w:caps/>
          <w:szCs w:val="22"/>
        </w:rPr>
        <w:t>)</w:t>
      </w:r>
      <w:r w:rsidRPr="00554081">
        <w:rPr>
          <w:b/>
          <w:caps/>
          <w:szCs w:val="22"/>
        </w:rPr>
        <w:tab/>
      </w:r>
      <w:r w:rsidR="00A51C03" w:rsidRPr="00A51C03">
        <w:rPr>
          <w:b/>
          <w:caps/>
          <w:szCs w:val="22"/>
        </w:rPr>
        <w:t>Changes concerning the use of the term “systems”</w:t>
      </w:r>
    </w:p>
    <w:p w:rsidR="005048D2" w:rsidRPr="003A58E4" w:rsidRDefault="005048D2" w:rsidP="005048D2">
      <w:pPr>
        <w:spacing w:line="260" w:lineRule="exact"/>
        <w:rPr>
          <w:szCs w:val="22"/>
        </w:rPr>
      </w:pPr>
    </w:p>
    <w:p w:rsidR="005048D2" w:rsidRDefault="005048D2" w:rsidP="005048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4" w:history="1">
        <w:r w:rsidR="009B0B6C" w:rsidRPr="00025858">
          <w:rPr>
            <w:rStyle w:val="Hyperlink"/>
            <w:szCs w:val="22"/>
          </w:rPr>
          <w:t>LO122</w:t>
        </w:r>
      </w:hyperlink>
      <w:r>
        <w:rPr>
          <w:szCs w:val="22"/>
        </w:rPr>
        <w:t xml:space="preserve">, </w:t>
      </w:r>
      <w:hyperlink r:id="rId15" w:history="1">
        <w:r w:rsidRPr="00025858">
          <w:rPr>
            <w:rStyle w:val="Hyperlink"/>
            <w:szCs w:val="22"/>
          </w:rPr>
          <w:t xml:space="preserve">Annex </w:t>
        </w:r>
        <w:r w:rsidR="009B0B6C" w:rsidRPr="00025858">
          <w:rPr>
            <w:rStyle w:val="Hyperlink"/>
            <w:szCs w:val="22"/>
          </w:rPr>
          <w:t>6</w:t>
        </w:r>
      </w:hyperlink>
      <w:r>
        <w:rPr>
          <w:szCs w:val="22"/>
        </w:rPr>
        <w:t xml:space="preserve">, </w:t>
      </w:r>
      <w:r w:rsidR="00630DDD" w:rsidRPr="003A58E4">
        <w:rPr>
          <w:szCs w:val="22"/>
        </w:rPr>
        <w:t xml:space="preserve">which </w:t>
      </w:r>
      <w:r w:rsidR="00630DDD">
        <w:rPr>
          <w:szCs w:val="22"/>
        </w:rPr>
        <w:t xml:space="preserve">contained a </w:t>
      </w:r>
      <w:r w:rsidR="00F431A2">
        <w:rPr>
          <w:szCs w:val="22"/>
        </w:rPr>
        <w:t xml:space="preserve">proposal for </w:t>
      </w:r>
      <w:r w:rsidR="009B0B6C">
        <w:rPr>
          <w:szCs w:val="22"/>
        </w:rPr>
        <w:t>changing the term “system</w:t>
      </w:r>
      <w:r w:rsidR="003742F7">
        <w:rPr>
          <w:szCs w:val="22"/>
        </w:rPr>
        <w:t>s</w:t>
      </w:r>
      <w:r w:rsidR="009B0B6C">
        <w:rPr>
          <w:szCs w:val="22"/>
        </w:rPr>
        <w:t>” to “devices” in classes 14, 18 and 23</w:t>
      </w:r>
      <w:r w:rsidR="00630DDD">
        <w:rPr>
          <w:szCs w:val="22"/>
        </w:rPr>
        <w:t xml:space="preserve">, submitted by the </w:t>
      </w:r>
      <w:r w:rsidR="000B07D9">
        <w:rPr>
          <w:szCs w:val="22"/>
        </w:rPr>
        <w:t>Benelux Office</w:t>
      </w:r>
      <w:r w:rsidR="00630DDD">
        <w:rPr>
          <w:szCs w:val="22"/>
        </w:rPr>
        <w:t>.</w:t>
      </w:r>
    </w:p>
    <w:p w:rsidR="005048D2" w:rsidRDefault="005048D2" w:rsidP="005048D2">
      <w:pPr>
        <w:spacing w:line="260" w:lineRule="exact"/>
        <w:rPr>
          <w:szCs w:val="22"/>
        </w:rPr>
      </w:pPr>
    </w:p>
    <w:p w:rsidR="000B07D9" w:rsidRPr="003A58E4" w:rsidRDefault="000B07D9" w:rsidP="000B07D9">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D3075D">
        <w:rPr>
          <w:szCs w:val="22"/>
        </w:rPr>
        <w:t>the</w:t>
      </w:r>
      <w:r w:rsidRPr="003A58E4">
        <w:rPr>
          <w:szCs w:val="22"/>
        </w:rPr>
        <w:t xml:space="preserve"> </w:t>
      </w:r>
      <w:r>
        <w:rPr>
          <w:szCs w:val="22"/>
        </w:rPr>
        <w:t>amendments</w:t>
      </w:r>
      <w:r w:rsidRPr="003A58E4">
        <w:rPr>
          <w:szCs w:val="22"/>
        </w:rPr>
        <w:t xml:space="preserve"> contained in Annex </w:t>
      </w:r>
      <w:r>
        <w:rPr>
          <w:szCs w:val="22"/>
        </w:rPr>
        <w:t>I</w:t>
      </w:r>
      <w:r w:rsidR="00C2339E">
        <w:rPr>
          <w:szCs w:val="22"/>
        </w:rPr>
        <w:t>II</w:t>
      </w:r>
      <w:r w:rsidRPr="003A58E4">
        <w:rPr>
          <w:szCs w:val="22"/>
        </w:rPr>
        <w:t xml:space="preserve"> to this report.</w:t>
      </w:r>
    </w:p>
    <w:p w:rsidR="00B22E15" w:rsidRDefault="00B22E15" w:rsidP="00B22E15">
      <w:pPr>
        <w:rPr>
          <w:szCs w:val="22"/>
        </w:rPr>
      </w:pPr>
    </w:p>
    <w:p w:rsidR="00B22E15" w:rsidRPr="0040336A" w:rsidRDefault="00B22E15" w:rsidP="00B22E15">
      <w:pPr>
        <w:rPr>
          <w:szCs w:val="22"/>
        </w:rPr>
      </w:pPr>
    </w:p>
    <w:p w:rsidR="00B22E15" w:rsidRPr="00B22E15" w:rsidRDefault="00155FEF" w:rsidP="00B22E15">
      <w:pPr>
        <w:spacing w:line="260" w:lineRule="exact"/>
        <w:rPr>
          <w:b/>
          <w:caps/>
          <w:szCs w:val="22"/>
        </w:rPr>
      </w:pPr>
      <w:r>
        <w:rPr>
          <w:b/>
          <w:caps/>
          <w:szCs w:val="22"/>
        </w:rPr>
        <w:t>NEW ELECTRONIC PUBLICATION</w:t>
      </w:r>
    </w:p>
    <w:p w:rsidR="00B22E15" w:rsidRPr="00B22E15" w:rsidRDefault="00B22E15" w:rsidP="00B22E15">
      <w:pPr>
        <w:spacing w:line="260" w:lineRule="exact"/>
        <w:rPr>
          <w:b/>
          <w:caps/>
          <w:szCs w:val="22"/>
        </w:rPr>
      </w:pPr>
    </w:p>
    <w:p w:rsidR="00400D57" w:rsidRDefault="00400D57" w:rsidP="00400D5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6" w:history="1">
        <w:r w:rsidRPr="00025858">
          <w:rPr>
            <w:rStyle w:val="Hyperlink"/>
            <w:szCs w:val="22"/>
          </w:rPr>
          <w:t>LO123</w:t>
        </w:r>
      </w:hyperlink>
      <w:r>
        <w:rPr>
          <w:szCs w:val="22"/>
        </w:rPr>
        <w:t xml:space="preserve">, </w:t>
      </w:r>
      <w:hyperlink r:id="rId17" w:history="1">
        <w:r w:rsidRPr="00025858">
          <w:rPr>
            <w:rStyle w:val="Hyperlink"/>
            <w:szCs w:val="22"/>
          </w:rPr>
          <w:t>Annex 1</w:t>
        </w:r>
      </w:hyperlink>
      <w:r w:rsidRPr="003A58E4">
        <w:rPr>
          <w:szCs w:val="22"/>
        </w:rPr>
        <w:t xml:space="preserve"> </w:t>
      </w:r>
      <w:r>
        <w:rPr>
          <w:szCs w:val="22"/>
        </w:rPr>
        <w:t xml:space="preserve">concerning the creation of a new Locarno </w:t>
      </w:r>
      <w:r w:rsidR="00B33DBF">
        <w:rPr>
          <w:szCs w:val="22"/>
        </w:rPr>
        <w:t>publication platform</w:t>
      </w:r>
      <w:r>
        <w:rPr>
          <w:szCs w:val="22"/>
        </w:rPr>
        <w:t xml:space="preserve"> (</w:t>
      </w:r>
      <w:proofErr w:type="spellStart"/>
      <w:r>
        <w:rPr>
          <w:szCs w:val="22"/>
        </w:rPr>
        <w:t>LocPub</w:t>
      </w:r>
      <w:proofErr w:type="spellEnd"/>
      <w:r>
        <w:rPr>
          <w:szCs w:val="22"/>
        </w:rPr>
        <w:t>).</w:t>
      </w:r>
      <w:r w:rsidRPr="00511E07">
        <w:rPr>
          <w:szCs w:val="22"/>
        </w:rPr>
        <w:t xml:space="preserve"> </w:t>
      </w:r>
      <w:r>
        <w:rPr>
          <w:szCs w:val="22"/>
        </w:rPr>
        <w:t xml:space="preserve">The International Bureau </w:t>
      </w:r>
      <w:r w:rsidR="005D69EC">
        <w:rPr>
          <w:szCs w:val="22"/>
        </w:rPr>
        <w:t xml:space="preserve">(IB) </w:t>
      </w:r>
      <w:r w:rsidR="00155FEF">
        <w:rPr>
          <w:szCs w:val="22"/>
        </w:rPr>
        <w:t xml:space="preserve">made a short demonstration of </w:t>
      </w:r>
      <w:r w:rsidR="00E6559E">
        <w:rPr>
          <w:szCs w:val="22"/>
        </w:rPr>
        <w:t xml:space="preserve">the functionalities in </w:t>
      </w:r>
      <w:proofErr w:type="spellStart"/>
      <w:r>
        <w:rPr>
          <w:szCs w:val="22"/>
        </w:rPr>
        <w:t>LocPub</w:t>
      </w:r>
      <w:proofErr w:type="spellEnd"/>
      <w:r w:rsidR="00A41193">
        <w:rPr>
          <w:szCs w:val="22"/>
        </w:rPr>
        <w:t xml:space="preserve"> and indicated that </w:t>
      </w:r>
      <w:r w:rsidR="006474FD">
        <w:rPr>
          <w:szCs w:val="22"/>
        </w:rPr>
        <w:t xml:space="preserve">it planned to release </w:t>
      </w:r>
      <w:proofErr w:type="spellStart"/>
      <w:r w:rsidR="00344B09">
        <w:rPr>
          <w:szCs w:val="22"/>
        </w:rPr>
        <w:t>LocPub</w:t>
      </w:r>
      <w:proofErr w:type="spellEnd"/>
      <w:r w:rsidR="00344B09">
        <w:rPr>
          <w:szCs w:val="22"/>
        </w:rPr>
        <w:t xml:space="preserve"> </w:t>
      </w:r>
      <w:r w:rsidR="00A41193">
        <w:rPr>
          <w:szCs w:val="22"/>
        </w:rPr>
        <w:t>in March 2016</w:t>
      </w:r>
      <w:r w:rsidRPr="003A58E4">
        <w:rPr>
          <w:szCs w:val="22"/>
        </w:rPr>
        <w:t>.</w:t>
      </w:r>
    </w:p>
    <w:p w:rsidR="00400D57" w:rsidRDefault="00400D57" w:rsidP="00400D57">
      <w:pPr>
        <w:spacing w:line="260" w:lineRule="exact"/>
        <w:rPr>
          <w:szCs w:val="22"/>
        </w:rPr>
      </w:pPr>
    </w:p>
    <w:p w:rsidR="00400D57" w:rsidRDefault="00400D57" w:rsidP="00400D5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Pr>
          <w:szCs w:val="22"/>
        </w:rPr>
        <w:t>agreed to the following:</w:t>
      </w:r>
    </w:p>
    <w:p w:rsidR="00400D57" w:rsidRDefault="00400D57" w:rsidP="00400D57">
      <w:pPr>
        <w:spacing w:line="260" w:lineRule="exact"/>
        <w:rPr>
          <w:szCs w:val="22"/>
        </w:rPr>
      </w:pPr>
    </w:p>
    <w:p w:rsidR="008D37C2" w:rsidRDefault="00553FCE" w:rsidP="009768A8">
      <w:pPr>
        <w:numPr>
          <w:ilvl w:val="2"/>
          <w:numId w:val="7"/>
        </w:numPr>
        <w:tabs>
          <w:tab w:val="clear" w:pos="1080"/>
        </w:tabs>
        <w:spacing w:line="260" w:lineRule="exact"/>
        <w:ind w:left="1701" w:hanging="567"/>
        <w:rPr>
          <w:szCs w:val="22"/>
        </w:rPr>
      </w:pPr>
      <w:r>
        <w:rPr>
          <w:szCs w:val="22"/>
        </w:rPr>
        <w:t>the printed publication will be discontinued</w:t>
      </w:r>
      <w:r w:rsidR="00066DA5">
        <w:rPr>
          <w:szCs w:val="22"/>
        </w:rPr>
        <w:t>;</w:t>
      </w:r>
      <w:r w:rsidR="008D37C2">
        <w:rPr>
          <w:szCs w:val="22"/>
        </w:rPr>
        <w:br/>
      </w:r>
    </w:p>
    <w:p w:rsidR="00553FCE" w:rsidRDefault="008D37C2" w:rsidP="009768A8">
      <w:pPr>
        <w:numPr>
          <w:ilvl w:val="2"/>
          <w:numId w:val="7"/>
        </w:numPr>
        <w:tabs>
          <w:tab w:val="clear" w:pos="1080"/>
        </w:tabs>
        <w:spacing w:line="260" w:lineRule="exact"/>
        <w:ind w:left="1701" w:hanging="567"/>
        <w:rPr>
          <w:szCs w:val="22"/>
        </w:rPr>
      </w:pPr>
      <w:r w:rsidRPr="008D37C2">
        <w:rPr>
          <w:szCs w:val="22"/>
          <w:lang w:val="en-GB"/>
        </w:rPr>
        <w:t>serial numbers will be replaced by basic numbers</w:t>
      </w:r>
      <w:r w:rsidR="00344B09">
        <w:rPr>
          <w:szCs w:val="22"/>
          <w:lang w:val="en-GB"/>
        </w:rPr>
        <w:t>;</w:t>
      </w:r>
      <w:r w:rsidRPr="008D37C2">
        <w:rPr>
          <w:szCs w:val="22"/>
          <w:lang w:val="en-GB"/>
        </w:rPr>
        <w:t xml:space="preserve"> </w:t>
      </w:r>
      <w:r w:rsidR="00344B09">
        <w:rPr>
          <w:szCs w:val="22"/>
          <w:lang w:val="en-GB"/>
        </w:rPr>
        <w:t xml:space="preserve">the </w:t>
      </w:r>
      <w:r w:rsidR="00092141">
        <w:rPr>
          <w:szCs w:val="22"/>
          <w:lang w:val="en-GB"/>
        </w:rPr>
        <w:t>lowercase</w:t>
      </w:r>
      <w:r w:rsidR="00344B09">
        <w:rPr>
          <w:szCs w:val="22"/>
          <w:lang w:val="en-GB"/>
        </w:rPr>
        <w:t xml:space="preserve"> letter</w:t>
      </w:r>
      <w:r w:rsidR="00092141">
        <w:rPr>
          <w:szCs w:val="22"/>
          <w:lang w:val="en-GB"/>
        </w:rPr>
        <w:t xml:space="preserve"> </w:t>
      </w:r>
      <w:r w:rsidR="00344B09">
        <w:rPr>
          <w:szCs w:val="22"/>
          <w:lang w:val="en-GB"/>
        </w:rPr>
        <w:t>at the beginning of the first word of each indication of good</w:t>
      </w:r>
      <w:r w:rsidR="0022248E">
        <w:rPr>
          <w:szCs w:val="22"/>
          <w:lang w:val="en-GB"/>
        </w:rPr>
        <w:t>s</w:t>
      </w:r>
      <w:r w:rsidR="00344B09">
        <w:rPr>
          <w:szCs w:val="22"/>
          <w:lang w:val="en-GB"/>
        </w:rPr>
        <w:t xml:space="preserve"> in French will be replaced </w:t>
      </w:r>
      <w:r w:rsidR="00092141">
        <w:rPr>
          <w:szCs w:val="22"/>
          <w:lang w:val="en-GB"/>
        </w:rPr>
        <w:t xml:space="preserve">by </w:t>
      </w:r>
      <w:r w:rsidR="00344B09">
        <w:rPr>
          <w:szCs w:val="22"/>
          <w:lang w:val="en-GB"/>
        </w:rPr>
        <w:t xml:space="preserve">a </w:t>
      </w:r>
      <w:r w:rsidR="00092141">
        <w:rPr>
          <w:szCs w:val="22"/>
          <w:lang w:val="en-GB"/>
        </w:rPr>
        <w:t>capital letter</w:t>
      </w:r>
      <w:r w:rsidR="00065C74">
        <w:rPr>
          <w:szCs w:val="22"/>
          <w:lang w:val="en-GB"/>
        </w:rPr>
        <w:t>; c</w:t>
      </w:r>
      <w:r w:rsidRPr="008D37C2">
        <w:rPr>
          <w:szCs w:val="22"/>
          <w:lang w:val="en-GB"/>
        </w:rPr>
        <w:t>ross</w:t>
      </w:r>
      <w:r w:rsidRPr="008D37C2">
        <w:rPr>
          <w:szCs w:val="22"/>
          <w:lang w:val="en-GB"/>
        </w:rPr>
        <w:noBreakHyphen/>
        <w:t>references will be deleted and</w:t>
      </w:r>
      <w:r w:rsidR="00344B09">
        <w:rPr>
          <w:szCs w:val="22"/>
          <w:lang w:val="en-GB"/>
        </w:rPr>
        <w:t>, in the list of goods in alphabetical order,</w:t>
      </w:r>
      <w:r w:rsidRPr="008D37C2">
        <w:rPr>
          <w:szCs w:val="22"/>
          <w:lang w:val="en-GB"/>
        </w:rPr>
        <w:t xml:space="preserve"> the alphabetical order will be determined by “sort words” marked in bold;</w:t>
      </w:r>
      <w:r w:rsidR="00D3075D">
        <w:rPr>
          <w:szCs w:val="22"/>
          <w:lang w:val="en-GB"/>
        </w:rPr>
        <w:t xml:space="preserve"> </w:t>
      </w:r>
      <w:r w:rsidR="00547F14">
        <w:rPr>
          <w:szCs w:val="22"/>
          <w:lang w:val="en-GB"/>
        </w:rPr>
        <w:t>master</w:t>
      </w:r>
      <w:r w:rsidR="00344B09">
        <w:rPr>
          <w:szCs w:val="22"/>
          <w:lang w:val="en-GB"/>
        </w:rPr>
        <w:t xml:space="preserve"> term</w:t>
      </w:r>
      <w:r w:rsidR="00547F14">
        <w:rPr>
          <w:szCs w:val="22"/>
          <w:lang w:val="en-GB"/>
        </w:rPr>
        <w:t xml:space="preserve">s and </w:t>
      </w:r>
      <w:r w:rsidR="00D3075D">
        <w:rPr>
          <w:szCs w:val="22"/>
          <w:lang w:val="en-GB"/>
        </w:rPr>
        <w:t>synonyms</w:t>
      </w:r>
      <w:r w:rsidR="00344B09">
        <w:rPr>
          <w:szCs w:val="22"/>
          <w:lang w:val="en-GB"/>
        </w:rPr>
        <w:t xml:space="preserve"> belonging to the same basic number</w:t>
      </w:r>
      <w:r w:rsidR="00D3075D">
        <w:rPr>
          <w:szCs w:val="22"/>
          <w:lang w:val="en-GB"/>
        </w:rPr>
        <w:t xml:space="preserve"> will be displayed on different lines.</w:t>
      </w:r>
      <w:r w:rsidR="00553FCE">
        <w:rPr>
          <w:szCs w:val="22"/>
        </w:rPr>
        <w:br/>
      </w:r>
    </w:p>
    <w:p w:rsidR="00AD761F" w:rsidRDefault="006474FD" w:rsidP="009768A8">
      <w:pPr>
        <w:numPr>
          <w:ilvl w:val="2"/>
          <w:numId w:val="7"/>
        </w:numPr>
        <w:tabs>
          <w:tab w:val="clear" w:pos="1080"/>
        </w:tabs>
        <w:spacing w:line="260" w:lineRule="exact"/>
        <w:ind w:left="1701" w:hanging="567"/>
        <w:rPr>
          <w:szCs w:val="22"/>
        </w:rPr>
      </w:pPr>
      <w:proofErr w:type="spellStart"/>
      <w:r>
        <w:rPr>
          <w:szCs w:val="22"/>
        </w:rPr>
        <w:t>LocPub</w:t>
      </w:r>
      <w:proofErr w:type="spellEnd"/>
      <w:r w:rsidR="00AD761F">
        <w:rPr>
          <w:szCs w:val="22"/>
        </w:rPr>
        <w:t xml:space="preserve"> will </w:t>
      </w:r>
      <w:r w:rsidR="008D37C2">
        <w:rPr>
          <w:szCs w:val="22"/>
        </w:rPr>
        <w:t>allow the consultation of</w:t>
      </w:r>
      <w:r w:rsidR="00AD761F">
        <w:rPr>
          <w:szCs w:val="22"/>
        </w:rPr>
        <w:t>:</w:t>
      </w:r>
      <w:r w:rsidR="00AD761F">
        <w:rPr>
          <w:szCs w:val="22"/>
        </w:rPr>
        <w:br/>
      </w:r>
    </w:p>
    <w:p w:rsidR="008D37C2" w:rsidRDefault="00AD761F" w:rsidP="009768A8">
      <w:pPr>
        <w:spacing w:line="260" w:lineRule="exact"/>
        <w:ind w:left="2268" w:hanging="567"/>
        <w:rPr>
          <w:szCs w:val="22"/>
        </w:rPr>
      </w:pPr>
      <w:r>
        <w:rPr>
          <w:szCs w:val="22"/>
          <w:lang w:val="en-GB"/>
        </w:rPr>
        <w:t>(</w:t>
      </w:r>
      <w:proofErr w:type="spellStart"/>
      <w:r>
        <w:rPr>
          <w:szCs w:val="22"/>
          <w:lang w:val="en-GB"/>
        </w:rPr>
        <w:t>i</w:t>
      </w:r>
      <w:proofErr w:type="spellEnd"/>
      <w:r>
        <w:rPr>
          <w:szCs w:val="22"/>
          <w:lang w:val="en-GB"/>
        </w:rPr>
        <w:t>)</w:t>
      </w:r>
      <w:r>
        <w:rPr>
          <w:szCs w:val="22"/>
          <w:lang w:val="en-GB"/>
        </w:rPr>
        <w:tab/>
      </w:r>
      <w:proofErr w:type="gramStart"/>
      <w:r w:rsidR="00F52CB7" w:rsidRPr="00AD761F">
        <w:rPr>
          <w:szCs w:val="22"/>
        </w:rPr>
        <w:t>all</w:t>
      </w:r>
      <w:proofErr w:type="gramEnd"/>
      <w:r w:rsidR="00F52CB7" w:rsidRPr="00AD761F">
        <w:rPr>
          <w:szCs w:val="22"/>
        </w:rPr>
        <w:t xml:space="preserve"> editions of the Classification, current and previous</w:t>
      </w:r>
      <w:r w:rsidR="00872ECA">
        <w:rPr>
          <w:szCs w:val="22"/>
        </w:rPr>
        <w:t>;</w:t>
      </w:r>
      <w:r w:rsidR="008D37C2">
        <w:rPr>
          <w:szCs w:val="22"/>
        </w:rPr>
        <w:br/>
      </w:r>
    </w:p>
    <w:p w:rsidR="0099449B" w:rsidRDefault="00AD761F" w:rsidP="009768A8">
      <w:pPr>
        <w:spacing w:line="260" w:lineRule="exact"/>
        <w:ind w:left="2268" w:hanging="567"/>
        <w:rPr>
          <w:szCs w:val="22"/>
        </w:rPr>
      </w:pPr>
      <w:r>
        <w:rPr>
          <w:szCs w:val="22"/>
          <w:lang w:val="en-GB"/>
        </w:rPr>
        <w:t>(ii)</w:t>
      </w:r>
      <w:r w:rsidR="00CB275B">
        <w:rPr>
          <w:szCs w:val="22"/>
          <w:lang w:val="en-GB"/>
        </w:rPr>
        <w:tab/>
      </w:r>
      <w:proofErr w:type="gramStart"/>
      <w:r w:rsidR="00F52CB7" w:rsidRPr="00CB275B">
        <w:rPr>
          <w:szCs w:val="22"/>
          <w:lang w:val="en-GB"/>
        </w:rPr>
        <w:t>the</w:t>
      </w:r>
      <w:proofErr w:type="gramEnd"/>
      <w:r w:rsidR="00F52CB7" w:rsidRPr="00CB275B">
        <w:rPr>
          <w:szCs w:val="22"/>
          <w:lang w:val="en-GB"/>
        </w:rPr>
        <w:t xml:space="preserve"> list</w:t>
      </w:r>
      <w:r w:rsidR="00581AD5">
        <w:rPr>
          <w:szCs w:val="22"/>
          <w:lang w:val="en-GB"/>
        </w:rPr>
        <w:t>s</w:t>
      </w:r>
      <w:r w:rsidR="00F52CB7" w:rsidRPr="00CB275B">
        <w:rPr>
          <w:szCs w:val="22"/>
          <w:lang w:val="en-GB"/>
        </w:rPr>
        <w:t xml:space="preserve"> of goods in class/subclass order</w:t>
      </w:r>
      <w:r w:rsidR="00400D57" w:rsidRPr="00CB275B">
        <w:rPr>
          <w:szCs w:val="22"/>
          <w:lang w:val="en-GB"/>
        </w:rPr>
        <w:t xml:space="preserve"> </w:t>
      </w:r>
      <w:r w:rsidR="00F52CB7" w:rsidRPr="00CB275B">
        <w:rPr>
          <w:szCs w:val="22"/>
          <w:lang w:val="en-GB"/>
        </w:rPr>
        <w:t>and in alphabetical order</w:t>
      </w:r>
      <w:r w:rsidR="008D37C2">
        <w:rPr>
          <w:szCs w:val="22"/>
          <w:lang w:val="en-GB"/>
        </w:rPr>
        <w:t>,</w:t>
      </w:r>
      <w:r w:rsidR="00F52CB7" w:rsidRPr="00CB275B">
        <w:rPr>
          <w:szCs w:val="22"/>
          <w:lang w:val="en-GB"/>
        </w:rPr>
        <w:t xml:space="preserve"> separately in English or French</w:t>
      </w:r>
      <w:r w:rsidR="0099449B" w:rsidRPr="00CB275B">
        <w:rPr>
          <w:szCs w:val="22"/>
          <w:lang w:val="en-GB"/>
        </w:rPr>
        <w:t>,</w:t>
      </w:r>
      <w:r w:rsidR="00F52CB7" w:rsidRPr="00CB275B">
        <w:rPr>
          <w:szCs w:val="22"/>
          <w:lang w:val="en-GB"/>
        </w:rPr>
        <w:t xml:space="preserve"> and in bilingual versions shown in two columns</w:t>
      </w:r>
      <w:r w:rsidR="008D37C2">
        <w:rPr>
          <w:szCs w:val="22"/>
          <w:lang w:val="en-GB"/>
        </w:rPr>
        <w:t>, EN/FR or FR/EN</w:t>
      </w:r>
      <w:r w:rsidR="00F52CB7" w:rsidRPr="00CB275B">
        <w:rPr>
          <w:szCs w:val="22"/>
          <w:lang w:val="en-GB"/>
        </w:rPr>
        <w:t>;</w:t>
      </w:r>
      <w:r w:rsidR="0099449B">
        <w:rPr>
          <w:szCs w:val="22"/>
        </w:rPr>
        <w:br/>
      </w:r>
    </w:p>
    <w:p w:rsidR="0099449B" w:rsidRDefault="00CB275B" w:rsidP="009768A8">
      <w:pPr>
        <w:spacing w:line="260" w:lineRule="exact"/>
        <w:ind w:left="2268" w:hanging="567"/>
        <w:rPr>
          <w:szCs w:val="22"/>
        </w:rPr>
      </w:pPr>
      <w:r>
        <w:rPr>
          <w:szCs w:val="22"/>
          <w:lang w:val="en-GB"/>
        </w:rPr>
        <w:t>(i</w:t>
      </w:r>
      <w:r w:rsidR="008D37C2">
        <w:rPr>
          <w:szCs w:val="22"/>
          <w:lang w:val="en-GB"/>
        </w:rPr>
        <w:t>ii</w:t>
      </w:r>
      <w:r>
        <w:rPr>
          <w:szCs w:val="22"/>
          <w:lang w:val="en-GB"/>
        </w:rPr>
        <w:t>)</w:t>
      </w:r>
      <w:r>
        <w:rPr>
          <w:szCs w:val="22"/>
          <w:lang w:val="en-GB"/>
        </w:rPr>
        <w:tab/>
      </w:r>
      <w:proofErr w:type="gramStart"/>
      <w:r w:rsidR="0099449B" w:rsidRPr="0099449B">
        <w:rPr>
          <w:szCs w:val="22"/>
        </w:rPr>
        <w:t>the</w:t>
      </w:r>
      <w:proofErr w:type="gramEnd"/>
      <w:r w:rsidR="0099449B" w:rsidRPr="0099449B">
        <w:rPr>
          <w:szCs w:val="22"/>
        </w:rPr>
        <w:t xml:space="preserve"> list of classes and subclasses</w:t>
      </w:r>
      <w:r w:rsidR="00872ECA">
        <w:rPr>
          <w:szCs w:val="22"/>
        </w:rPr>
        <w:t xml:space="preserve">, </w:t>
      </w:r>
      <w:r w:rsidR="0099449B" w:rsidRPr="0099449B">
        <w:rPr>
          <w:szCs w:val="22"/>
        </w:rPr>
        <w:t>with or without notes</w:t>
      </w:r>
      <w:r w:rsidR="0099449B">
        <w:rPr>
          <w:szCs w:val="22"/>
        </w:rPr>
        <w:t>;</w:t>
      </w:r>
      <w:r w:rsidR="0099449B">
        <w:rPr>
          <w:szCs w:val="22"/>
        </w:rPr>
        <w:br/>
      </w:r>
    </w:p>
    <w:p w:rsidR="0099449B" w:rsidRDefault="00CB275B" w:rsidP="009768A8">
      <w:pPr>
        <w:spacing w:line="260" w:lineRule="exact"/>
        <w:ind w:left="2268" w:hanging="567"/>
        <w:rPr>
          <w:szCs w:val="22"/>
        </w:rPr>
      </w:pPr>
      <w:r>
        <w:rPr>
          <w:szCs w:val="22"/>
          <w:lang w:val="en-GB"/>
        </w:rPr>
        <w:lastRenderedPageBreak/>
        <w:t>(</w:t>
      </w:r>
      <w:r w:rsidR="00872ECA">
        <w:rPr>
          <w:szCs w:val="22"/>
          <w:lang w:val="en-GB"/>
        </w:rPr>
        <w:t>i</w:t>
      </w:r>
      <w:r>
        <w:rPr>
          <w:szCs w:val="22"/>
          <w:lang w:val="en-GB"/>
        </w:rPr>
        <w:t>v)</w:t>
      </w:r>
      <w:r>
        <w:rPr>
          <w:szCs w:val="22"/>
          <w:lang w:val="en-GB"/>
        </w:rPr>
        <w:tab/>
      </w:r>
      <w:proofErr w:type="gramStart"/>
      <w:r w:rsidR="00D54A96" w:rsidRPr="00D54A96">
        <w:rPr>
          <w:szCs w:val="22"/>
          <w:lang w:val="en-GB"/>
        </w:rPr>
        <w:t>the</w:t>
      </w:r>
      <w:proofErr w:type="gramEnd"/>
      <w:r w:rsidR="00D54A96" w:rsidRPr="00D54A96">
        <w:rPr>
          <w:szCs w:val="22"/>
          <w:lang w:val="en-GB"/>
        </w:rPr>
        <w:t xml:space="preserve"> General Remarks, Guidance for the User and Recommendations;</w:t>
      </w:r>
      <w:r w:rsidR="00D54A96">
        <w:rPr>
          <w:szCs w:val="22"/>
        </w:rPr>
        <w:t xml:space="preserve"> </w:t>
      </w:r>
      <w:r w:rsidR="0099449B">
        <w:rPr>
          <w:szCs w:val="22"/>
        </w:rPr>
        <w:br/>
      </w:r>
    </w:p>
    <w:p w:rsidR="00400D57" w:rsidRPr="0099449B" w:rsidRDefault="00CB275B" w:rsidP="009768A8">
      <w:pPr>
        <w:spacing w:line="260" w:lineRule="exact"/>
        <w:ind w:left="2268" w:hanging="567"/>
        <w:rPr>
          <w:szCs w:val="22"/>
        </w:rPr>
      </w:pPr>
      <w:r w:rsidRPr="00CB275B">
        <w:rPr>
          <w:szCs w:val="22"/>
          <w:lang w:val="en-GB"/>
        </w:rPr>
        <w:t>(v)</w:t>
      </w:r>
      <w:r w:rsidRPr="00CB275B">
        <w:rPr>
          <w:szCs w:val="22"/>
          <w:lang w:val="en-GB"/>
        </w:rPr>
        <w:tab/>
      </w:r>
      <w:proofErr w:type="gramStart"/>
      <w:r w:rsidR="00D54A96" w:rsidRPr="0099449B">
        <w:rPr>
          <w:szCs w:val="22"/>
        </w:rPr>
        <w:t>the</w:t>
      </w:r>
      <w:proofErr w:type="gramEnd"/>
      <w:r w:rsidR="00D54A96" w:rsidRPr="0099449B">
        <w:rPr>
          <w:szCs w:val="22"/>
        </w:rPr>
        <w:t xml:space="preserve"> modifications introduced </w:t>
      </w:r>
      <w:r w:rsidR="00AE3031">
        <w:rPr>
          <w:szCs w:val="22"/>
        </w:rPr>
        <w:t>between subsequent e</w:t>
      </w:r>
      <w:r w:rsidR="00D54A96" w:rsidRPr="0099449B">
        <w:rPr>
          <w:szCs w:val="22"/>
        </w:rPr>
        <w:t>dition</w:t>
      </w:r>
      <w:r w:rsidR="00AE3031">
        <w:rPr>
          <w:szCs w:val="22"/>
        </w:rPr>
        <w:t>s</w:t>
      </w:r>
      <w:r w:rsidR="00D54A96">
        <w:rPr>
          <w:szCs w:val="22"/>
        </w:rPr>
        <w:t>;</w:t>
      </w:r>
      <w:r w:rsidR="00400D57" w:rsidRPr="0099449B">
        <w:rPr>
          <w:szCs w:val="22"/>
        </w:rPr>
        <w:br/>
      </w:r>
    </w:p>
    <w:p w:rsidR="002426FF" w:rsidRDefault="002426FF" w:rsidP="009768A8">
      <w:pPr>
        <w:tabs>
          <w:tab w:val="num" w:pos="1276"/>
        </w:tabs>
        <w:spacing w:line="260" w:lineRule="exact"/>
        <w:ind w:left="1701" w:hanging="567"/>
        <w:rPr>
          <w:szCs w:val="22"/>
        </w:rPr>
      </w:pPr>
      <w:r w:rsidRPr="002426FF">
        <w:rPr>
          <w:szCs w:val="22"/>
        </w:rPr>
        <w:t>(</w:t>
      </w:r>
      <w:r>
        <w:rPr>
          <w:szCs w:val="22"/>
        </w:rPr>
        <w:t>d</w:t>
      </w:r>
      <w:r w:rsidRPr="002426FF">
        <w:rPr>
          <w:szCs w:val="22"/>
        </w:rPr>
        <w:t>)</w:t>
      </w:r>
      <w:r w:rsidRPr="002426FF">
        <w:rPr>
          <w:szCs w:val="22"/>
        </w:rPr>
        <w:tab/>
      </w:r>
      <w:proofErr w:type="spellStart"/>
      <w:r w:rsidR="006474FD">
        <w:rPr>
          <w:szCs w:val="22"/>
        </w:rPr>
        <w:t>LocPub</w:t>
      </w:r>
      <w:proofErr w:type="spellEnd"/>
      <w:r w:rsidRPr="002426FF">
        <w:rPr>
          <w:szCs w:val="22"/>
        </w:rPr>
        <w:t xml:space="preserve"> will </w:t>
      </w:r>
      <w:r>
        <w:rPr>
          <w:szCs w:val="22"/>
        </w:rPr>
        <w:t>provide</w:t>
      </w:r>
      <w:r w:rsidRPr="002426FF">
        <w:rPr>
          <w:szCs w:val="22"/>
        </w:rPr>
        <w:t xml:space="preserve"> the </w:t>
      </w:r>
      <w:r>
        <w:rPr>
          <w:szCs w:val="22"/>
        </w:rPr>
        <w:t>possibility to</w:t>
      </w:r>
      <w:r w:rsidRPr="002426FF">
        <w:rPr>
          <w:szCs w:val="22"/>
        </w:rPr>
        <w:t xml:space="preserve">: </w:t>
      </w:r>
    </w:p>
    <w:p w:rsidR="002426FF" w:rsidRDefault="002426FF" w:rsidP="00872ECA">
      <w:pPr>
        <w:tabs>
          <w:tab w:val="num" w:pos="1276"/>
        </w:tabs>
        <w:spacing w:line="260" w:lineRule="exact"/>
        <w:ind w:left="1701"/>
        <w:rPr>
          <w:szCs w:val="22"/>
        </w:rPr>
      </w:pPr>
    </w:p>
    <w:p w:rsidR="00400D57" w:rsidRDefault="00CB275B" w:rsidP="009768A8">
      <w:pPr>
        <w:tabs>
          <w:tab w:val="num" w:pos="1276"/>
        </w:tabs>
        <w:spacing w:line="260" w:lineRule="exact"/>
        <w:ind w:left="2268" w:hanging="567"/>
        <w:rPr>
          <w:szCs w:val="22"/>
        </w:rPr>
      </w:pPr>
      <w:r w:rsidRPr="00CB275B">
        <w:rPr>
          <w:szCs w:val="22"/>
        </w:rPr>
        <w:t>(</w:t>
      </w:r>
      <w:proofErr w:type="spellStart"/>
      <w:r>
        <w:rPr>
          <w:szCs w:val="22"/>
        </w:rPr>
        <w:t>i</w:t>
      </w:r>
      <w:proofErr w:type="spellEnd"/>
      <w:r w:rsidRPr="00CB275B">
        <w:rPr>
          <w:szCs w:val="22"/>
        </w:rPr>
        <w:t>)</w:t>
      </w:r>
      <w:r w:rsidRPr="00CB275B">
        <w:rPr>
          <w:szCs w:val="22"/>
        </w:rPr>
        <w:tab/>
      </w:r>
      <w:proofErr w:type="gramStart"/>
      <w:r>
        <w:rPr>
          <w:szCs w:val="22"/>
        </w:rPr>
        <w:t>download</w:t>
      </w:r>
      <w:proofErr w:type="gramEnd"/>
      <w:r w:rsidR="002426FF">
        <w:rPr>
          <w:szCs w:val="22"/>
        </w:rPr>
        <w:t xml:space="preserve"> </w:t>
      </w:r>
      <w:r w:rsidR="0099449B">
        <w:rPr>
          <w:szCs w:val="22"/>
        </w:rPr>
        <w:t xml:space="preserve">the master files used for the production of </w:t>
      </w:r>
      <w:proofErr w:type="spellStart"/>
      <w:r w:rsidR="0099449B">
        <w:rPr>
          <w:szCs w:val="22"/>
        </w:rPr>
        <w:t>LocPub</w:t>
      </w:r>
      <w:proofErr w:type="spellEnd"/>
      <w:r w:rsidR="002427A9" w:rsidRPr="002427A9">
        <w:rPr>
          <w:szCs w:val="22"/>
        </w:rPr>
        <w:t>, as well as the list of classes and subclasses and the list of goods in PDF format</w:t>
      </w:r>
      <w:r w:rsidR="00400D57">
        <w:rPr>
          <w:szCs w:val="22"/>
        </w:rPr>
        <w:t>;</w:t>
      </w:r>
      <w:r w:rsidR="00400D57">
        <w:rPr>
          <w:szCs w:val="22"/>
        </w:rPr>
        <w:br/>
      </w:r>
    </w:p>
    <w:p w:rsidR="00400D57" w:rsidRDefault="00CB275B" w:rsidP="009768A8">
      <w:pPr>
        <w:tabs>
          <w:tab w:val="num" w:pos="1276"/>
        </w:tabs>
        <w:spacing w:line="260" w:lineRule="exact"/>
        <w:ind w:left="2268" w:hanging="567"/>
        <w:rPr>
          <w:szCs w:val="22"/>
        </w:rPr>
      </w:pPr>
      <w:r>
        <w:rPr>
          <w:szCs w:val="22"/>
          <w:lang w:val="en-GB"/>
        </w:rPr>
        <w:t>(ii)</w:t>
      </w:r>
      <w:r>
        <w:rPr>
          <w:szCs w:val="22"/>
          <w:lang w:val="en-GB"/>
        </w:rPr>
        <w:tab/>
      </w:r>
      <w:proofErr w:type="gramStart"/>
      <w:r w:rsidR="002427A9" w:rsidRPr="002427A9">
        <w:rPr>
          <w:szCs w:val="22"/>
        </w:rPr>
        <w:t>perform</w:t>
      </w:r>
      <w:proofErr w:type="gramEnd"/>
      <w:r w:rsidR="002427A9" w:rsidRPr="002427A9">
        <w:rPr>
          <w:szCs w:val="22"/>
        </w:rPr>
        <w:t xml:space="preserve"> term and basic number searches</w:t>
      </w:r>
      <w:r w:rsidR="002426FF">
        <w:rPr>
          <w:szCs w:val="22"/>
        </w:rPr>
        <w:t xml:space="preserve"> that </w:t>
      </w:r>
      <w:r w:rsidR="002427A9" w:rsidRPr="002427A9">
        <w:rPr>
          <w:szCs w:val="22"/>
        </w:rPr>
        <w:t xml:space="preserve">take </w:t>
      </w:r>
      <w:r w:rsidR="002426FF">
        <w:rPr>
          <w:szCs w:val="22"/>
        </w:rPr>
        <w:t xml:space="preserve">into account </w:t>
      </w:r>
      <w:r w:rsidR="002427A9" w:rsidRPr="002427A9">
        <w:rPr>
          <w:szCs w:val="22"/>
        </w:rPr>
        <w:t>word stemming and other grammatical patterns</w:t>
      </w:r>
      <w:r w:rsidR="002426FF">
        <w:rPr>
          <w:szCs w:val="22"/>
        </w:rPr>
        <w:t>, and the</w:t>
      </w:r>
      <w:r w:rsidR="002427A9" w:rsidRPr="002427A9">
        <w:rPr>
          <w:szCs w:val="22"/>
        </w:rPr>
        <w:t xml:space="preserve"> use </w:t>
      </w:r>
      <w:r w:rsidR="002426FF">
        <w:rPr>
          <w:szCs w:val="22"/>
        </w:rPr>
        <w:t xml:space="preserve">of </w:t>
      </w:r>
      <w:r w:rsidR="002427A9" w:rsidRPr="002427A9">
        <w:rPr>
          <w:szCs w:val="22"/>
        </w:rPr>
        <w:t>Boolean operators</w:t>
      </w:r>
      <w:r w:rsidR="00400D57">
        <w:rPr>
          <w:szCs w:val="22"/>
        </w:rPr>
        <w:t>;</w:t>
      </w:r>
      <w:r w:rsidR="00400D57">
        <w:rPr>
          <w:szCs w:val="22"/>
        </w:rPr>
        <w:br/>
      </w:r>
    </w:p>
    <w:p w:rsidR="00400D57" w:rsidRDefault="00CB275B" w:rsidP="009768A8">
      <w:pPr>
        <w:tabs>
          <w:tab w:val="num" w:pos="1276"/>
        </w:tabs>
        <w:spacing w:line="260" w:lineRule="exact"/>
        <w:ind w:left="2268" w:hanging="567"/>
        <w:rPr>
          <w:szCs w:val="22"/>
        </w:rPr>
      </w:pPr>
      <w:r>
        <w:rPr>
          <w:szCs w:val="22"/>
          <w:lang w:val="en-GB"/>
        </w:rPr>
        <w:t>(i</w:t>
      </w:r>
      <w:r w:rsidR="002426FF">
        <w:rPr>
          <w:szCs w:val="22"/>
          <w:lang w:val="en-GB"/>
        </w:rPr>
        <w:t>ii</w:t>
      </w:r>
      <w:r>
        <w:rPr>
          <w:szCs w:val="22"/>
          <w:lang w:val="en-GB"/>
        </w:rPr>
        <w:t>)</w:t>
      </w:r>
      <w:r>
        <w:rPr>
          <w:szCs w:val="22"/>
          <w:lang w:val="en-GB"/>
        </w:rPr>
        <w:tab/>
      </w:r>
      <w:proofErr w:type="gramStart"/>
      <w:r w:rsidR="002427A9">
        <w:rPr>
          <w:szCs w:val="22"/>
        </w:rPr>
        <w:t>develop</w:t>
      </w:r>
      <w:proofErr w:type="gramEnd"/>
      <w:r w:rsidR="002427A9">
        <w:rPr>
          <w:szCs w:val="22"/>
        </w:rPr>
        <w:t xml:space="preserve"> “information files” </w:t>
      </w:r>
      <w:r w:rsidR="00A24204">
        <w:rPr>
          <w:szCs w:val="22"/>
        </w:rPr>
        <w:t>accessible by clicking on</w:t>
      </w:r>
      <w:r w:rsidR="00FA368D">
        <w:rPr>
          <w:szCs w:val="22"/>
        </w:rPr>
        <w:t xml:space="preserve"> an icon placed next to </w:t>
      </w:r>
      <w:r w:rsidR="00DD4BF1">
        <w:rPr>
          <w:szCs w:val="22"/>
        </w:rPr>
        <w:t>certain</w:t>
      </w:r>
      <w:r w:rsidR="00FA368D">
        <w:rPr>
          <w:szCs w:val="22"/>
        </w:rPr>
        <w:t xml:space="preserve"> indication</w:t>
      </w:r>
      <w:r w:rsidR="00DD4BF1">
        <w:rPr>
          <w:szCs w:val="22"/>
        </w:rPr>
        <w:t>s</w:t>
      </w:r>
      <w:r w:rsidR="00FA368D">
        <w:rPr>
          <w:szCs w:val="22"/>
        </w:rPr>
        <w:t xml:space="preserve"> of good</w:t>
      </w:r>
      <w:r w:rsidR="00DD4BF1">
        <w:rPr>
          <w:szCs w:val="22"/>
        </w:rPr>
        <w:t>s</w:t>
      </w:r>
      <w:r w:rsidR="00A24204">
        <w:rPr>
          <w:szCs w:val="22"/>
        </w:rPr>
        <w:t>.</w:t>
      </w:r>
      <w:r w:rsidR="00FA368D">
        <w:rPr>
          <w:szCs w:val="22"/>
        </w:rPr>
        <w:t xml:space="preserve"> </w:t>
      </w:r>
      <w:r w:rsidR="0022248E">
        <w:rPr>
          <w:szCs w:val="22"/>
        </w:rPr>
        <w:t>These</w:t>
      </w:r>
      <w:r w:rsidR="00A24204">
        <w:rPr>
          <w:szCs w:val="22"/>
        </w:rPr>
        <w:t xml:space="preserve"> files would contain</w:t>
      </w:r>
      <w:r w:rsidR="00FA368D">
        <w:rPr>
          <w:szCs w:val="22"/>
        </w:rPr>
        <w:t xml:space="preserve"> information such as </w:t>
      </w:r>
      <w:r w:rsidR="00A24204">
        <w:rPr>
          <w:szCs w:val="22"/>
        </w:rPr>
        <w:t xml:space="preserve">a </w:t>
      </w:r>
      <w:r w:rsidR="00FA368D">
        <w:rPr>
          <w:szCs w:val="22"/>
        </w:rPr>
        <w:t>definition</w:t>
      </w:r>
      <w:r w:rsidR="00A24204">
        <w:rPr>
          <w:szCs w:val="22"/>
        </w:rPr>
        <w:t xml:space="preserve"> and, if necessary,</w:t>
      </w:r>
      <w:r w:rsidR="00FA368D">
        <w:rPr>
          <w:szCs w:val="22"/>
        </w:rPr>
        <w:t xml:space="preserve"> </w:t>
      </w:r>
      <w:r w:rsidR="00A24204">
        <w:rPr>
          <w:szCs w:val="22"/>
        </w:rPr>
        <w:t xml:space="preserve">an </w:t>
      </w:r>
      <w:r w:rsidR="00FA368D">
        <w:rPr>
          <w:szCs w:val="22"/>
        </w:rPr>
        <w:t xml:space="preserve">illustration </w:t>
      </w:r>
      <w:r w:rsidR="00A24204">
        <w:rPr>
          <w:szCs w:val="22"/>
        </w:rPr>
        <w:t>of the product</w:t>
      </w:r>
      <w:r w:rsidR="006474FD">
        <w:rPr>
          <w:szCs w:val="22"/>
        </w:rPr>
        <w:t>,</w:t>
      </w:r>
      <w:r w:rsidR="00FA368D">
        <w:rPr>
          <w:szCs w:val="22"/>
        </w:rPr>
        <w:t xml:space="preserve"> </w:t>
      </w:r>
      <w:r w:rsidR="006474FD">
        <w:rPr>
          <w:szCs w:val="22"/>
        </w:rPr>
        <w:t xml:space="preserve">as well as </w:t>
      </w:r>
      <w:r w:rsidR="00A24204">
        <w:rPr>
          <w:szCs w:val="22"/>
        </w:rPr>
        <w:t xml:space="preserve">the </w:t>
      </w:r>
      <w:r w:rsidR="00FA368D">
        <w:rPr>
          <w:szCs w:val="22"/>
        </w:rPr>
        <w:t>classification criteria</w:t>
      </w:r>
      <w:r w:rsidR="00A24204">
        <w:rPr>
          <w:szCs w:val="22"/>
        </w:rPr>
        <w:t xml:space="preserve"> applied</w:t>
      </w:r>
      <w:r w:rsidR="006474FD">
        <w:rPr>
          <w:szCs w:val="22"/>
        </w:rPr>
        <w:t xml:space="preserve"> and examples of analogous products in the same class or in other classes</w:t>
      </w:r>
      <w:r w:rsidR="00FA368D">
        <w:rPr>
          <w:szCs w:val="22"/>
        </w:rPr>
        <w:t>;</w:t>
      </w:r>
      <w:r w:rsidR="00FA368D">
        <w:rPr>
          <w:szCs w:val="22"/>
        </w:rPr>
        <w:br/>
      </w:r>
    </w:p>
    <w:p w:rsidR="00FA368D" w:rsidRDefault="00CB275B" w:rsidP="009768A8">
      <w:pPr>
        <w:tabs>
          <w:tab w:val="num" w:pos="1276"/>
        </w:tabs>
        <w:spacing w:line="260" w:lineRule="exact"/>
        <w:ind w:left="2268" w:hanging="567"/>
        <w:rPr>
          <w:szCs w:val="22"/>
        </w:rPr>
      </w:pPr>
      <w:r w:rsidRPr="00CB275B">
        <w:rPr>
          <w:szCs w:val="22"/>
          <w:lang w:val="en-GB"/>
        </w:rPr>
        <w:t>(</w:t>
      </w:r>
      <w:r w:rsidR="000D4DC3">
        <w:rPr>
          <w:szCs w:val="22"/>
          <w:lang w:val="en-GB"/>
        </w:rPr>
        <w:t>iv</w:t>
      </w:r>
      <w:r w:rsidRPr="00CB275B">
        <w:rPr>
          <w:szCs w:val="22"/>
          <w:lang w:val="en-GB"/>
        </w:rPr>
        <w:t>)</w:t>
      </w:r>
      <w:r w:rsidRPr="00CB275B">
        <w:rPr>
          <w:szCs w:val="22"/>
          <w:lang w:val="en-GB"/>
        </w:rPr>
        <w:tab/>
      </w:r>
      <w:proofErr w:type="gramStart"/>
      <w:r w:rsidR="00FA368D" w:rsidRPr="00FA368D">
        <w:rPr>
          <w:szCs w:val="22"/>
        </w:rPr>
        <w:t>view</w:t>
      </w:r>
      <w:proofErr w:type="gramEnd"/>
      <w:r w:rsidR="00A24204">
        <w:rPr>
          <w:szCs w:val="22"/>
        </w:rPr>
        <w:t xml:space="preserve">, as </w:t>
      </w:r>
      <w:r w:rsidR="0022248E">
        <w:rPr>
          <w:szCs w:val="22"/>
        </w:rPr>
        <w:t xml:space="preserve">an </w:t>
      </w:r>
      <w:r w:rsidR="00A24204">
        <w:rPr>
          <w:szCs w:val="22"/>
        </w:rPr>
        <w:t>additional tool,</w:t>
      </w:r>
      <w:r w:rsidR="00FA368D" w:rsidRPr="00FA368D">
        <w:rPr>
          <w:szCs w:val="22"/>
        </w:rPr>
        <w:t xml:space="preserve"> the “extended product indication classification (EPIC)” currently being developed by </w:t>
      </w:r>
      <w:r w:rsidR="005D69EC">
        <w:rPr>
          <w:szCs w:val="22"/>
        </w:rPr>
        <w:t>the European Union</w:t>
      </w:r>
      <w:r w:rsidR="00A24204">
        <w:rPr>
          <w:szCs w:val="22"/>
        </w:rPr>
        <w:t>. A proper disclaimer would indicate that</w:t>
      </w:r>
      <w:r w:rsidR="00FA368D" w:rsidRPr="00FA368D">
        <w:rPr>
          <w:szCs w:val="22"/>
        </w:rPr>
        <w:t xml:space="preserve"> </w:t>
      </w:r>
      <w:r w:rsidR="00A24204">
        <w:rPr>
          <w:szCs w:val="22"/>
        </w:rPr>
        <w:t xml:space="preserve">EPIC is </w:t>
      </w:r>
      <w:r w:rsidR="00FA368D" w:rsidRPr="00FA368D">
        <w:rPr>
          <w:szCs w:val="22"/>
        </w:rPr>
        <w:t>not an official part of the Classification</w:t>
      </w:r>
      <w:r w:rsidR="008F6616">
        <w:rPr>
          <w:szCs w:val="22"/>
        </w:rPr>
        <w:t>.</w:t>
      </w:r>
      <w:r w:rsidR="006474FD">
        <w:rPr>
          <w:szCs w:val="22"/>
        </w:rPr>
        <w:t xml:space="preserve"> The Committee noted that this feature would probably not be available before 2017.</w:t>
      </w:r>
    </w:p>
    <w:p w:rsidR="00155FEF" w:rsidRDefault="00155FEF" w:rsidP="00400D57">
      <w:pPr>
        <w:rPr>
          <w:szCs w:val="22"/>
        </w:rPr>
      </w:pPr>
    </w:p>
    <w:p w:rsidR="00400D57" w:rsidRPr="003A58E4" w:rsidRDefault="00400D57" w:rsidP="00400D57">
      <w:pPr>
        <w:rPr>
          <w:szCs w:val="22"/>
        </w:rPr>
      </w:pPr>
    </w:p>
    <w:p w:rsidR="004C1399" w:rsidRDefault="004C1399" w:rsidP="0064562E">
      <w:pPr>
        <w:spacing w:line="260" w:lineRule="exact"/>
        <w:rPr>
          <w:b/>
          <w:caps/>
          <w:szCs w:val="22"/>
        </w:rPr>
      </w:pPr>
      <w:r w:rsidRPr="004C1399">
        <w:rPr>
          <w:b/>
          <w:caps/>
          <w:szCs w:val="22"/>
        </w:rPr>
        <w:t xml:space="preserve">Procedures relating to the submission of proposals </w:t>
      </w:r>
      <w:r w:rsidR="00E6559E">
        <w:rPr>
          <w:b/>
          <w:caps/>
          <w:szCs w:val="22"/>
        </w:rPr>
        <w:t xml:space="preserve">AND ADOPTION OF DECISIONS </w:t>
      </w:r>
      <w:r w:rsidRPr="004C1399">
        <w:rPr>
          <w:b/>
          <w:caps/>
          <w:szCs w:val="22"/>
        </w:rPr>
        <w:t>through the electronic forum</w:t>
      </w:r>
    </w:p>
    <w:p w:rsidR="004C1399" w:rsidRPr="003A58E4" w:rsidRDefault="004C1399" w:rsidP="004C1399">
      <w:pPr>
        <w:spacing w:line="260" w:lineRule="exact"/>
        <w:rPr>
          <w:szCs w:val="22"/>
        </w:rPr>
      </w:pPr>
    </w:p>
    <w:p w:rsidR="004D3AF2" w:rsidRDefault="004D3AF2" w:rsidP="004D3AF2">
      <w:pPr>
        <w:rPr>
          <w:szCs w:val="22"/>
        </w:rPr>
      </w:pPr>
      <w:r>
        <w:rPr>
          <w:szCs w:val="22"/>
        </w:rPr>
        <w:fldChar w:fldCharType="begin"/>
      </w:r>
      <w:r>
        <w:rPr>
          <w:szCs w:val="22"/>
        </w:rPr>
        <w:instrText xml:space="preserve"> AUTONUM  </w:instrText>
      </w:r>
      <w:r>
        <w:rPr>
          <w:szCs w:val="22"/>
        </w:rPr>
        <w:fldChar w:fldCharType="end"/>
      </w:r>
      <w:r>
        <w:rPr>
          <w:szCs w:val="22"/>
        </w:rPr>
        <w:tab/>
      </w:r>
      <w:r w:rsidR="00F2510F" w:rsidRPr="00F2510F">
        <w:rPr>
          <w:szCs w:val="22"/>
        </w:rPr>
        <w:t xml:space="preserve">Discussions were based on project </w:t>
      </w:r>
      <w:hyperlink r:id="rId18" w:history="1">
        <w:r w:rsidR="00F2510F" w:rsidRPr="00F2510F">
          <w:rPr>
            <w:rStyle w:val="Hyperlink"/>
            <w:szCs w:val="22"/>
          </w:rPr>
          <w:t>LO123</w:t>
        </w:r>
      </w:hyperlink>
      <w:r w:rsidR="00F2510F" w:rsidRPr="00F2510F">
        <w:rPr>
          <w:szCs w:val="22"/>
        </w:rPr>
        <w:t xml:space="preserve">, </w:t>
      </w:r>
      <w:hyperlink r:id="rId19" w:history="1">
        <w:r w:rsidR="00F2510F" w:rsidRPr="00F2510F">
          <w:rPr>
            <w:rStyle w:val="Hyperlink"/>
            <w:szCs w:val="22"/>
          </w:rPr>
          <w:t>Annex 2</w:t>
        </w:r>
      </w:hyperlink>
      <w:r w:rsidRPr="004D3AF2">
        <w:rPr>
          <w:szCs w:val="22"/>
        </w:rPr>
        <w:t>, which contained a proposal by the IB concerning the procedure for submitting proposals for modifications to the Classification</w:t>
      </w:r>
      <w:r w:rsidR="00C03D53">
        <w:rPr>
          <w:szCs w:val="22"/>
        </w:rPr>
        <w:t xml:space="preserve"> and</w:t>
      </w:r>
      <w:r w:rsidR="00E6559E">
        <w:rPr>
          <w:szCs w:val="22"/>
        </w:rPr>
        <w:t xml:space="preserve"> </w:t>
      </w:r>
      <w:r w:rsidR="007150B3">
        <w:rPr>
          <w:szCs w:val="22"/>
        </w:rPr>
        <w:t>for</w:t>
      </w:r>
      <w:r w:rsidR="00E6559E">
        <w:rPr>
          <w:szCs w:val="22"/>
        </w:rPr>
        <w:t xml:space="preserve"> adopt</w:t>
      </w:r>
      <w:r w:rsidR="007150B3">
        <w:rPr>
          <w:szCs w:val="22"/>
        </w:rPr>
        <w:t>ing</w:t>
      </w:r>
      <w:r w:rsidR="006E180F">
        <w:rPr>
          <w:szCs w:val="22"/>
        </w:rPr>
        <w:t xml:space="preserve"> decisions by electronic means. </w:t>
      </w:r>
    </w:p>
    <w:p w:rsidR="00902533" w:rsidRPr="004D3AF2" w:rsidRDefault="00902533" w:rsidP="004D3AF2">
      <w:pPr>
        <w:rPr>
          <w:szCs w:val="22"/>
        </w:rPr>
      </w:pPr>
    </w:p>
    <w:p w:rsidR="004D3AF2" w:rsidRPr="004D3AF2" w:rsidRDefault="004D3AF2" w:rsidP="00902533">
      <w:pPr>
        <w:ind w:left="567"/>
        <w:rPr>
          <w:szCs w:val="22"/>
        </w:rPr>
      </w:pPr>
      <w:r w:rsidRPr="004D3AF2">
        <w:rPr>
          <w:szCs w:val="22"/>
        </w:rPr>
        <w:fldChar w:fldCharType="begin"/>
      </w:r>
      <w:r w:rsidRPr="004D3AF2">
        <w:rPr>
          <w:szCs w:val="22"/>
        </w:rPr>
        <w:instrText xml:space="preserve"> AUTONUM  </w:instrText>
      </w:r>
      <w:r w:rsidRPr="004D3AF2">
        <w:rPr>
          <w:szCs w:val="22"/>
        </w:rPr>
        <w:fldChar w:fldCharType="end"/>
      </w:r>
      <w:r w:rsidRPr="004D3AF2">
        <w:rPr>
          <w:szCs w:val="22"/>
        </w:rPr>
        <w:tab/>
        <w:t xml:space="preserve">The Committee </w:t>
      </w:r>
      <w:r w:rsidR="00C96D25">
        <w:rPr>
          <w:szCs w:val="22"/>
        </w:rPr>
        <w:t>agreed to the following</w:t>
      </w:r>
      <w:r w:rsidR="00C96D25" w:rsidRPr="004D3AF2">
        <w:rPr>
          <w:szCs w:val="22"/>
        </w:rPr>
        <w:t xml:space="preserve"> </w:t>
      </w:r>
      <w:r w:rsidRPr="004D3AF2">
        <w:rPr>
          <w:szCs w:val="22"/>
        </w:rPr>
        <w:t>procedure:</w:t>
      </w:r>
    </w:p>
    <w:p w:rsidR="004D3AF2" w:rsidRPr="004D3AF2" w:rsidRDefault="004D3AF2" w:rsidP="004D3AF2">
      <w:pPr>
        <w:rPr>
          <w:szCs w:val="22"/>
        </w:rPr>
      </w:pPr>
    </w:p>
    <w:p w:rsidR="004D3AF2" w:rsidRPr="00C96D25" w:rsidRDefault="004D3AF2" w:rsidP="009768A8">
      <w:pPr>
        <w:numPr>
          <w:ilvl w:val="1"/>
          <w:numId w:val="25"/>
        </w:numPr>
        <w:tabs>
          <w:tab w:val="clear" w:pos="1134"/>
          <w:tab w:val="num" w:pos="1701"/>
        </w:tabs>
        <w:ind w:left="1701" w:hanging="567"/>
        <w:rPr>
          <w:szCs w:val="22"/>
        </w:rPr>
      </w:pPr>
      <w:r w:rsidRPr="00C96D25">
        <w:rPr>
          <w:szCs w:val="22"/>
        </w:rPr>
        <w:t xml:space="preserve">The IB will send a circular letter inviting </w:t>
      </w:r>
      <w:r w:rsidR="00C96D25" w:rsidRPr="00C96D25">
        <w:rPr>
          <w:szCs w:val="22"/>
        </w:rPr>
        <w:t xml:space="preserve">the IP Offices of </w:t>
      </w:r>
      <w:r w:rsidR="00EF1816">
        <w:rPr>
          <w:szCs w:val="22"/>
        </w:rPr>
        <w:t xml:space="preserve">countries members of the </w:t>
      </w:r>
      <w:r w:rsidR="00C96D25" w:rsidRPr="00C96D25">
        <w:rPr>
          <w:szCs w:val="22"/>
        </w:rPr>
        <w:t xml:space="preserve">Locarno Union </w:t>
      </w:r>
      <w:r w:rsidRPr="00C96D25">
        <w:rPr>
          <w:szCs w:val="22"/>
        </w:rPr>
        <w:t>to submit proposals for modifications to the Classification</w:t>
      </w:r>
      <w:r w:rsidR="00C96D25" w:rsidRPr="00C96D25">
        <w:rPr>
          <w:szCs w:val="22"/>
        </w:rPr>
        <w:t xml:space="preserve"> on the e</w:t>
      </w:r>
      <w:r w:rsidR="00C96D25" w:rsidRPr="00C96D25">
        <w:rPr>
          <w:szCs w:val="22"/>
        </w:rPr>
        <w:noBreakHyphen/>
        <w:t>forum</w:t>
      </w:r>
      <w:r w:rsidRPr="00C96D25">
        <w:rPr>
          <w:szCs w:val="22"/>
        </w:rPr>
        <w:t xml:space="preserve">.  </w:t>
      </w:r>
      <w:r w:rsidR="00C96D25" w:rsidRPr="00C96D25">
        <w:rPr>
          <w:szCs w:val="22"/>
        </w:rPr>
        <w:t>The deadline for submitting proposals will be fixed at four to five months before the date of the session</w:t>
      </w:r>
      <w:r w:rsidRPr="00C96D25">
        <w:rPr>
          <w:szCs w:val="22"/>
        </w:rPr>
        <w:t>.</w:t>
      </w:r>
      <w:r w:rsidRPr="00C96D25">
        <w:rPr>
          <w:szCs w:val="22"/>
        </w:rPr>
        <w:br/>
      </w:r>
    </w:p>
    <w:p w:rsidR="004D3AF2" w:rsidRPr="001E4C8B" w:rsidRDefault="001E4C8B" w:rsidP="009768A8">
      <w:pPr>
        <w:numPr>
          <w:ilvl w:val="1"/>
          <w:numId w:val="25"/>
        </w:numPr>
        <w:tabs>
          <w:tab w:val="clear" w:pos="1134"/>
          <w:tab w:val="num" w:pos="1701"/>
        </w:tabs>
        <w:ind w:left="1701" w:hanging="567"/>
        <w:rPr>
          <w:szCs w:val="22"/>
        </w:rPr>
      </w:pPr>
      <w:r w:rsidRPr="001E4C8B">
        <w:rPr>
          <w:szCs w:val="22"/>
        </w:rPr>
        <w:t xml:space="preserve">Once all proposals have been posted on the e-forum, the IB will create individual </w:t>
      </w:r>
      <w:r w:rsidR="004D3AF2" w:rsidRPr="001E4C8B">
        <w:rPr>
          <w:szCs w:val="22"/>
        </w:rPr>
        <w:t xml:space="preserve">projects for each </w:t>
      </w:r>
      <w:r w:rsidRPr="001E4C8B">
        <w:rPr>
          <w:szCs w:val="22"/>
        </w:rPr>
        <w:t>proposing Office</w:t>
      </w:r>
      <w:r w:rsidR="004D3AF2" w:rsidRPr="001E4C8B">
        <w:rPr>
          <w:szCs w:val="22"/>
        </w:rPr>
        <w:t>.</w:t>
      </w:r>
      <w:r w:rsidR="004D3AF2" w:rsidRPr="001E4C8B">
        <w:rPr>
          <w:szCs w:val="22"/>
        </w:rPr>
        <w:br/>
      </w:r>
    </w:p>
    <w:p w:rsidR="004D3AF2" w:rsidRPr="001E4C8B" w:rsidRDefault="001E4C8B" w:rsidP="009768A8">
      <w:pPr>
        <w:numPr>
          <w:ilvl w:val="1"/>
          <w:numId w:val="25"/>
        </w:numPr>
        <w:tabs>
          <w:tab w:val="clear" w:pos="1134"/>
          <w:tab w:val="num" w:pos="1701"/>
        </w:tabs>
        <w:ind w:left="1701" w:hanging="567"/>
        <w:rPr>
          <w:szCs w:val="22"/>
        </w:rPr>
      </w:pPr>
      <w:r w:rsidRPr="001E4C8B">
        <w:rPr>
          <w:szCs w:val="22"/>
        </w:rPr>
        <w:t>T</w:t>
      </w:r>
      <w:r w:rsidR="004D3AF2" w:rsidRPr="001E4C8B">
        <w:rPr>
          <w:szCs w:val="22"/>
        </w:rPr>
        <w:t xml:space="preserve">he deadline for </w:t>
      </w:r>
      <w:r w:rsidRPr="001E4C8B">
        <w:rPr>
          <w:szCs w:val="22"/>
        </w:rPr>
        <w:t xml:space="preserve">the submission of proposals will be followed by a four-week period </w:t>
      </w:r>
      <w:r w:rsidR="006474FD">
        <w:rPr>
          <w:szCs w:val="22"/>
        </w:rPr>
        <w:t>during</w:t>
      </w:r>
      <w:r w:rsidR="006474FD" w:rsidRPr="001E4C8B">
        <w:rPr>
          <w:szCs w:val="22"/>
        </w:rPr>
        <w:t xml:space="preserve"> </w:t>
      </w:r>
      <w:r w:rsidRPr="001E4C8B">
        <w:rPr>
          <w:szCs w:val="22"/>
        </w:rPr>
        <w:t>which members of the Locarno Union</w:t>
      </w:r>
      <w:r w:rsidR="006474FD">
        <w:rPr>
          <w:szCs w:val="22"/>
        </w:rPr>
        <w:t>, observers</w:t>
      </w:r>
      <w:r w:rsidRPr="001E4C8B">
        <w:rPr>
          <w:szCs w:val="22"/>
        </w:rPr>
        <w:t xml:space="preserve"> and the IB will be able to post comments on submitted proposals.</w:t>
      </w:r>
      <w:r w:rsidR="004D3AF2" w:rsidRPr="001E4C8B">
        <w:rPr>
          <w:szCs w:val="22"/>
        </w:rPr>
        <w:br/>
      </w:r>
    </w:p>
    <w:p w:rsidR="006D10A0" w:rsidRDefault="006D10A0">
      <w:pPr>
        <w:rPr>
          <w:sz w:val="23"/>
          <w:szCs w:val="23"/>
        </w:rPr>
      </w:pPr>
      <w:r>
        <w:rPr>
          <w:sz w:val="23"/>
          <w:szCs w:val="23"/>
        </w:rPr>
        <w:br w:type="page"/>
      </w:r>
    </w:p>
    <w:p w:rsidR="001E4C8B" w:rsidRDefault="00C03D53" w:rsidP="009768A8">
      <w:pPr>
        <w:numPr>
          <w:ilvl w:val="1"/>
          <w:numId w:val="25"/>
        </w:numPr>
        <w:tabs>
          <w:tab w:val="clear" w:pos="1134"/>
          <w:tab w:val="num" w:pos="1701"/>
        </w:tabs>
        <w:ind w:left="1701" w:hanging="567"/>
        <w:rPr>
          <w:sz w:val="23"/>
          <w:szCs w:val="23"/>
        </w:rPr>
      </w:pPr>
      <w:r>
        <w:rPr>
          <w:sz w:val="23"/>
          <w:szCs w:val="23"/>
        </w:rPr>
        <w:lastRenderedPageBreak/>
        <w:t>The p</w:t>
      </w:r>
      <w:r w:rsidR="001E4C8B">
        <w:rPr>
          <w:sz w:val="23"/>
          <w:szCs w:val="23"/>
        </w:rPr>
        <w:t>roposing Offices will then have a two-week period for responding to comments. During this period, a proposing Office may modify or withdraw any of its proposals as a consequence of the remarks received from other Offices, explain or justify its proposals or simply not react at all, in which case the IB will consider that the original proposal is maintained. It should be noted that it will not be possible to submit new proposals during this period, i.e. proposals that have no relation to the original ones.</w:t>
      </w:r>
      <w:r w:rsidR="001E4C8B">
        <w:rPr>
          <w:sz w:val="23"/>
          <w:szCs w:val="23"/>
        </w:rPr>
        <w:br/>
      </w:r>
    </w:p>
    <w:p w:rsidR="00B72B6A" w:rsidRPr="00B72B6A" w:rsidRDefault="001E4C8B" w:rsidP="00B72B6A">
      <w:pPr>
        <w:numPr>
          <w:ilvl w:val="1"/>
          <w:numId w:val="25"/>
        </w:numPr>
        <w:tabs>
          <w:tab w:val="clear" w:pos="1134"/>
          <w:tab w:val="num" w:pos="1701"/>
        </w:tabs>
        <w:ind w:left="1701" w:hanging="567"/>
        <w:rPr>
          <w:szCs w:val="22"/>
        </w:rPr>
      </w:pPr>
      <w:r w:rsidRPr="00B72B6A">
        <w:rPr>
          <w:sz w:val="23"/>
          <w:szCs w:val="23"/>
        </w:rPr>
        <w:t>After the two-week period mentioned in the previous paragraph, all proposals, in their original form if they are maintained, or in their modified form if they are modified by the proposing Office, will be included in the final working documents for the session and translated by the IB into either English or French, depending on the original language of the proposal. In accordance with Article</w:t>
      </w:r>
      <w:r w:rsidR="0066049C" w:rsidRPr="00B72B6A">
        <w:rPr>
          <w:sz w:val="23"/>
          <w:szCs w:val="23"/>
        </w:rPr>
        <w:t> </w:t>
      </w:r>
      <w:r w:rsidRPr="00B72B6A">
        <w:rPr>
          <w:sz w:val="23"/>
          <w:szCs w:val="23"/>
        </w:rPr>
        <w:t xml:space="preserve">3(3) of the </w:t>
      </w:r>
      <w:hyperlink r:id="rId20" w:history="1">
        <w:r w:rsidR="00603863" w:rsidRPr="00B72B6A">
          <w:rPr>
            <w:rStyle w:val="Hyperlink"/>
            <w:sz w:val="23"/>
            <w:szCs w:val="23"/>
          </w:rPr>
          <w:t>Locarno Agreement</w:t>
        </w:r>
      </w:hyperlink>
      <w:r w:rsidRPr="00B72B6A">
        <w:rPr>
          <w:sz w:val="23"/>
          <w:szCs w:val="23"/>
        </w:rPr>
        <w:t>, the final working documents for the session must be available two months before the session.</w:t>
      </w:r>
      <w:r w:rsidR="00B72B6A" w:rsidRPr="00B72B6A">
        <w:rPr>
          <w:sz w:val="23"/>
          <w:szCs w:val="23"/>
        </w:rPr>
        <w:br/>
      </w:r>
    </w:p>
    <w:p w:rsidR="007524BB" w:rsidRPr="00B72B6A" w:rsidRDefault="002231C9" w:rsidP="00A713CD">
      <w:pPr>
        <w:numPr>
          <w:ilvl w:val="1"/>
          <w:numId w:val="25"/>
        </w:numPr>
        <w:tabs>
          <w:tab w:val="clear" w:pos="1134"/>
          <w:tab w:val="num" w:pos="1701"/>
        </w:tabs>
        <w:ind w:left="1701" w:hanging="567"/>
        <w:rPr>
          <w:szCs w:val="22"/>
        </w:rPr>
      </w:pPr>
      <w:r w:rsidRPr="00B72B6A">
        <w:rPr>
          <w:szCs w:val="22"/>
        </w:rPr>
        <w:t xml:space="preserve">The reports of </w:t>
      </w:r>
      <w:r w:rsidR="00DA2FF3" w:rsidRPr="00B72B6A">
        <w:rPr>
          <w:szCs w:val="22"/>
        </w:rPr>
        <w:t xml:space="preserve">the </w:t>
      </w:r>
      <w:r w:rsidRPr="00B72B6A">
        <w:rPr>
          <w:szCs w:val="22"/>
        </w:rPr>
        <w:t>C</w:t>
      </w:r>
      <w:r w:rsidR="000C065E" w:rsidRPr="00B72B6A">
        <w:rPr>
          <w:szCs w:val="22"/>
        </w:rPr>
        <w:t>E</w:t>
      </w:r>
      <w:r w:rsidRPr="00B72B6A">
        <w:rPr>
          <w:szCs w:val="22"/>
        </w:rPr>
        <w:t xml:space="preserve"> sessions will be adopted on the electronic forum. The Secretariat will establish and post the draft report on the electronic forum within a period of five working days as from the closing date of the respective sessions.  The participants in those sessions will then have five working days to submit comments on the draft report.  Within three working days after the deadline for comments and taking such comments into account, the Secretariat</w:t>
      </w:r>
      <w:r w:rsidR="00EF1816" w:rsidRPr="00B72B6A">
        <w:rPr>
          <w:szCs w:val="22"/>
        </w:rPr>
        <w:t xml:space="preserve"> and the Chair of the session</w:t>
      </w:r>
      <w:r w:rsidRPr="00B72B6A">
        <w:rPr>
          <w:szCs w:val="22"/>
        </w:rPr>
        <w:t xml:space="preserve"> will establish the final report</w:t>
      </w:r>
      <w:r w:rsidR="00EF1816" w:rsidRPr="00B72B6A">
        <w:rPr>
          <w:szCs w:val="22"/>
        </w:rPr>
        <w:t>,</w:t>
      </w:r>
      <w:r w:rsidRPr="00B72B6A">
        <w:rPr>
          <w:szCs w:val="22"/>
        </w:rPr>
        <w:t xml:space="preserve"> </w:t>
      </w:r>
      <w:r w:rsidR="00EF1816" w:rsidRPr="00B72B6A">
        <w:rPr>
          <w:szCs w:val="22"/>
        </w:rPr>
        <w:t>which will be</w:t>
      </w:r>
      <w:r w:rsidRPr="00B72B6A">
        <w:rPr>
          <w:szCs w:val="22"/>
        </w:rPr>
        <w:t xml:space="preserve"> publish</w:t>
      </w:r>
      <w:r w:rsidR="00EF1816" w:rsidRPr="00B72B6A">
        <w:rPr>
          <w:szCs w:val="22"/>
        </w:rPr>
        <w:t>ed</w:t>
      </w:r>
      <w:r w:rsidRPr="00B72B6A">
        <w:rPr>
          <w:szCs w:val="22"/>
        </w:rPr>
        <w:t xml:space="preserve"> on the electronic forum.  The report will then be considered as adopted by the CE and officially published</w:t>
      </w:r>
      <w:r w:rsidR="00EF1816" w:rsidRPr="00B72B6A">
        <w:rPr>
          <w:szCs w:val="22"/>
        </w:rPr>
        <w:t xml:space="preserve"> on the WIPO Website on the Internet</w:t>
      </w:r>
      <w:r w:rsidRPr="00B72B6A">
        <w:rPr>
          <w:szCs w:val="22"/>
        </w:rPr>
        <w:t>.</w:t>
      </w:r>
      <w:r w:rsidRPr="00B72B6A">
        <w:rPr>
          <w:sz w:val="23"/>
          <w:szCs w:val="23"/>
        </w:rPr>
        <w:br/>
      </w:r>
    </w:p>
    <w:p w:rsidR="0064562E" w:rsidRPr="007524BB" w:rsidRDefault="0064562E" w:rsidP="00A713CD">
      <w:pPr>
        <w:rPr>
          <w:szCs w:val="22"/>
        </w:rPr>
      </w:pPr>
    </w:p>
    <w:p w:rsidR="004C1399" w:rsidRDefault="004C1399" w:rsidP="004C1399">
      <w:pPr>
        <w:spacing w:line="260" w:lineRule="exact"/>
        <w:rPr>
          <w:b/>
          <w:caps/>
          <w:szCs w:val="22"/>
        </w:rPr>
      </w:pPr>
      <w:r w:rsidRPr="004C1399">
        <w:rPr>
          <w:b/>
          <w:caps/>
          <w:szCs w:val="22"/>
        </w:rPr>
        <w:t>Matters concerning the Locarno Pilot Group</w:t>
      </w:r>
    </w:p>
    <w:p w:rsidR="004C1399" w:rsidRPr="003A58E4" w:rsidRDefault="004C1399" w:rsidP="004C1399">
      <w:pPr>
        <w:spacing w:line="260" w:lineRule="exact"/>
        <w:rPr>
          <w:szCs w:val="22"/>
        </w:rPr>
      </w:pPr>
    </w:p>
    <w:p w:rsidR="00AD53DA" w:rsidRDefault="00EC5760" w:rsidP="00A713CD">
      <w:pPr>
        <w:rPr>
          <w:szCs w:val="22"/>
        </w:rPr>
      </w:pPr>
      <w:r>
        <w:rPr>
          <w:szCs w:val="22"/>
        </w:rPr>
        <w:fldChar w:fldCharType="begin"/>
      </w:r>
      <w:r>
        <w:rPr>
          <w:szCs w:val="22"/>
        </w:rPr>
        <w:instrText xml:space="preserve"> AUTONUM  </w:instrText>
      </w:r>
      <w:r>
        <w:rPr>
          <w:szCs w:val="22"/>
        </w:rPr>
        <w:fldChar w:fldCharType="end"/>
      </w:r>
      <w:r>
        <w:rPr>
          <w:szCs w:val="22"/>
        </w:rPr>
        <w:tab/>
      </w:r>
      <w:r w:rsidR="00AD53DA" w:rsidRPr="00F2510F">
        <w:rPr>
          <w:szCs w:val="22"/>
        </w:rPr>
        <w:t xml:space="preserve">Discussions were based on project </w:t>
      </w:r>
      <w:hyperlink r:id="rId21" w:history="1">
        <w:r w:rsidR="00AD53DA" w:rsidRPr="00F2510F">
          <w:rPr>
            <w:rStyle w:val="Hyperlink"/>
            <w:szCs w:val="22"/>
          </w:rPr>
          <w:t>LO123</w:t>
        </w:r>
      </w:hyperlink>
      <w:r w:rsidR="00AD53DA" w:rsidRPr="00F2510F">
        <w:rPr>
          <w:szCs w:val="22"/>
        </w:rPr>
        <w:t xml:space="preserve">, </w:t>
      </w:r>
      <w:hyperlink r:id="rId22" w:history="1">
        <w:r w:rsidR="00AD53DA" w:rsidRPr="00AD53DA">
          <w:rPr>
            <w:rStyle w:val="Hyperlink"/>
            <w:szCs w:val="22"/>
          </w:rPr>
          <w:t>Annex 3</w:t>
        </w:r>
      </w:hyperlink>
      <w:r w:rsidR="00AD53DA" w:rsidRPr="004D3AF2">
        <w:rPr>
          <w:szCs w:val="22"/>
        </w:rPr>
        <w:t xml:space="preserve">, which contained a proposal by the IB concerning </w:t>
      </w:r>
      <w:r w:rsidR="00AD53DA">
        <w:rPr>
          <w:szCs w:val="22"/>
        </w:rPr>
        <w:t>matters related to the Locarno Pilot Group.</w:t>
      </w:r>
    </w:p>
    <w:p w:rsidR="00AD53DA" w:rsidRDefault="00AD53DA" w:rsidP="00A713CD">
      <w:pPr>
        <w:rPr>
          <w:szCs w:val="22"/>
        </w:rPr>
      </w:pPr>
    </w:p>
    <w:p w:rsidR="007954E3" w:rsidRDefault="00AD53DA" w:rsidP="00AD53DA">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Pr>
          <w:szCs w:val="22"/>
        </w:rPr>
        <w:t>agreed t</w:t>
      </w:r>
      <w:r w:rsidR="00230AC0">
        <w:rPr>
          <w:szCs w:val="22"/>
        </w:rPr>
        <w:t>hat the Locarno Pilot Group be discontinued.</w:t>
      </w:r>
    </w:p>
    <w:p w:rsidR="005C474D" w:rsidRDefault="005C474D" w:rsidP="00A713CD">
      <w:pPr>
        <w:rPr>
          <w:szCs w:val="22"/>
        </w:rPr>
      </w:pPr>
    </w:p>
    <w:p w:rsidR="0064562E" w:rsidRDefault="0064562E" w:rsidP="00A713CD">
      <w:pPr>
        <w:rPr>
          <w:szCs w:val="22"/>
        </w:rPr>
      </w:pPr>
    </w:p>
    <w:p w:rsidR="00E6559E" w:rsidRPr="0064562E" w:rsidRDefault="00E6559E" w:rsidP="00E6559E">
      <w:pPr>
        <w:rPr>
          <w:b/>
          <w:szCs w:val="22"/>
        </w:rPr>
      </w:pPr>
      <w:proofErr w:type="gramStart"/>
      <w:r w:rsidRPr="0064562E">
        <w:rPr>
          <w:b/>
          <w:szCs w:val="22"/>
        </w:rPr>
        <w:t>PUBLICATION OF THE NEW EDITION.</w:t>
      </w:r>
      <w:proofErr w:type="gramEnd"/>
      <w:r w:rsidRPr="0064562E">
        <w:rPr>
          <w:b/>
          <w:szCs w:val="22"/>
        </w:rPr>
        <w:t xml:space="preserve"> ENTRY INTO FORCE OF THE COMMITTEE’S DECISIONS</w:t>
      </w:r>
    </w:p>
    <w:p w:rsidR="00E6559E" w:rsidRDefault="00E6559E" w:rsidP="00E6559E">
      <w:pPr>
        <w:rPr>
          <w:szCs w:val="22"/>
        </w:rPr>
      </w:pPr>
    </w:p>
    <w:p w:rsidR="00E6559E" w:rsidRDefault="00E6559E" w:rsidP="00E6559E">
      <w:pPr>
        <w:rPr>
          <w:szCs w:val="22"/>
        </w:rPr>
      </w:pPr>
      <w:r>
        <w:rPr>
          <w:szCs w:val="22"/>
        </w:rPr>
        <w:fldChar w:fldCharType="begin"/>
      </w:r>
      <w:r>
        <w:rPr>
          <w:szCs w:val="22"/>
        </w:rPr>
        <w:instrText xml:space="preserve"> AUTONUM  </w:instrText>
      </w:r>
      <w:r>
        <w:rPr>
          <w:szCs w:val="22"/>
        </w:rPr>
        <w:fldChar w:fldCharType="end"/>
      </w:r>
      <w:r>
        <w:rPr>
          <w:szCs w:val="22"/>
        </w:rPr>
        <w:tab/>
        <w:t>The Committee noted that the I</w:t>
      </w:r>
      <w:r w:rsidR="005D69EC">
        <w:rPr>
          <w:szCs w:val="22"/>
        </w:rPr>
        <w:t>B</w:t>
      </w:r>
      <w:r>
        <w:rPr>
          <w:szCs w:val="22"/>
        </w:rPr>
        <w:t xml:space="preserve"> would prepare and publish online the new (eleventh) edition of the Classification, in English and in French, in December 2016.</w:t>
      </w:r>
    </w:p>
    <w:p w:rsidR="00E6559E" w:rsidRDefault="00E6559E" w:rsidP="00E6559E">
      <w:pPr>
        <w:rPr>
          <w:szCs w:val="22"/>
        </w:rPr>
      </w:pPr>
    </w:p>
    <w:p w:rsidR="00E6559E" w:rsidRDefault="00E6559E" w:rsidP="00E6559E">
      <w:pPr>
        <w:ind w:left="567"/>
        <w:rPr>
          <w:szCs w:val="22"/>
        </w:rPr>
      </w:pPr>
      <w:r>
        <w:rPr>
          <w:szCs w:val="22"/>
        </w:rPr>
        <w:fldChar w:fldCharType="begin"/>
      </w:r>
      <w:r>
        <w:rPr>
          <w:szCs w:val="22"/>
        </w:rPr>
        <w:instrText xml:space="preserve"> AUTONUM  </w:instrText>
      </w:r>
      <w:r>
        <w:rPr>
          <w:szCs w:val="22"/>
        </w:rPr>
        <w:fldChar w:fldCharType="end"/>
      </w:r>
      <w:r>
        <w:rPr>
          <w:szCs w:val="22"/>
        </w:rPr>
        <w:tab/>
        <w:t>The Committee agreed that amendments and additions to the tenth edition of the Classification would enter into force on January 1, 2017.</w:t>
      </w:r>
    </w:p>
    <w:p w:rsidR="00BD5FCE" w:rsidRDefault="00BD5FCE" w:rsidP="00A713CD">
      <w:pPr>
        <w:rPr>
          <w:szCs w:val="22"/>
        </w:rPr>
      </w:pPr>
    </w:p>
    <w:p w:rsidR="0064562E" w:rsidRDefault="0064562E" w:rsidP="00A713CD">
      <w:pPr>
        <w:rPr>
          <w:szCs w:val="22"/>
        </w:rPr>
      </w:pPr>
    </w:p>
    <w:p w:rsidR="00A713CD" w:rsidRDefault="00E6559E" w:rsidP="00013EC7">
      <w:pPr>
        <w:spacing w:line="260" w:lineRule="exact"/>
        <w:rPr>
          <w:b/>
          <w:caps/>
          <w:szCs w:val="22"/>
        </w:rPr>
      </w:pPr>
      <w:proofErr w:type="gramStart"/>
      <w:r>
        <w:rPr>
          <w:b/>
          <w:caps/>
          <w:szCs w:val="22"/>
        </w:rPr>
        <w:t>LENGTH OF REVISION PERIODS.</w:t>
      </w:r>
      <w:proofErr w:type="gramEnd"/>
      <w:r>
        <w:rPr>
          <w:b/>
          <w:caps/>
          <w:szCs w:val="22"/>
        </w:rPr>
        <w:t xml:space="preserve"> </w:t>
      </w:r>
      <w:r w:rsidR="00A713CD" w:rsidRPr="00013EC7">
        <w:rPr>
          <w:b/>
          <w:caps/>
          <w:szCs w:val="22"/>
        </w:rPr>
        <w:t>NEXT SESSION OF THE committee</w:t>
      </w:r>
    </w:p>
    <w:p w:rsidR="00511E07" w:rsidRDefault="00511E07" w:rsidP="00511E07">
      <w:pPr>
        <w:spacing w:line="260" w:lineRule="exact"/>
        <w:rPr>
          <w:caps/>
          <w:szCs w:val="22"/>
        </w:rPr>
      </w:pPr>
    </w:p>
    <w:p w:rsidR="00E6559E" w:rsidRDefault="00E6559E" w:rsidP="00E6559E">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r>
      <w:r w:rsidRPr="003A58E4">
        <w:rPr>
          <w:szCs w:val="22"/>
        </w:rPr>
        <w:t xml:space="preserve">Discussions were based on project </w:t>
      </w:r>
      <w:hyperlink r:id="rId23" w:history="1">
        <w:r w:rsidRPr="00025858">
          <w:rPr>
            <w:rStyle w:val="Hyperlink"/>
            <w:szCs w:val="22"/>
          </w:rPr>
          <w:t>LO123</w:t>
        </w:r>
      </w:hyperlink>
      <w:r>
        <w:rPr>
          <w:szCs w:val="22"/>
        </w:rPr>
        <w:t xml:space="preserve">, </w:t>
      </w:r>
      <w:hyperlink r:id="rId24" w:history="1">
        <w:r w:rsidRPr="00025858">
          <w:rPr>
            <w:rStyle w:val="Hyperlink"/>
            <w:szCs w:val="22"/>
          </w:rPr>
          <w:t>Annex 1</w:t>
        </w:r>
      </w:hyperlink>
      <w:r>
        <w:rPr>
          <w:szCs w:val="22"/>
        </w:rPr>
        <w:t>,</w:t>
      </w:r>
      <w:r w:rsidRPr="003A58E4">
        <w:rPr>
          <w:szCs w:val="22"/>
        </w:rPr>
        <w:t xml:space="preserve"> </w:t>
      </w:r>
      <w:r w:rsidRPr="000922FE">
        <w:rPr>
          <w:szCs w:val="22"/>
        </w:rPr>
        <w:t xml:space="preserve">paragraphs </w:t>
      </w:r>
      <w:r>
        <w:rPr>
          <w:szCs w:val="22"/>
        </w:rPr>
        <w:t>8</w:t>
      </w:r>
      <w:r w:rsidRPr="000922FE">
        <w:rPr>
          <w:szCs w:val="22"/>
        </w:rPr>
        <w:t xml:space="preserve"> and </w:t>
      </w:r>
      <w:r>
        <w:rPr>
          <w:szCs w:val="22"/>
        </w:rPr>
        <w:t>9, concerning the length of revision periods.</w:t>
      </w:r>
    </w:p>
    <w:p w:rsidR="00E6559E" w:rsidRDefault="00E6559E" w:rsidP="00E6559E">
      <w:pPr>
        <w:spacing w:line="260" w:lineRule="exact"/>
        <w:rPr>
          <w:szCs w:val="22"/>
        </w:rPr>
      </w:pPr>
    </w:p>
    <w:p w:rsidR="00E6559E" w:rsidRDefault="00E6559E" w:rsidP="00E6559E">
      <w:pPr>
        <w:spacing w:line="260" w:lineRule="exact"/>
        <w:ind w:left="550"/>
        <w:rPr>
          <w:szCs w:val="22"/>
        </w:rPr>
      </w:pPr>
      <w:r w:rsidRPr="003A58E4">
        <w:rPr>
          <w:szCs w:val="22"/>
        </w:rPr>
        <w:lastRenderedPageBreak/>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Pr>
          <w:szCs w:val="22"/>
        </w:rPr>
        <w:t xml:space="preserve">agreed </w:t>
      </w:r>
      <w:r w:rsidRPr="000922FE">
        <w:rPr>
          <w:szCs w:val="22"/>
        </w:rPr>
        <w:t>that</w:t>
      </w:r>
      <w:r>
        <w:rPr>
          <w:szCs w:val="22"/>
        </w:rPr>
        <w:t xml:space="preserve"> the length of each revision period should not be fixed</w:t>
      </w:r>
      <w:r w:rsidR="00A97615">
        <w:rPr>
          <w:szCs w:val="22"/>
        </w:rPr>
        <w:t>,</w:t>
      </w:r>
      <w:r>
        <w:rPr>
          <w:szCs w:val="22"/>
        </w:rPr>
        <w:t xml:space="preserve"> but  </w:t>
      </w:r>
      <w:r w:rsidR="00A97615">
        <w:rPr>
          <w:szCs w:val="22"/>
        </w:rPr>
        <w:t xml:space="preserve">should </w:t>
      </w:r>
      <w:r>
        <w:rPr>
          <w:szCs w:val="22"/>
        </w:rPr>
        <w:t>be decided at the sessions of the Committee and that the next (thirteenth) session would be held in Geneva in the second half of 2017.</w:t>
      </w:r>
    </w:p>
    <w:p w:rsidR="0064562E" w:rsidRPr="003A58E4" w:rsidRDefault="0064562E" w:rsidP="00A713CD">
      <w:pPr>
        <w:rPr>
          <w:szCs w:val="22"/>
        </w:rPr>
      </w:pPr>
    </w:p>
    <w:p w:rsidR="0064562E" w:rsidRPr="0064562E" w:rsidRDefault="0064562E" w:rsidP="00013EC7">
      <w:pPr>
        <w:spacing w:line="260" w:lineRule="exact"/>
        <w:rPr>
          <w:caps/>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64562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A713CD" w:rsidRDefault="00A713CD" w:rsidP="0064562E">
      <w:pPr>
        <w:pStyle w:val="BodyText"/>
        <w:spacing w:after="0"/>
        <w:ind w:right="-1"/>
        <w:rPr>
          <w:szCs w:val="22"/>
        </w:rPr>
      </w:pPr>
    </w:p>
    <w:p w:rsidR="009D61C7" w:rsidRPr="00C007F4" w:rsidRDefault="009D61C7" w:rsidP="009D61C7">
      <w:pPr>
        <w:pStyle w:val="DecisionInvitingPara"/>
        <w:rPr>
          <w:sz w:val="22"/>
          <w:szCs w:val="22"/>
        </w:rPr>
      </w:pPr>
      <w:r>
        <w:rPr>
          <w:sz w:val="22"/>
          <w:szCs w:val="22"/>
        </w:rPr>
        <w:t>27</w:t>
      </w:r>
      <w:r w:rsidRPr="00C007F4">
        <w:rPr>
          <w:sz w:val="22"/>
          <w:szCs w:val="22"/>
        </w:rPr>
        <w:t>.</w:t>
      </w:r>
      <w:r w:rsidRPr="00C007F4">
        <w:rPr>
          <w:sz w:val="22"/>
          <w:szCs w:val="22"/>
        </w:rPr>
        <w:tab/>
        <w:t xml:space="preserve">The Committee of Experts unanimously adopted this report by electronic means on </w:t>
      </w:r>
      <w:r>
        <w:rPr>
          <w:sz w:val="22"/>
          <w:szCs w:val="22"/>
        </w:rPr>
        <w:t>November </w:t>
      </w:r>
      <w:r w:rsidR="00D95055">
        <w:rPr>
          <w:sz w:val="22"/>
          <w:szCs w:val="22"/>
        </w:rPr>
        <w:t>1</w:t>
      </w:r>
      <w:r w:rsidR="003038D7">
        <w:rPr>
          <w:sz w:val="22"/>
          <w:szCs w:val="22"/>
        </w:rPr>
        <w:t>9</w:t>
      </w:r>
      <w:r>
        <w:rPr>
          <w:sz w:val="22"/>
          <w:szCs w:val="22"/>
        </w:rPr>
        <w:t>, 2015</w:t>
      </w:r>
      <w:r w:rsidRPr="00C007F4">
        <w:rPr>
          <w:sz w:val="22"/>
          <w:szCs w:val="22"/>
        </w:rPr>
        <w:t>.</w:t>
      </w:r>
    </w:p>
    <w:p w:rsidR="0064562E" w:rsidRDefault="0064562E" w:rsidP="0064562E">
      <w:pPr>
        <w:pStyle w:val="BodyText"/>
        <w:spacing w:after="0"/>
        <w:ind w:right="-1"/>
        <w:rPr>
          <w:szCs w:val="22"/>
        </w:rPr>
      </w:pPr>
    </w:p>
    <w:p w:rsidR="00A713CD" w:rsidRPr="003A58E4" w:rsidRDefault="00A713CD" w:rsidP="0064562E">
      <w:pPr>
        <w:pStyle w:val="Endofdocument"/>
        <w:spacing w:after="0" w:line="240" w:lineRule="auto"/>
        <w:rPr>
          <w:sz w:val="22"/>
          <w:szCs w:val="22"/>
        </w:rPr>
      </w:pPr>
      <w:r w:rsidRPr="003A58E4">
        <w:rPr>
          <w:sz w:val="22"/>
          <w:szCs w:val="22"/>
        </w:rPr>
        <w:t>[Annexes follow]</w:t>
      </w:r>
    </w:p>
    <w:sectPr w:rsidR="00A713CD" w:rsidRPr="003A58E4" w:rsidSect="00903948">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w:t>
    </w:r>
    <w:r w:rsidR="004C1399">
      <w:t>EL</w:t>
    </w:r>
    <w:r>
      <w:t>/</w:t>
    </w:r>
    <w:r w:rsidR="004C1399">
      <w:t>12</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9D40BD">
      <w:rPr>
        <w:noProof/>
      </w:rPr>
      <w:t>6</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4"/>
  </w:num>
  <w:num w:numId="2">
    <w:abstractNumId w:val="14"/>
  </w:num>
  <w:num w:numId="3">
    <w:abstractNumId w:val="0"/>
  </w:num>
  <w:num w:numId="4">
    <w:abstractNumId w:val="16"/>
  </w:num>
  <w:num w:numId="5">
    <w:abstractNumId w:val="1"/>
  </w:num>
  <w:num w:numId="6">
    <w:abstractNumId w:val="5"/>
  </w:num>
  <w:num w:numId="7">
    <w:abstractNumId w:val="2"/>
  </w:num>
  <w:num w:numId="8">
    <w:abstractNumId w:val="18"/>
  </w:num>
  <w:num w:numId="9">
    <w:abstractNumId w:val="3"/>
  </w:num>
  <w:num w:numId="10">
    <w:abstractNumId w:val="17"/>
  </w:num>
  <w:num w:numId="11">
    <w:abstractNumId w:val="21"/>
  </w:num>
  <w:num w:numId="12">
    <w:abstractNumId w:val="24"/>
  </w:num>
  <w:num w:numId="13">
    <w:abstractNumId w:val="8"/>
  </w:num>
  <w:num w:numId="14">
    <w:abstractNumId w:val="15"/>
  </w:num>
  <w:num w:numId="15">
    <w:abstractNumId w:val="7"/>
  </w:num>
  <w:num w:numId="16">
    <w:abstractNumId w:val="12"/>
  </w:num>
  <w:num w:numId="17">
    <w:abstractNumId w:val="10"/>
  </w:num>
  <w:num w:numId="18">
    <w:abstractNumId w:val="20"/>
  </w:num>
  <w:num w:numId="19">
    <w:abstractNumId w:val="6"/>
  </w:num>
  <w:num w:numId="20">
    <w:abstractNumId w:val="19"/>
  </w:num>
  <w:num w:numId="21">
    <w:abstractNumId w:val="9"/>
  </w:num>
  <w:num w:numId="22">
    <w:abstractNumId w:val="23"/>
  </w:num>
  <w:num w:numId="23">
    <w:abstractNumId w:val="11"/>
  </w:num>
  <w:num w:numId="24">
    <w:abstractNumId w:val="25"/>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0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42C0"/>
    <w:rsid w:val="0000576F"/>
    <w:rsid w:val="00013EC7"/>
    <w:rsid w:val="00020961"/>
    <w:rsid w:val="00023BE3"/>
    <w:rsid w:val="00025858"/>
    <w:rsid w:val="000331EA"/>
    <w:rsid w:val="000352DF"/>
    <w:rsid w:val="00043CAA"/>
    <w:rsid w:val="0005216A"/>
    <w:rsid w:val="00053C6C"/>
    <w:rsid w:val="00055B5F"/>
    <w:rsid w:val="000655CA"/>
    <w:rsid w:val="00065C74"/>
    <w:rsid w:val="00066DA5"/>
    <w:rsid w:val="00067B36"/>
    <w:rsid w:val="00067CFD"/>
    <w:rsid w:val="00070280"/>
    <w:rsid w:val="00071219"/>
    <w:rsid w:val="00075432"/>
    <w:rsid w:val="00075FA3"/>
    <w:rsid w:val="000809E9"/>
    <w:rsid w:val="00081689"/>
    <w:rsid w:val="0008373D"/>
    <w:rsid w:val="00092141"/>
    <w:rsid w:val="000922FE"/>
    <w:rsid w:val="0009471F"/>
    <w:rsid w:val="000968ED"/>
    <w:rsid w:val="000B0218"/>
    <w:rsid w:val="000B07D9"/>
    <w:rsid w:val="000B4323"/>
    <w:rsid w:val="000C065E"/>
    <w:rsid w:val="000C379F"/>
    <w:rsid w:val="000D4DC3"/>
    <w:rsid w:val="000E0B4B"/>
    <w:rsid w:val="000E6B59"/>
    <w:rsid w:val="000F5E56"/>
    <w:rsid w:val="000F6970"/>
    <w:rsid w:val="00125B5F"/>
    <w:rsid w:val="0013284B"/>
    <w:rsid w:val="00133089"/>
    <w:rsid w:val="001362EE"/>
    <w:rsid w:val="00142529"/>
    <w:rsid w:val="001442B8"/>
    <w:rsid w:val="00155FEF"/>
    <w:rsid w:val="00157411"/>
    <w:rsid w:val="001601F2"/>
    <w:rsid w:val="001832A6"/>
    <w:rsid w:val="001952B5"/>
    <w:rsid w:val="001C3FE2"/>
    <w:rsid w:val="001C613E"/>
    <w:rsid w:val="001C6DCF"/>
    <w:rsid w:val="001D3752"/>
    <w:rsid w:val="001D3AEC"/>
    <w:rsid w:val="001E4C8B"/>
    <w:rsid w:val="001F47FF"/>
    <w:rsid w:val="001F7FD7"/>
    <w:rsid w:val="00201F06"/>
    <w:rsid w:val="00207F22"/>
    <w:rsid w:val="00211569"/>
    <w:rsid w:val="00214A27"/>
    <w:rsid w:val="002150AF"/>
    <w:rsid w:val="00215AB6"/>
    <w:rsid w:val="0022236E"/>
    <w:rsid w:val="0022248E"/>
    <w:rsid w:val="002231C9"/>
    <w:rsid w:val="00230AC0"/>
    <w:rsid w:val="002426FF"/>
    <w:rsid w:val="002427A9"/>
    <w:rsid w:val="002434A8"/>
    <w:rsid w:val="0024387E"/>
    <w:rsid w:val="00245BD4"/>
    <w:rsid w:val="0026253B"/>
    <w:rsid w:val="002634C4"/>
    <w:rsid w:val="00265674"/>
    <w:rsid w:val="002734E5"/>
    <w:rsid w:val="00282D4F"/>
    <w:rsid w:val="002928D3"/>
    <w:rsid w:val="002B4787"/>
    <w:rsid w:val="002D108C"/>
    <w:rsid w:val="002D1A71"/>
    <w:rsid w:val="002F1FE6"/>
    <w:rsid w:val="002F2C59"/>
    <w:rsid w:val="002F3D61"/>
    <w:rsid w:val="002F4E68"/>
    <w:rsid w:val="003038D7"/>
    <w:rsid w:val="0030487C"/>
    <w:rsid w:val="00305576"/>
    <w:rsid w:val="00305875"/>
    <w:rsid w:val="00312F7F"/>
    <w:rsid w:val="00313249"/>
    <w:rsid w:val="003216E2"/>
    <w:rsid w:val="00322243"/>
    <w:rsid w:val="00322D5F"/>
    <w:rsid w:val="00325E22"/>
    <w:rsid w:val="00343F38"/>
    <w:rsid w:val="00344B09"/>
    <w:rsid w:val="003453FA"/>
    <w:rsid w:val="00347976"/>
    <w:rsid w:val="00357A6C"/>
    <w:rsid w:val="00361450"/>
    <w:rsid w:val="00363AEA"/>
    <w:rsid w:val="003673CF"/>
    <w:rsid w:val="003742F7"/>
    <w:rsid w:val="003845C1"/>
    <w:rsid w:val="003A18EE"/>
    <w:rsid w:val="003A6F89"/>
    <w:rsid w:val="003B38C1"/>
    <w:rsid w:val="003C4968"/>
    <w:rsid w:val="003C6E56"/>
    <w:rsid w:val="003F48A2"/>
    <w:rsid w:val="00400D57"/>
    <w:rsid w:val="00401E0C"/>
    <w:rsid w:val="004079F5"/>
    <w:rsid w:val="004161CE"/>
    <w:rsid w:val="0042289E"/>
    <w:rsid w:val="00423E3E"/>
    <w:rsid w:val="0042407D"/>
    <w:rsid w:val="00424961"/>
    <w:rsid w:val="00427AF4"/>
    <w:rsid w:val="00437A9A"/>
    <w:rsid w:val="00440C1C"/>
    <w:rsid w:val="00446AF2"/>
    <w:rsid w:val="004647DA"/>
    <w:rsid w:val="004719A2"/>
    <w:rsid w:val="00474062"/>
    <w:rsid w:val="00477D6B"/>
    <w:rsid w:val="00481560"/>
    <w:rsid w:val="00484380"/>
    <w:rsid w:val="004845A0"/>
    <w:rsid w:val="004A3EF8"/>
    <w:rsid w:val="004A44A6"/>
    <w:rsid w:val="004A6335"/>
    <w:rsid w:val="004B0C63"/>
    <w:rsid w:val="004C1399"/>
    <w:rsid w:val="004C6FDF"/>
    <w:rsid w:val="004D3AF2"/>
    <w:rsid w:val="004D7984"/>
    <w:rsid w:val="004E44EE"/>
    <w:rsid w:val="004E5FDD"/>
    <w:rsid w:val="004F31B1"/>
    <w:rsid w:val="004F5A85"/>
    <w:rsid w:val="004F78C3"/>
    <w:rsid w:val="005019FF"/>
    <w:rsid w:val="005048D2"/>
    <w:rsid w:val="0050710B"/>
    <w:rsid w:val="00511E07"/>
    <w:rsid w:val="005225BE"/>
    <w:rsid w:val="00524741"/>
    <w:rsid w:val="0053057A"/>
    <w:rsid w:val="005315FF"/>
    <w:rsid w:val="0053203A"/>
    <w:rsid w:val="00540FE1"/>
    <w:rsid w:val="00547F14"/>
    <w:rsid w:val="00553FCE"/>
    <w:rsid w:val="00554081"/>
    <w:rsid w:val="00560A29"/>
    <w:rsid w:val="00563846"/>
    <w:rsid w:val="0057033B"/>
    <w:rsid w:val="00574D82"/>
    <w:rsid w:val="00581AD5"/>
    <w:rsid w:val="005907E5"/>
    <w:rsid w:val="005A2AE7"/>
    <w:rsid w:val="005A33B2"/>
    <w:rsid w:val="005A49F5"/>
    <w:rsid w:val="005A73A4"/>
    <w:rsid w:val="005B243C"/>
    <w:rsid w:val="005B31FF"/>
    <w:rsid w:val="005B6775"/>
    <w:rsid w:val="005C474D"/>
    <w:rsid w:val="005C6649"/>
    <w:rsid w:val="005D1B88"/>
    <w:rsid w:val="005D544B"/>
    <w:rsid w:val="005D69EC"/>
    <w:rsid w:val="005E45A3"/>
    <w:rsid w:val="006007B1"/>
    <w:rsid w:val="006010CC"/>
    <w:rsid w:val="006029A3"/>
    <w:rsid w:val="00603863"/>
    <w:rsid w:val="006044B5"/>
    <w:rsid w:val="00604B40"/>
    <w:rsid w:val="00605273"/>
    <w:rsid w:val="00605827"/>
    <w:rsid w:val="00614B14"/>
    <w:rsid w:val="00614B29"/>
    <w:rsid w:val="00616F1F"/>
    <w:rsid w:val="00625DED"/>
    <w:rsid w:val="00630DDD"/>
    <w:rsid w:val="006334F0"/>
    <w:rsid w:val="00636735"/>
    <w:rsid w:val="00642DB5"/>
    <w:rsid w:val="0064562E"/>
    <w:rsid w:val="00646050"/>
    <w:rsid w:val="006474FD"/>
    <w:rsid w:val="0066049C"/>
    <w:rsid w:val="006713CA"/>
    <w:rsid w:val="00672E13"/>
    <w:rsid w:val="00674127"/>
    <w:rsid w:val="00676C5C"/>
    <w:rsid w:val="006A2DC5"/>
    <w:rsid w:val="006A3AB5"/>
    <w:rsid w:val="006A5D2B"/>
    <w:rsid w:val="006B1001"/>
    <w:rsid w:val="006B4E62"/>
    <w:rsid w:val="006B6BBE"/>
    <w:rsid w:val="006C5832"/>
    <w:rsid w:val="006D0C92"/>
    <w:rsid w:val="006D10A0"/>
    <w:rsid w:val="006D3ABC"/>
    <w:rsid w:val="006E180F"/>
    <w:rsid w:val="006F648A"/>
    <w:rsid w:val="006F7852"/>
    <w:rsid w:val="00701028"/>
    <w:rsid w:val="007150B3"/>
    <w:rsid w:val="007152C8"/>
    <w:rsid w:val="00723632"/>
    <w:rsid w:val="00727ADB"/>
    <w:rsid w:val="0073171D"/>
    <w:rsid w:val="00734B29"/>
    <w:rsid w:val="007524BB"/>
    <w:rsid w:val="0075297A"/>
    <w:rsid w:val="0076043A"/>
    <w:rsid w:val="00761F97"/>
    <w:rsid w:val="00765AF5"/>
    <w:rsid w:val="00792EF8"/>
    <w:rsid w:val="007954E3"/>
    <w:rsid w:val="00795C20"/>
    <w:rsid w:val="007A378F"/>
    <w:rsid w:val="007A5731"/>
    <w:rsid w:val="007B2B97"/>
    <w:rsid w:val="007B336B"/>
    <w:rsid w:val="007C6A00"/>
    <w:rsid w:val="007D1613"/>
    <w:rsid w:val="007D2B95"/>
    <w:rsid w:val="007D556A"/>
    <w:rsid w:val="007D6F6F"/>
    <w:rsid w:val="007D7B27"/>
    <w:rsid w:val="007E1926"/>
    <w:rsid w:val="007F2833"/>
    <w:rsid w:val="007F6873"/>
    <w:rsid w:val="00801CE5"/>
    <w:rsid w:val="00804A8F"/>
    <w:rsid w:val="0081654E"/>
    <w:rsid w:val="0082026C"/>
    <w:rsid w:val="00823E7F"/>
    <w:rsid w:val="008319CD"/>
    <w:rsid w:val="008446C1"/>
    <w:rsid w:val="00850D69"/>
    <w:rsid w:val="00861690"/>
    <w:rsid w:val="0086280F"/>
    <w:rsid w:val="00864FAF"/>
    <w:rsid w:val="0086631E"/>
    <w:rsid w:val="008724A1"/>
    <w:rsid w:val="00872ECA"/>
    <w:rsid w:val="00877335"/>
    <w:rsid w:val="00881649"/>
    <w:rsid w:val="008A02A1"/>
    <w:rsid w:val="008A18AD"/>
    <w:rsid w:val="008A434A"/>
    <w:rsid w:val="008A4ADC"/>
    <w:rsid w:val="008A4B7A"/>
    <w:rsid w:val="008A697D"/>
    <w:rsid w:val="008B0A99"/>
    <w:rsid w:val="008B2CC1"/>
    <w:rsid w:val="008B5E94"/>
    <w:rsid w:val="008B60B2"/>
    <w:rsid w:val="008B64D5"/>
    <w:rsid w:val="008B7732"/>
    <w:rsid w:val="008D1172"/>
    <w:rsid w:val="008D37C2"/>
    <w:rsid w:val="008D592C"/>
    <w:rsid w:val="008F1B3C"/>
    <w:rsid w:val="008F3443"/>
    <w:rsid w:val="008F6616"/>
    <w:rsid w:val="00902533"/>
    <w:rsid w:val="00903948"/>
    <w:rsid w:val="00906F0A"/>
    <w:rsid w:val="0090731E"/>
    <w:rsid w:val="009134B7"/>
    <w:rsid w:val="00916D1C"/>
    <w:rsid w:val="00916EE2"/>
    <w:rsid w:val="0092302D"/>
    <w:rsid w:val="009555B8"/>
    <w:rsid w:val="00960CB7"/>
    <w:rsid w:val="00966A22"/>
    <w:rsid w:val="0096722F"/>
    <w:rsid w:val="00970337"/>
    <w:rsid w:val="00973B20"/>
    <w:rsid w:val="00976301"/>
    <w:rsid w:val="009768A8"/>
    <w:rsid w:val="009769B8"/>
    <w:rsid w:val="00980843"/>
    <w:rsid w:val="0098383C"/>
    <w:rsid w:val="0099069A"/>
    <w:rsid w:val="0099449B"/>
    <w:rsid w:val="009B03EC"/>
    <w:rsid w:val="009B0B6C"/>
    <w:rsid w:val="009B5F14"/>
    <w:rsid w:val="009C3441"/>
    <w:rsid w:val="009C5832"/>
    <w:rsid w:val="009C5957"/>
    <w:rsid w:val="009D28D3"/>
    <w:rsid w:val="009D309C"/>
    <w:rsid w:val="009D40BD"/>
    <w:rsid w:val="009D525C"/>
    <w:rsid w:val="009D61C7"/>
    <w:rsid w:val="009D7B8B"/>
    <w:rsid w:val="009E2791"/>
    <w:rsid w:val="009E3F6F"/>
    <w:rsid w:val="009E51A9"/>
    <w:rsid w:val="009E6309"/>
    <w:rsid w:val="009F499F"/>
    <w:rsid w:val="009F4E4F"/>
    <w:rsid w:val="00A00079"/>
    <w:rsid w:val="00A24204"/>
    <w:rsid w:val="00A31713"/>
    <w:rsid w:val="00A33395"/>
    <w:rsid w:val="00A355BC"/>
    <w:rsid w:val="00A41193"/>
    <w:rsid w:val="00A42DAF"/>
    <w:rsid w:val="00A45BD8"/>
    <w:rsid w:val="00A51C03"/>
    <w:rsid w:val="00A532CC"/>
    <w:rsid w:val="00A6151D"/>
    <w:rsid w:val="00A6499E"/>
    <w:rsid w:val="00A67C75"/>
    <w:rsid w:val="00A713CD"/>
    <w:rsid w:val="00A71C57"/>
    <w:rsid w:val="00A74CD2"/>
    <w:rsid w:val="00A8473A"/>
    <w:rsid w:val="00A869B7"/>
    <w:rsid w:val="00A914CE"/>
    <w:rsid w:val="00A93E2D"/>
    <w:rsid w:val="00A95D3F"/>
    <w:rsid w:val="00A97615"/>
    <w:rsid w:val="00AA2953"/>
    <w:rsid w:val="00AA47D6"/>
    <w:rsid w:val="00AC205C"/>
    <w:rsid w:val="00AC5F5D"/>
    <w:rsid w:val="00AD2B42"/>
    <w:rsid w:val="00AD364F"/>
    <w:rsid w:val="00AD53DA"/>
    <w:rsid w:val="00AD761F"/>
    <w:rsid w:val="00AE3031"/>
    <w:rsid w:val="00AF0A6B"/>
    <w:rsid w:val="00AF24F5"/>
    <w:rsid w:val="00AF5416"/>
    <w:rsid w:val="00B05A69"/>
    <w:rsid w:val="00B1174E"/>
    <w:rsid w:val="00B12EE7"/>
    <w:rsid w:val="00B14617"/>
    <w:rsid w:val="00B20DEF"/>
    <w:rsid w:val="00B22E15"/>
    <w:rsid w:val="00B263AE"/>
    <w:rsid w:val="00B33DBF"/>
    <w:rsid w:val="00B3416A"/>
    <w:rsid w:val="00B42549"/>
    <w:rsid w:val="00B43A5B"/>
    <w:rsid w:val="00B525BE"/>
    <w:rsid w:val="00B6007D"/>
    <w:rsid w:val="00B65E38"/>
    <w:rsid w:val="00B70D21"/>
    <w:rsid w:val="00B72B6A"/>
    <w:rsid w:val="00B947F1"/>
    <w:rsid w:val="00B94C4C"/>
    <w:rsid w:val="00B9734B"/>
    <w:rsid w:val="00BA0C42"/>
    <w:rsid w:val="00BA219A"/>
    <w:rsid w:val="00BA59BE"/>
    <w:rsid w:val="00BA5A11"/>
    <w:rsid w:val="00BB335E"/>
    <w:rsid w:val="00BC3E96"/>
    <w:rsid w:val="00BC4E28"/>
    <w:rsid w:val="00BD1850"/>
    <w:rsid w:val="00BD5FCE"/>
    <w:rsid w:val="00BF182E"/>
    <w:rsid w:val="00C03D53"/>
    <w:rsid w:val="00C0589C"/>
    <w:rsid w:val="00C11BFE"/>
    <w:rsid w:val="00C1395E"/>
    <w:rsid w:val="00C13BB7"/>
    <w:rsid w:val="00C21420"/>
    <w:rsid w:val="00C21A06"/>
    <w:rsid w:val="00C2339E"/>
    <w:rsid w:val="00C44366"/>
    <w:rsid w:val="00C50881"/>
    <w:rsid w:val="00C54D52"/>
    <w:rsid w:val="00C5665B"/>
    <w:rsid w:val="00C677BF"/>
    <w:rsid w:val="00C80DAB"/>
    <w:rsid w:val="00C84120"/>
    <w:rsid w:val="00C908B4"/>
    <w:rsid w:val="00C95D3D"/>
    <w:rsid w:val="00C96D25"/>
    <w:rsid w:val="00CA55C7"/>
    <w:rsid w:val="00CB275B"/>
    <w:rsid w:val="00CB4622"/>
    <w:rsid w:val="00CC1C6C"/>
    <w:rsid w:val="00CC7757"/>
    <w:rsid w:val="00D054A0"/>
    <w:rsid w:val="00D202FA"/>
    <w:rsid w:val="00D3075D"/>
    <w:rsid w:val="00D330C3"/>
    <w:rsid w:val="00D40043"/>
    <w:rsid w:val="00D40A5D"/>
    <w:rsid w:val="00D42879"/>
    <w:rsid w:val="00D42AB4"/>
    <w:rsid w:val="00D45252"/>
    <w:rsid w:val="00D468F7"/>
    <w:rsid w:val="00D54A8B"/>
    <w:rsid w:val="00D54A96"/>
    <w:rsid w:val="00D578B1"/>
    <w:rsid w:val="00D71B4D"/>
    <w:rsid w:val="00D93A49"/>
    <w:rsid w:val="00D93D55"/>
    <w:rsid w:val="00D95055"/>
    <w:rsid w:val="00DA1299"/>
    <w:rsid w:val="00DA2FF3"/>
    <w:rsid w:val="00DB5D8A"/>
    <w:rsid w:val="00DC74CF"/>
    <w:rsid w:val="00DD0786"/>
    <w:rsid w:val="00DD4BF1"/>
    <w:rsid w:val="00DD5390"/>
    <w:rsid w:val="00DE2126"/>
    <w:rsid w:val="00DE4165"/>
    <w:rsid w:val="00DF0DEC"/>
    <w:rsid w:val="00DF49FB"/>
    <w:rsid w:val="00E00D5D"/>
    <w:rsid w:val="00E014D5"/>
    <w:rsid w:val="00E12641"/>
    <w:rsid w:val="00E159B4"/>
    <w:rsid w:val="00E16E95"/>
    <w:rsid w:val="00E26D68"/>
    <w:rsid w:val="00E335FE"/>
    <w:rsid w:val="00E44FD5"/>
    <w:rsid w:val="00E45B58"/>
    <w:rsid w:val="00E51987"/>
    <w:rsid w:val="00E530F6"/>
    <w:rsid w:val="00E652B5"/>
    <w:rsid w:val="00E6559E"/>
    <w:rsid w:val="00E6778D"/>
    <w:rsid w:val="00E76B13"/>
    <w:rsid w:val="00E806B0"/>
    <w:rsid w:val="00E80D18"/>
    <w:rsid w:val="00E829F1"/>
    <w:rsid w:val="00E82FA4"/>
    <w:rsid w:val="00E90CE1"/>
    <w:rsid w:val="00EA5317"/>
    <w:rsid w:val="00EB4E3A"/>
    <w:rsid w:val="00EB67E1"/>
    <w:rsid w:val="00EC3AA3"/>
    <w:rsid w:val="00EC4E49"/>
    <w:rsid w:val="00EC4F84"/>
    <w:rsid w:val="00EC5760"/>
    <w:rsid w:val="00ED0FB6"/>
    <w:rsid w:val="00ED77FB"/>
    <w:rsid w:val="00EE3513"/>
    <w:rsid w:val="00EE45FA"/>
    <w:rsid w:val="00EE6700"/>
    <w:rsid w:val="00EF1816"/>
    <w:rsid w:val="00EF66E0"/>
    <w:rsid w:val="00F118C6"/>
    <w:rsid w:val="00F17AC9"/>
    <w:rsid w:val="00F25101"/>
    <w:rsid w:val="00F2510F"/>
    <w:rsid w:val="00F431A2"/>
    <w:rsid w:val="00F52CB7"/>
    <w:rsid w:val="00F6604D"/>
    <w:rsid w:val="00F66152"/>
    <w:rsid w:val="00F74BC6"/>
    <w:rsid w:val="00F74DD9"/>
    <w:rsid w:val="00F864DB"/>
    <w:rsid w:val="00FA368D"/>
    <w:rsid w:val="00FA4709"/>
    <w:rsid w:val="00FB4662"/>
    <w:rsid w:val="00FC4B87"/>
    <w:rsid w:val="00FD25D7"/>
    <w:rsid w:val="00FD5D7E"/>
    <w:rsid w:val="00FE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9D61C7"/>
    <w:pPr>
      <w:spacing w:after="120" w:line="260" w:lineRule="atLeast"/>
      <w:ind w:left="5534"/>
      <w:contextualSpacing/>
    </w:pPr>
    <w:rPr>
      <w:rFonts w:eastAsia="Times New Roman" w:cs="Times New Roman"/>
      <w:i/>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Normal"/>
    <w:rsid w:val="009D61C7"/>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ipo.int/nef/en/project/1440/PL001" TargetMode="External"/><Relationship Id="rId18" Type="http://schemas.openxmlformats.org/officeDocument/2006/relationships/hyperlink" Target="http://web2.wipo.int/nef/en/project/1456/LO1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eb2.wipo.int/nef/en/project/1456/LO123" TargetMode="External"/><Relationship Id="rId7" Type="http://schemas.openxmlformats.org/officeDocument/2006/relationships/footnotes" Target="footnotes.xml"/><Relationship Id="rId12" Type="http://schemas.openxmlformats.org/officeDocument/2006/relationships/hyperlink" Target="http://web2.wipo.int/nef/en/project/1455/LO122" TargetMode="External"/><Relationship Id="rId17" Type="http://schemas.openxmlformats.org/officeDocument/2006/relationships/hyperlink" Target="http://web2.wipo.int/nef/nef-projects/lo123/lo123-a01_iblo.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eb2.wipo.int/nef/en/project/1456/LO123" TargetMode="External"/><Relationship Id="rId20" Type="http://schemas.openxmlformats.org/officeDocument/2006/relationships/hyperlink" Target="http://www.wipo.int/wipolex/en/details.jsp?id=125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ipo.int/nef/nef-projects/lo122/lo122-a01_ibva.pdf" TargetMode="External"/><Relationship Id="rId24" Type="http://schemas.openxmlformats.org/officeDocument/2006/relationships/hyperlink" Target="http://web2.wipo.int/nef/nef-projects/lo123/lo123-a01_iblo.pdf" TargetMode="External"/><Relationship Id="rId5" Type="http://schemas.openxmlformats.org/officeDocument/2006/relationships/settings" Target="settings.xml"/><Relationship Id="rId15" Type="http://schemas.openxmlformats.org/officeDocument/2006/relationships/hyperlink" Target="http://web2.wipo.int/nef/nef-projects/lo122/lo122-a06_ibbx.pdf" TargetMode="External"/><Relationship Id="rId23" Type="http://schemas.openxmlformats.org/officeDocument/2006/relationships/hyperlink" Target="http://web2.wipo.int/nef/en/project/1456/LO123" TargetMode="External"/><Relationship Id="rId10" Type="http://schemas.openxmlformats.org/officeDocument/2006/relationships/hyperlink" Target="http://web2.wipo.int/nef/en/project/1455/LO122" TargetMode="External"/><Relationship Id="rId19" Type="http://schemas.openxmlformats.org/officeDocument/2006/relationships/hyperlink" Target="http://web2.wipo.int/nef/nef-projects/lo123/lo123-a02_ibe-.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eb2.wipo.int/nef/en/project/1455/LO122" TargetMode="External"/><Relationship Id="rId22" Type="http://schemas.openxmlformats.org/officeDocument/2006/relationships/hyperlink" Target="http://web2.wipo.int/nef/nef-projects/lo123/lo123-a03_iblo.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8119E-58E2-40EA-A9D9-17AFB7F9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1776</Words>
  <Characters>10742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CLIM/CE/25/2</vt:lpstr>
    </vt:vector>
  </TitlesOfParts>
  <Company>WIPO</Company>
  <LinksUpToDate>false</LinksUpToDate>
  <CharactersWithSpaces>12494</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CEL/12/2</dc:title>
  <dc:subject>Draft Report</dc:subject>
  <dc:creator>Carminati</dc:creator>
  <cp:lastModifiedBy>Carminati Christine</cp:lastModifiedBy>
  <cp:revision>9</cp:revision>
  <cp:lastPrinted>2015-11-18T08:26:00Z</cp:lastPrinted>
  <dcterms:created xsi:type="dcterms:W3CDTF">2015-11-09T09:17:00Z</dcterms:created>
  <dcterms:modified xsi:type="dcterms:W3CDTF">2015-11-23T07:50:00Z</dcterms:modified>
</cp:coreProperties>
</file>