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61BC4" w:rsidP="003132DE">
      <w:pPr>
        <w:pBdr>
          <w:top w:val="single" w:sz="4" w:space="10" w:color="auto"/>
        </w:pBdr>
        <w:bidi w:val="0"/>
        <w:rPr>
          <w:rFonts w:ascii="Arial Black" w:eastAsia="SimSun" w:hAnsi="Arial Black" w:cs="Arial"/>
          <w:b/>
          <w:caps/>
          <w:noProof/>
          <w:sz w:val="16"/>
          <w:szCs w:val="16"/>
          <w:rtl/>
          <w:lang w:eastAsia="zh-CN"/>
        </w:rPr>
      </w:pPr>
      <w:bookmarkStart w:id="2" w:name="Code2"/>
      <w:bookmarkStart w:id="3" w:name="_GoBack"/>
      <w:r>
        <w:rPr>
          <w:rFonts w:ascii="Arial Black" w:eastAsia="SimSun" w:hAnsi="Arial Black" w:cs="Arial"/>
          <w:b/>
          <w:caps/>
          <w:noProof/>
          <w:sz w:val="16"/>
          <w:szCs w:val="16"/>
          <w:lang w:eastAsia="zh-CN"/>
        </w:rPr>
        <w:t>CWS/6/</w:t>
      </w:r>
      <w:r w:rsidR="00957BD9">
        <w:rPr>
          <w:rFonts w:ascii="Arial Black" w:eastAsia="SimSun" w:hAnsi="Arial Black" w:cs="Arial"/>
          <w:b/>
          <w:caps/>
          <w:noProof/>
          <w:sz w:val="16"/>
          <w:szCs w:val="16"/>
          <w:lang w:eastAsia="zh-CN"/>
        </w:rPr>
        <w:t>9</w:t>
      </w:r>
    </w:p>
    <w:bookmarkEnd w:id="2"/>
    <w:bookmarkEnd w:id="3"/>
    <w:p w:rsidR="003F7284" w:rsidRPr="00BB6440" w:rsidRDefault="003F7284" w:rsidP="005D79F6">
      <w:pPr>
        <w:jc w:val="right"/>
        <w:rPr>
          <w:b/>
          <w:bCs/>
          <w:sz w:val="30"/>
          <w:szCs w:val="30"/>
          <w:rtl/>
        </w:rPr>
      </w:pPr>
      <w:r w:rsidRPr="00BB6440">
        <w:rPr>
          <w:b/>
          <w:bCs/>
          <w:sz w:val="30"/>
          <w:szCs w:val="30"/>
          <w:rtl/>
        </w:rPr>
        <w:t xml:space="preserve">الأصل: </w:t>
      </w:r>
      <w:r w:rsidR="00957BD9">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957BD9">
        <w:rPr>
          <w:b/>
          <w:bCs/>
          <w:sz w:val="30"/>
          <w:szCs w:val="30"/>
          <w:rtl/>
        </w:rPr>
        <w:t>18 سبتمبر 2018</w:t>
      </w:r>
    </w:p>
    <w:p w:rsidR="002E7810" w:rsidRPr="00FD6D15" w:rsidRDefault="00561BC4"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rsidR="002E7810" w:rsidRPr="002E7810" w:rsidRDefault="00561BC4"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السادسة</w:t>
      </w:r>
    </w:p>
    <w:p w:rsidR="002E7810" w:rsidRPr="002E7810" w:rsidRDefault="00561BC4" w:rsidP="00874721">
      <w:pPr>
        <w:spacing w:line="600" w:lineRule="auto"/>
        <w:rPr>
          <w:b/>
          <w:bCs/>
          <w:rtl/>
        </w:rPr>
      </w:pPr>
      <w:r>
        <w:rPr>
          <w:b/>
          <w:bCs/>
          <w:rtl/>
        </w:rPr>
        <w:t>جنيف، من 15 إلى 19 أكتوبر 2018</w:t>
      </w:r>
    </w:p>
    <w:p w:rsidR="002E7810" w:rsidRPr="002E7810" w:rsidRDefault="00957BD9" w:rsidP="00874721">
      <w:pPr>
        <w:rPr>
          <w:rFonts w:ascii="Arial Black" w:hAnsi="Arial Black" w:cs="PT Bold Heading"/>
          <w:sz w:val="26"/>
          <w:szCs w:val="26"/>
          <w:rtl/>
          <w:lang w:bidi="ar-EG"/>
        </w:rPr>
      </w:pPr>
      <w:r>
        <w:rPr>
          <w:rFonts w:ascii="Arial Black" w:hAnsi="Arial Black" w:cs="PT Bold Heading" w:hint="cs"/>
          <w:sz w:val="26"/>
          <w:szCs w:val="26"/>
          <w:rtl/>
        </w:rPr>
        <w:t>تقرير عن استخدام لغة الترميز الموسعة (</w:t>
      </w:r>
      <w:r>
        <w:rPr>
          <w:rFonts w:ascii="Arial Black" w:hAnsi="Arial Black" w:cs="PT Bold Heading"/>
          <w:sz w:val="26"/>
          <w:szCs w:val="26"/>
        </w:rPr>
        <w:t>XML</w:t>
      </w:r>
      <w:r>
        <w:rPr>
          <w:rFonts w:ascii="Arial Black" w:hAnsi="Arial Black" w:cs="PT Bold Heading" w:hint="cs"/>
          <w:sz w:val="26"/>
          <w:szCs w:val="26"/>
          <w:rtl/>
          <w:lang w:bidi="ar-EG"/>
        </w:rPr>
        <w:t>) في بيانات الوضع القانوني للبراءات</w:t>
      </w:r>
    </w:p>
    <w:p w:rsidR="003F7284" w:rsidRPr="00BB6440" w:rsidRDefault="00957BD9" w:rsidP="00874721">
      <w:pPr>
        <w:spacing w:before="200" w:after="960"/>
        <w:rPr>
          <w:i/>
          <w:iCs/>
          <w:rtl/>
        </w:rPr>
      </w:pPr>
      <w:r>
        <w:rPr>
          <w:rFonts w:hint="cs"/>
          <w:i/>
          <w:iCs/>
          <w:rtl/>
        </w:rPr>
        <w:t xml:space="preserve">وثيقة </w:t>
      </w:r>
      <w:r w:rsidR="003F7284" w:rsidRPr="00BB6440">
        <w:rPr>
          <w:i/>
          <w:iCs/>
          <w:rtl/>
        </w:rPr>
        <w:t>من إعداد</w:t>
      </w:r>
      <w:r w:rsidR="005D79F6" w:rsidRPr="00BB6440">
        <w:rPr>
          <w:rFonts w:hint="cs"/>
          <w:i/>
          <w:iCs/>
          <w:rtl/>
        </w:rPr>
        <w:t xml:space="preserve"> </w:t>
      </w:r>
      <w:r>
        <w:rPr>
          <w:rFonts w:hint="eastAsia"/>
          <w:i/>
          <w:iCs/>
          <w:rtl/>
        </w:rPr>
        <w:t>المكتب</w:t>
      </w:r>
      <w:r>
        <w:rPr>
          <w:i/>
          <w:iCs/>
          <w:rtl/>
        </w:rPr>
        <w:t xml:space="preserve"> الدولي</w:t>
      </w:r>
    </w:p>
    <w:p w:rsidR="00E3612C" w:rsidRPr="00FD6D15" w:rsidRDefault="00957BD9" w:rsidP="00957BD9">
      <w:pPr>
        <w:pStyle w:val="Heading2"/>
        <w:rPr>
          <w:rtl/>
        </w:rPr>
      </w:pPr>
      <w:r>
        <w:rPr>
          <w:rFonts w:hint="cs"/>
          <w:rtl/>
        </w:rPr>
        <w:t>المقدمة</w:t>
      </w:r>
    </w:p>
    <w:p w:rsidR="00C41AE0" w:rsidRDefault="00957BD9" w:rsidP="00957BD9">
      <w:pPr>
        <w:pStyle w:val="ONUMA"/>
      </w:pPr>
      <w:r>
        <w:rPr>
          <w:rFonts w:hint="cs"/>
          <w:rtl/>
        </w:rPr>
        <w:t xml:space="preserve">اعتمدت اللجنة المعنية بمعايير الويبو (لجنة المعايير)، في دورتها الخامسة المعقودة في الفترة من 29 مايو إلى 2 يونيو 2017، معيار الويبو </w:t>
      </w:r>
      <w:r>
        <w:t>ST.27</w:t>
      </w:r>
      <w:r>
        <w:rPr>
          <w:rFonts w:hint="cs"/>
          <w:rtl/>
          <w:lang w:bidi="ar-EG"/>
        </w:rPr>
        <w:t xml:space="preserve"> "توصية بشأن تبادل بيانات الوضع القانوني للبراءات". وطلبت اللجنة من فرقة عمل </w:t>
      </w:r>
      <w:r>
        <w:rPr>
          <w:lang w:bidi="ar-EG"/>
        </w:rPr>
        <w:t>XML4IP</w:t>
      </w:r>
      <w:r>
        <w:rPr>
          <w:rFonts w:hint="cs"/>
          <w:rtl/>
          <w:lang w:bidi="ar-EG"/>
        </w:rPr>
        <w:t xml:space="preserve"> أن تضع مكونات </w:t>
      </w:r>
      <w:r w:rsidR="00204733">
        <w:rPr>
          <w:rFonts w:hint="cs"/>
          <w:rtl/>
          <w:lang w:bidi="ar-EG"/>
        </w:rPr>
        <w:t>ال</w:t>
      </w:r>
      <w:r>
        <w:rPr>
          <w:rFonts w:hint="cs"/>
          <w:rtl/>
          <w:lang w:bidi="ar-EG"/>
        </w:rPr>
        <w:t>مخطط بلغة الترميز الموسَّعة (</w:t>
      </w:r>
      <w:r>
        <w:rPr>
          <w:lang w:bidi="ar-EG"/>
        </w:rPr>
        <w:t>XML</w:t>
      </w:r>
      <w:r>
        <w:rPr>
          <w:rFonts w:hint="cs"/>
          <w:rtl/>
          <w:lang w:bidi="ar-EG"/>
        </w:rPr>
        <w:t xml:space="preserve">) بالتشاور مع فرقة العمل المعنية بالوضع القانوني وبالاستناد إلى معيار الويبو الجديد </w:t>
      </w:r>
      <w:r>
        <w:rPr>
          <w:lang w:bidi="ar-EG"/>
        </w:rPr>
        <w:t>ST.27</w:t>
      </w:r>
      <w:r>
        <w:rPr>
          <w:rFonts w:hint="cs"/>
          <w:rtl/>
          <w:lang w:bidi="ar-EG"/>
        </w:rPr>
        <w:t xml:space="preserve"> من أجل تيسير تبادل بيانات الوضع القانوني للبراءات. وطلبت أيضاً موافاتها، إبّان دورتها السادسة، بالنتائج المحققة في هذا الشأن (انظر الفقرتين 50 و53 من الوثيقة </w:t>
      </w:r>
      <w:r>
        <w:rPr>
          <w:lang w:bidi="ar-EG"/>
        </w:rPr>
        <w:t>CWS/5/22</w:t>
      </w:r>
      <w:r>
        <w:rPr>
          <w:rFonts w:hint="cs"/>
          <w:rtl/>
          <w:lang w:bidi="ar-EG"/>
        </w:rPr>
        <w:t>).</w:t>
      </w:r>
    </w:p>
    <w:p w:rsidR="00957BD9" w:rsidRDefault="00957BD9" w:rsidP="00204733">
      <w:pPr>
        <w:pStyle w:val="ONUMA"/>
      </w:pPr>
      <w:r>
        <w:rPr>
          <w:rFonts w:hint="cs"/>
          <w:rtl/>
        </w:rPr>
        <w:t>واستجابةً ل</w:t>
      </w:r>
      <w:r w:rsidR="00204733">
        <w:rPr>
          <w:rFonts w:hint="cs"/>
          <w:rtl/>
        </w:rPr>
        <w:t>ذلك ا</w:t>
      </w:r>
      <w:r>
        <w:rPr>
          <w:rFonts w:hint="cs"/>
          <w:rtl/>
        </w:rPr>
        <w:t xml:space="preserve">لطلب، نظَّمت فرقة عمل </w:t>
      </w:r>
      <w:r>
        <w:t>XML4IP</w:t>
      </w:r>
      <w:r>
        <w:rPr>
          <w:rFonts w:hint="cs"/>
          <w:rtl/>
          <w:lang w:bidi="ar-EG"/>
        </w:rPr>
        <w:t xml:space="preserve"> جولتين من المناقشات عن طريق منصة الويكي وعدة اجتماعات شبكية. ونوقش ذلك الموضوع مناقشة مستفيضة في اجتماعات مباشرة عُقدت بأوتاوا في عام 2017 وموسكو في عام 2018. ونظراً إلى الطبيعة المعقدة لهيكل البيانات والممارسات المختلفة لمكاتب الملكية الفكرية فيما يخص الوضع القانوني للبراءات، تحتاج فرقة العمل لمزيد من الوقت من أجل إعداد اقتراح نهائي بشأن المكونات المتعلقة ببيانات الوضع القانوني للبراءات بلغة الترميز الموسَّعة (</w:t>
      </w:r>
      <w:r>
        <w:rPr>
          <w:lang w:bidi="ar-EG"/>
        </w:rPr>
        <w:t>XML</w:t>
      </w:r>
      <w:r>
        <w:rPr>
          <w:rFonts w:hint="cs"/>
          <w:rtl/>
          <w:lang w:bidi="ar-EG"/>
        </w:rPr>
        <w:t>).</w:t>
      </w:r>
    </w:p>
    <w:p w:rsidR="00957BD9" w:rsidRDefault="00957BD9" w:rsidP="00204733">
      <w:pPr>
        <w:pStyle w:val="ONUMA"/>
      </w:pPr>
      <w:r>
        <w:rPr>
          <w:rFonts w:hint="cs"/>
          <w:rtl/>
          <w:lang w:bidi="ar-EG"/>
        </w:rPr>
        <w:lastRenderedPageBreak/>
        <w:t xml:space="preserve">ورداً على التعميم </w:t>
      </w:r>
      <w:r>
        <w:rPr>
          <w:lang w:bidi="ar-EG"/>
        </w:rPr>
        <w:t>C. CWS 92</w:t>
      </w:r>
      <w:r>
        <w:rPr>
          <w:rFonts w:hint="cs"/>
          <w:rtl/>
          <w:lang w:bidi="ar-EG"/>
        </w:rPr>
        <w:t xml:space="preserve"> بشأن تنفيذ معيار الويبو </w:t>
      </w:r>
      <w:r>
        <w:rPr>
          <w:lang w:bidi="ar-EG"/>
        </w:rPr>
        <w:t>ST.27</w:t>
      </w:r>
      <w:r>
        <w:rPr>
          <w:rFonts w:hint="cs"/>
          <w:rtl/>
          <w:lang w:bidi="ar-EG"/>
        </w:rPr>
        <w:t xml:space="preserve"> في مكاتب الملكية الفكري</w:t>
      </w:r>
      <w:r w:rsidR="00204733">
        <w:rPr>
          <w:rFonts w:hint="cs"/>
          <w:rtl/>
          <w:lang w:bidi="ar-EG"/>
        </w:rPr>
        <w:t>ة، أفادت بعض المكاتب بأن تنفيذ المعيار</w:t>
      </w:r>
      <w:r>
        <w:rPr>
          <w:rFonts w:hint="cs"/>
          <w:rtl/>
          <w:lang w:bidi="ar-EG"/>
        </w:rPr>
        <w:t xml:space="preserve"> يرتهن بتوفر مكونات المخطط الخاص بالوضع القانوني بلغة </w:t>
      </w:r>
      <w:r>
        <w:rPr>
          <w:lang w:bidi="ar-EG"/>
        </w:rPr>
        <w:t>XML</w:t>
      </w:r>
      <w:r>
        <w:rPr>
          <w:rFonts w:hint="cs"/>
          <w:rtl/>
          <w:lang w:bidi="ar-EG"/>
        </w:rPr>
        <w:t>.</w:t>
      </w:r>
    </w:p>
    <w:p w:rsidR="00957BD9" w:rsidRDefault="00957BD9" w:rsidP="00957BD9">
      <w:pPr>
        <w:pStyle w:val="Heading2"/>
      </w:pPr>
      <w:r>
        <w:rPr>
          <w:rFonts w:hint="cs"/>
          <w:rtl/>
          <w:lang w:bidi="ar-EG"/>
        </w:rPr>
        <w:t>التقرير المرحلي</w:t>
      </w:r>
    </w:p>
    <w:p w:rsidR="00957BD9" w:rsidRDefault="00957BD9" w:rsidP="00204733">
      <w:pPr>
        <w:pStyle w:val="ONUMA"/>
      </w:pPr>
      <w:r>
        <w:rPr>
          <w:rFonts w:hint="cs"/>
          <w:rtl/>
        </w:rPr>
        <w:t xml:space="preserve">استخدمت فرقة عمل </w:t>
      </w:r>
      <w:r>
        <w:t>XML4IP</w:t>
      </w:r>
      <w:r>
        <w:rPr>
          <w:rFonts w:hint="cs"/>
          <w:rtl/>
          <w:lang w:bidi="ar-EG"/>
        </w:rPr>
        <w:t xml:space="preserve"> سجلات البراءات بلغة </w:t>
      </w:r>
      <w:r>
        <w:rPr>
          <w:lang w:bidi="ar-EG"/>
        </w:rPr>
        <w:t>XML</w:t>
      </w:r>
      <w:r>
        <w:rPr>
          <w:rFonts w:hint="cs"/>
          <w:rtl/>
          <w:lang w:bidi="ar-EG"/>
        </w:rPr>
        <w:t xml:space="preserve"> في إعداد مكونات الوضع القانوني للبراءات بلغة </w:t>
      </w:r>
      <w:r>
        <w:rPr>
          <w:lang w:bidi="ar-EG"/>
        </w:rPr>
        <w:t>XML</w:t>
      </w:r>
      <w:r>
        <w:rPr>
          <w:rFonts w:hint="cs"/>
          <w:rtl/>
          <w:lang w:bidi="ar-EG"/>
        </w:rPr>
        <w:t xml:space="preserve"> نظراً إلى أنه من المفترض أن تستخدم مجموعتا البيانات بلغة </w:t>
      </w:r>
      <w:r>
        <w:rPr>
          <w:lang w:bidi="ar-EG"/>
        </w:rPr>
        <w:t>XML</w:t>
      </w:r>
      <w:r>
        <w:rPr>
          <w:rFonts w:hint="cs"/>
          <w:rtl/>
          <w:lang w:bidi="ar-EG"/>
        </w:rPr>
        <w:t xml:space="preserve"> مكونات البيانات نفسها تقريباً. والاختلاف الرئيسي بينهما هو أن الوضع القانوني للبراءات يحتوي على كل طلبات البراءات التي عالجها مكتب الملكية الفكرية في تاريخ إعداد البيانات، في حين يشمل سجل البراءات بيانات </w:t>
      </w:r>
      <w:r w:rsidR="00204733">
        <w:rPr>
          <w:rFonts w:hint="cs"/>
          <w:rtl/>
          <w:lang w:bidi="ar-EG"/>
        </w:rPr>
        <w:t>كل</w:t>
      </w:r>
      <w:r>
        <w:rPr>
          <w:rFonts w:hint="cs"/>
          <w:rtl/>
          <w:lang w:bidi="ar-EG"/>
        </w:rPr>
        <w:t xml:space="preserve"> طلب براءة على امتداد دورة حياته.</w:t>
      </w:r>
    </w:p>
    <w:p w:rsidR="00957BD9" w:rsidRDefault="00957BD9" w:rsidP="00957BD9">
      <w:pPr>
        <w:pStyle w:val="ONUMA"/>
      </w:pPr>
      <w:r>
        <w:rPr>
          <w:rFonts w:hint="cs"/>
          <w:rtl/>
          <w:lang w:bidi="ar-EG"/>
        </w:rPr>
        <w:t xml:space="preserve">واتفقت فرقة العمل على الهيكل الأعلى للوضع القانوني للبراءات بلغة </w:t>
      </w:r>
      <w:r>
        <w:rPr>
          <w:lang w:bidi="ar-EG"/>
        </w:rPr>
        <w:t>XML</w:t>
      </w:r>
      <w:r>
        <w:rPr>
          <w:rFonts w:hint="cs"/>
          <w:rtl/>
          <w:lang w:bidi="ar-EG"/>
        </w:rPr>
        <w:t xml:space="preserve"> وغالبية المكونات بلغة </w:t>
      </w:r>
      <w:r>
        <w:rPr>
          <w:lang w:bidi="ar-EG"/>
        </w:rPr>
        <w:t>XML</w:t>
      </w:r>
      <w:r>
        <w:rPr>
          <w:rFonts w:hint="cs"/>
          <w:rtl/>
          <w:lang w:bidi="ar-EG"/>
        </w:rPr>
        <w:t>. وتبقى عنصران رئيسيان قيد المناقشة يلي بيانهما:</w:t>
      </w:r>
    </w:p>
    <w:p w:rsidR="00957BD9" w:rsidRDefault="00957BD9" w:rsidP="00957BD9">
      <w:pPr>
        <w:pStyle w:val="ONUMA"/>
        <w:numPr>
          <w:ilvl w:val="5"/>
          <w:numId w:val="24"/>
        </w:numPr>
        <w:ind w:left="1134" w:hanging="567"/>
      </w:pPr>
      <w:r>
        <w:rPr>
          <w:rFonts w:hint="cs"/>
          <w:rtl/>
          <w:lang w:bidi="ar-EG"/>
        </w:rPr>
        <w:t>هيكل البيانات التكميلية المرتبطة بالحدث؛</w:t>
      </w:r>
    </w:p>
    <w:p w:rsidR="00957BD9" w:rsidRDefault="00957BD9" w:rsidP="00957BD9">
      <w:pPr>
        <w:pStyle w:val="ONUMA"/>
        <w:numPr>
          <w:ilvl w:val="5"/>
          <w:numId w:val="24"/>
        </w:numPr>
        <w:ind w:left="1134" w:hanging="567"/>
      </w:pPr>
      <w:r>
        <w:rPr>
          <w:rFonts w:hint="cs"/>
          <w:rtl/>
          <w:lang w:bidi="ar-EG"/>
        </w:rPr>
        <w:t xml:space="preserve">ومحتوى البيانات التكميلية التي ينبغي توفيرها مع الحدث استناداً إلى المرفق الثاني من معيار الويبو </w:t>
      </w:r>
      <w:r>
        <w:rPr>
          <w:lang w:bidi="ar-EG"/>
        </w:rPr>
        <w:t>ST.27</w:t>
      </w:r>
      <w:r>
        <w:rPr>
          <w:rFonts w:hint="cs"/>
          <w:rtl/>
          <w:lang w:bidi="ar-EG"/>
        </w:rPr>
        <w:t>.</w:t>
      </w:r>
    </w:p>
    <w:p w:rsidR="00957BD9" w:rsidRDefault="00957BD9" w:rsidP="00204733">
      <w:pPr>
        <w:pStyle w:val="ONUMA"/>
      </w:pPr>
      <w:r>
        <w:rPr>
          <w:rFonts w:hint="cs"/>
          <w:rtl/>
        </w:rPr>
        <w:t>وفيما يخص هيكل البيانات التكميلية، اقت</w:t>
      </w:r>
      <w:r w:rsidR="00204733">
        <w:rPr>
          <w:rFonts w:hint="cs"/>
          <w:rtl/>
        </w:rPr>
        <w:t>ُ</w:t>
      </w:r>
      <w:r>
        <w:rPr>
          <w:rFonts w:hint="cs"/>
          <w:rtl/>
        </w:rPr>
        <w:t>رح خياران هما (أ) هيكل عام يدعم كل الفئات المدرجة في 21 فئة معر</w:t>
      </w:r>
      <w:r w:rsidR="00204733">
        <w:rPr>
          <w:rFonts w:hint="cs"/>
          <w:rtl/>
        </w:rPr>
        <w:t>ّ</w:t>
      </w:r>
      <w:r>
        <w:rPr>
          <w:rFonts w:hint="cs"/>
          <w:rtl/>
        </w:rPr>
        <w:t xml:space="preserve">فة في معيار الويبو </w:t>
      </w:r>
      <w:r>
        <w:t>ST.27</w:t>
      </w:r>
      <w:r>
        <w:rPr>
          <w:rFonts w:hint="cs"/>
          <w:rtl/>
          <w:lang w:bidi="ar-EG"/>
        </w:rPr>
        <w:t>؛ (ب) </w:t>
      </w:r>
      <w:r w:rsidR="00204733">
        <w:rPr>
          <w:rFonts w:hint="cs"/>
          <w:rtl/>
          <w:lang w:bidi="ar-EG"/>
        </w:rPr>
        <w:t xml:space="preserve">أو </w:t>
      </w:r>
      <w:r>
        <w:rPr>
          <w:rFonts w:hint="cs"/>
          <w:rtl/>
          <w:lang w:bidi="ar-EG"/>
        </w:rPr>
        <w:t xml:space="preserve">هيكل خاص لكل فئة. ولكل خيار مزاياه وعيوبه ولكل </w:t>
      </w:r>
      <w:r w:rsidR="00095257">
        <w:rPr>
          <w:rFonts w:hint="cs"/>
          <w:rtl/>
          <w:lang w:bidi="ar-EG"/>
        </w:rPr>
        <w:t xml:space="preserve">عضو في فرقة العمل تفضيلاته. ويرد مشروعا المخططين </w:t>
      </w:r>
      <w:r w:rsidR="00095257">
        <w:rPr>
          <w:rtl/>
          <w:lang w:bidi="ar-EG"/>
        </w:rPr>
        <w:t>–</w:t>
      </w:r>
      <w:r w:rsidR="00095257">
        <w:rPr>
          <w:rFonts w:hint="cs"/>
          <w:rtl/>
          <w:lang w:bidi="ar-EG"/>
        </w:rPr>
        <w:t xml:space="preserve"> أي الهيكل العام والهيكل الخاص </w:t>
      </w:r>
      <w:r w:rsidR="00095257">
        <w:rPr>
          <w:rtl/>
          <w:lang w:bidi="ar-EG"/>
        </w:rPr>
        <w:t>–</w:t>
      </w:r>
      <w:r w:rsidR="00095257">
        <w:rPr>
          <w:rFonts w:hint="cs"/>
          <w:rtl/>
          <w:lang w:bidi="ar-EG"/>
        </w:rPr>
        <w:t xml:space="preserve"> في المرفقين الأول والثاني من هذه الوثيقة على التوالي.</w:t>
      </w:r>
    </w:p>
    <w:p w:rsidR="00095257" w:rsidRDefault="00095257" w:rsidP="00204733">
      <w:pPr>
        <w:pStyle w:val="ONUMA"/>
      </w:pPr>
      <w:r>
        <w:rPr>
          <w:rFonts w:hint="cs"/>
          <w:rtl/>
          <w:lang w:bidi="ar-EG"/>
        </w:rPr>
        <w:t xml:space="preserve">وأما عن محتوى البيانات التكميلية، فقد أشارت فرقة العمل إلى أنها تحتاج المزيد من الوقت لاستعراض بيانات مكاتب الملكية الفكرية. وأقرت بأنه قد يكون من غير العملي تحديث المرفق الثاني من معيار الويبو </w:t>
      </w:r>
      <w:r>
        <w:rPr>
          <w:lang w:bidi="ar-EG"/>
        </w:rPr>
        <w:t>ST.27</w:t>
      </w:r>
      <w:r>
        <w:rPr>
          <w:rFonts w:hint="cs"/>
          <w:rtl/>
          <w:lang w:bidi="ar-EG"/>
        </w:rPr>
        <w:t xml:space="preserve"> وفقاً لمحتوى البيانات نظراً إلى أن المرفق الثاني يوفر مستوى عاماً من المعلومات </w:t>
      </w:r>
      <w:r w:rsidR="00204733">
        <w:rPr>
          <w:rFonts w:hint="cs"/>
          <w:rtl/>
          <w:lang w:bidi="ar-EG"/>
        </w:rPr>
        <w:t>المعنية</w:t>
      </w:r>
      <w:r>
        <w:rPr>
          <w:rFonts w:hint="cs"/>
          <w:rtl/>
          <w:lang w:bidi="ar-EG"/>
        </w:rPr>
        <w:t xml:space="preserve"> عوضاً عن بيانات مفصَّلة و/أو محددة لبعض مكاتب الملكية الفكرية. وتعتزم فرقة عمل </w:t>
      </w:r>
      <w:r>
        <w:rPr>
          <w:lang w:bidi="ar-EG"/>
        </w:rPr>
        <w:t>XML4IP</w:t>
      </w:r>
      <w:r>
        <w:rPr>
          <w:rFonts w:hint="cs"/>
          <w:rtl/>
          <w:lang w:bidi="ar-EG"/>
        </w:rPr>
        <w:t xml:space="preserve"> مناقشة تلك المسألة مع فرقة العمل المعنية بالوضع القانوني عقب إنجاز عملها في هذا الشأن.</w:t>
      </w:r>
    </w:p>
    <w:p w:rsidR="00095257" w:rsidRDefault="00095257" w:rsidP="00095257">
      <w:pPr>
        <w:pStyle w:val="Decision"/>
      </w:pPr>
      <w:r>
        <w:rPr>
          <w:rFonts w:hint="cs"/>
          <w:rtl/>
          <w:lang w:bidi="ar-EG"/>
        </w:rPr>
        <w:t>إن لجنة المعايير مدعوة إلى ما يلي:</w:t>
      </w:r>
    </w:p>
    <w:p w:rsidR="00095257" w:rsidRPr="00095257" w:rsidRDefault="00095257" w:rsidP="00095257">
      <w:pPr>
        <w:pStyle w:val="ONUMA"/>
        <w:numPr>
          <w:ilvl w:val="2"/>
          <w:numId w:val="24"/>
        </w:numPr>
        <w:ind w:left="5534" w:firstLine="567"/>
        <w:rPr>
          <w:i/>
          <w:iCs/>
          <w:lang w:bidi="ar-EG"/>
        </w:rPr>
      </w:pPr>
      <w:r w:rsidRPr="00095257">
        <w:rPr>
          <w:rFonts w:hint="cs"/>
          <w:i/>
          <w:iCs/>
          <w:rtl/>
          <w:lang w:bidi="ar-EG"/>
        </w:rPr>
        <w:t>أن تحيط علماً بنتائج ا</w:t>
      </w:r>
      <w:r w:rsidRPr="00095257">
        <w:rPr>
          <w:i/>
          <w:iCs/>
          <w:rtl/>
          <w:lang w:bidi="ar-EG"/>
        </w:rPr>
        <w:t xml:space="preserve">لعمل الذي قامت به فرقة عمل </w:t>
      </w:r>
      <w:r w:rsidRPr="00095257">
        <w:rPr>
          <w:i/>
          <w:iCs/>
          <w:lang w:bidi="ar-EG"/>
        </w:rPr>
        <w:t>XML4IP</w:t>
      </w:r>
      <w:r w:rsidRPr="00095257">
        <w:rPr>
          <w:i/>
          <w:iCs/>
          <w:rtl/>
          <w:lang w:bidi="ar-EG"/>
        </w:rPr>
        <w:t xml:space="preserve"> وتقرير </w:t>
      </w:r>
      <w:r w:rsidR="00204733">
        <w:rPr>
          <w:i/>
          <w:iCs/>
          <w:rtl/>
          <w:lang w:bidi="ar-EG"/>
        </w:rPr>
        <w:t>رئيس فرقة العمل، على النحو المب</w:t>
      </w:r>
      <w:r w:rsidR="00204733">
        <w:rPr>
          <w:rFonts w:hint="cs"/>
          <w:i/>
          <w:iCs/>
          <w:rtl/>
          <w:lang w:bidi="ar-EG"/>
        </w:rPr>
        <w:t>يَّ</w:t>
      </w:r>
      <w:r w:rsidRPr="00095257">
        <w:rPr>
          <w:i/>
          <w:iCs/>
          <w:rtl/>
          <w:lang w:bidi="ar-EG"/>
        </w:rPr>
        <w:t>ن في هذه الوثيقة</w:t>
      </w:r>
      <w:r w:rsidRPr="00095257">
        <w:rPr>
          <w:rFonts w:hint="cs"/>
          <w:i/>
          <w:iCs/>
          <w:rtl/>
          <w:lang w:bidi="ar-EG"/>
        </w:rPr>
        <w:t>؛</w:t>
      </w:r>
    </w:p>
    <w:p w:rsidR="00095257" w:rsidRDefault="00095257" w:rsidP="00204733">
      <w:pPr>
        <w:pStyle w:val="ONUMA"/>
        <w:numPr>
          <w:ilvl w:val="2"/>
          <w:numId w:val="24"/>
        </w:numPr>
        <w:ind w:left="5534" w:firstLine="567"/>
      </w:pPr>
      <w:r w:rsidRPr="00095257">
        <w:rPr>
          <w:rFonts w:hint="cs"/>
          <w:i/>
          <w:iCs/>
          <w:rtl/>
          <w:lang w:bidi="ar-EG"/>
        </w:rPr>
        <w:t xml:space="preserve">وأن تطلب من فرقة عمل </w:t>
      </w:r>
      <w:r w:rsidRPr="00095257">
        <w:rPr>
          <w:i/>
          <w:iCs/>
          <w:lang w:bidi="ar-EG"/>
        </w:rPr>
        <w:t>XML4IP</w:t>
      </w:r>
      <w:r w:rsidRPr="00095257">
        <w:rPr>
          <w:rFonts w:hint="cs"/>
          <w:i/>
          <w:iCs/>
          <w:rtl/>
          <w:lang w:bidi="ar-EG"/>
        </w:rPr>
        <w:t xml:space="preserve"> موافاتها بالمشروع النهائي عن بيانات الوضع القانوني للبراءات كي تنظر فيه إبّان دورتها</w:t>
      </w:r>
      <w:r w:rsidR="00204733">
        <w:rPr>
          <w:rFonts w:hint="eastAsia"/>
          <w:i/>
          <w:iCs/>
          <w:rtl/>
          <w:lang w:bidi="ar-EG"/>
        </w:rPr>
        <w:t> </w:t>
      </w:r>
      <w:r w:rsidRPr="00095257">
        <w:rPr>
          <w:rFonts w:hint="cs"/>
          <w:i/>
          <w:iCs/>
          <w:rtl/>
          <w:lang w:bidi="ar-EG"/>
        </w:rPr>
        <w:t>السابعة.</w:t>
      </w:r>
    </w:p>
    <w:p w:rsidR="00095257" w:rsidRDefault="00095257" w:rsidP="00095257">
      <w:pPr>
        <w:pStyle w:val="Endofdocument-Annex"/>
      </w:pPr>
      <w:r>
        <w:rPr>
          <w:rFonts w:hint="cs"/>
          <w:rtl/>
        </w:rPr>
        <w:t>[يلي ذلك المرفقان]</w:t>
      </w:r>
    </w:p>
    <w:sectPr w:rsidR="00095257"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5AF" w:rsidRDefault="000A65AF">
      <w:r>
        <w:separator/>
      </w:r>
    </w:p>
  </w:endnote>
  <w:endnote w:type="continuationSeparator" w:id="0">
    <w:p w:rsidR="000A65AF" w:rsidRDefault="000A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5AF" w:rsidRDefault="000A65AF" w:rsidP="009622BF">
      <w:bookmarkStart w:id="0" w:name="OLE_LINK1"/>
      <w:bookmarkStart w:id="1" w:name="OLE_LINK2"/>
      <w:r>
        <w:separator/>
      </w:r>
      <w:bookmarkEnd w:id="0"/>
      <w:bookmarkEnd w:id="1"/>
    </w:p>
  </w:footnote>
  <w:footnote w:type="continuationSeparator" w:id="0">
    <w:p w:rsidR="000A65AF" w:rsidRDefault="000A65AF" w:rsidP="009622BF">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BD9" w:rsidRDefault="00957BD9" w:rsidP="0023693F">
    <w:pPr>
      <w:bidi w:val="0"/>
      <w:rPr>
        <w:rFonts w:ascii="Arial" w:hAnsi="Arial" w:cs="Arial"/>
        <w:sz w:val="22"/>
        <w:szCs w:val="22"/>
      </w:rPr>
    </w:pPr>
    <w:bookmarkStart w:id="4" w:name="Code3"/>
    <w:bookmarkEnd w:id="4"/>
    <w:r>
      <w:rPr>
        <w:rFonts w:ascii="Arial" w:hAnsi="Arial" w:cs="Arial"/>
        <w:sz w:val="22"/>
        <w:szCs w:val="22"/>
      </w:rPr>
      <w:t>CWS/6/9</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BD3597">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nsid w:val="06CD29E3"/>
    <w:multiLevelType w:val="multilevel"/>
    <w:tmpl w:val="874A9F48"/>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i/>
        <w:iCs/>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BD9"/>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257"/>
    <w:rsid w:val="0009577C"/>
    <w:rsid w:val="00095AE2"/>
    <w:rsid w:val="000962DF"/>
    <w:rsid w:val="0009661E"/>
    <w:rsid w:val="000A12BC"/>
    <w:rsid w:val="000A1306"/>
    <w:rsid w:val="000A1521"/>
    <w:rsid w:val="000A2FC1"/>
    <w:rsid w:val="000A3A57"/>
    <w:rsid w:val="000A53C5"/>
    <w:rsid w:val="000A5408"/>
    <w:rsid w:val="000A6510"/>
    <w:rsid w:val="000A65AF"/>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47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945"/>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BC4"/>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EBD"/>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57BD9"/>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3597"/>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CWS_6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5081A-6009-4E24-942E-94BADD040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CWS_6_AR.dotm</Template>
  <TotalTime>30</TotalTime>
  <Pages>2</Pages>
  <Words>529</Words>
  <Characters>2694</Characters>
  <Application>Microsoft Office Word</Application>
  <DocSecurity>0</DocSecurity>
  <Lines>49</Lines>
  <Paragraphs>24</Paragraphs>
  <ScaleCrop>false</ScaleCrop>
  <HeadingPairs>
    <vt:vector size="2" baseType="variant">
      <vt:variant>
        <vt:lpstr>Title</vt:lpstr>
      </vt:variant>
      <vt:variant>
        <vt:i4>1</vt:i4>
      </vt:variant>
    </vt:vector>
  </HeadingPairs>
  <TitlesOfParts>
    <vt:vector size="1" baseType="lpstr">
      <vt:lpstr>CWS/6/9_x000d_ (Arabic)</vt:lpstr>
    </vt:vector>
  </TitlesOfParts>
  <Company>World Intellectual Property Organization</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CWS/6/9_x000d_ (Arabic)</dc:title>
  <dc:creator>Ahmed Hassan</dc:creator>
  <cp:lastModifiedBy>Ahmed Hassan</cp:lastModifiedBy>
  <cp:revision>7</cp:revision>
  <cp:lastPrinted>2018-06-12T09:05:00Z</cp:lastPrinted>
  <dcterms:created xsi:type="dcterms:W3CDTF">2018-09-22T15:17:00Z</dcterms:created>
  <dcterms:modified xsi:type="dcterms:W3CDTF">2018-09-22T18:22:00Z</dcterms:modified>
</cp:coreProperties>
</file>