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561BC4" w:rsidP="003132DE">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CWS/6/</w:t>
      </w:r>
      <w:r w:rsidR="00015EA2">
        <w:rPr>
          <w:rFonts w:ascii="Arial Black" w:eastAsia="SimSun" w:hAnsi="Arial Black" w:cs="Arial"/>
          <w:b/>
          <w:caps/>
          <w:noProof/>
          <w:sz w:val="16"/>
          <w:szCs w:val="16"/>
          <w:lang w:eastAsia="zh-CN"/>
        </w:rPr>
        <w:t>8</w:t>
      </w:r>
    </w:p>
    <w:bookmarkEnd w:id="2"/>
    <w:p w:rsidR="003F7284" w:rsidRPr="00BB6440" w:rsidRDefault="003F7284" w:rsidP="005D79F6">
      <w:pPr>
        <w:jc w:val="right"/>
        <w:rPr>
          <w:b/>
          <w:bCs/>
          <w:sz w:val="30"/>
          <w:szCs w:val="30"/>
          <w:rtl/>
        </w:rPr>
      </w:pPr>
      <w:r w:rsidRPr="00BB6440">
        <w:rPr>
          <w:b/>
          <w:bCs/>
          <w:sz w:val="30"/>
          <w:szCs w:val="30"/>
          <w:rtl/>
        </w:rPr>
        <w:t xml:space="preserve">الأصل: </w:t>
      </w:r>
      <w:r w:rsidR="00015EA2">
        <w:rPr>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015EA2">
        <w:rPr>
          <w:b/>
          <w:bCs/>
          <w:sz w:val="30"/>
          <w:szCs w:val="30"/>
          <w:rtl/>
        </w:rPr>
        <w:t>12 سبتمبر 2018</w:t>
      </w:r>
    </w:p>
    <w:p w:rsidR="002E7810" w:rsidRPr="00FD6D15" w:rsidRDefault="00561BC4" w:rsidP="009B7572">
      <w:pPr>
        <w:pStyle w:val="Heading1"/>
        <w:spacing w:after="600" w:line="240" w:lineRule="auto"/>
        <w:rPr>
          <w:rtl/>
        </w:rPr>
      </w:pPr>
      <w:r>
        <w:rPr>
          <w:rFonts w:hint="eastAsia"/>
          <w:rtl/>
        </w:rPr>
        <w:t>اللجنة</w:t>
      </w:r>
      <w:r>
        <w:rPr>
          <w:rtl/>
        </w:rPr>
        <w:t xml:space="preserve"> </w:t>
      </w:r>
      <w:r>
        <w:rPr>
          <w:rFonts w:hint="eastAsia"/>
          <w:rtl/>
        </w:rPr>
        <w:t>المعنية</w:t>
      </w:r>
      <w:r>
        <w:rPr>
          <w:rtl/>
        </w:rPr>
        <w:t xml:space="preserve"> </w:t>
      </w:r>
      <w:r>
        <w:rPr>
          <w:rFonts w:hint="eastAsia"/>
          <w:rtl/>
        </w:rPr>
        <w:t>بمعايير</w:t>
      </w:r>
      <w:r>
        <w:rPr>
          <w:rtl/>
        </w:rPr>
        <w:t xml:space="preserve"> </w:t>
      </w:r>
      <w:r>
        <w:rPr>
          <w:rFonts w:hint="eastAsia"/>
          <w:rtl/>
        </w:rPr>
        <w:t>الويبو</w:t>
      </w:r>
    </w:p>
    <w:p w:rsidR="002E7810" w:rsidRPr="002E7810" w:rsidRDefault="00561BC4" w:rsidP="00874721">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السادسة</w:t>
      </w:r>
    </w:p>
    <w:p w:rsidR="002E7810" w:rsidRPr="002E7810" w:rsidRDefault="00561BC4" w:rsidP="00874721">
      <w:pPr>
        <w:spacing w:line="600" w:lineRule="auto"/>
        <w:rPr>
          <w:b/>
          <w:bCs/>
          <w:rtl/>
        </w:rPr>
      </w:pPr>
      <w:r>
        <w:rPr>
          <w:b/>
          <w:bCs/>
          <w:rtl/>
        </w:rPr>
        <w:t>جنيف، من 15 إلى 19 أكتوبر 2018</w:t>
      </w:r>
    </w:p>
    <w:p w:rsidR="002E7810" w:rsidRPr="002E7810" w:rsidRDefault="00015EA2" w:rsidP="00874721">
      <w:pPr>
        <w:rPr>
          <w:rFonts w:ascii="Arial Black" w:hAnsi="Arial Black" w:cs="PT Bold Heading"/>
          <w:sz w:val="26"/>
          <w:szCs w:val="26"/>
          <w:rtl/>
        </w:rPr>
      </w:pPr>
      <w:r w:rsidRPr="00015EA2">
        <w:rPr>
          <w:rFonts w:ascii="Arial Black" w:hAnsi="Arial Black" w:cs="PT Bold Heading"/>
          <w:sz w:val="26"/>
          <w:szCs w:val="26"/>
          <w:rtl/>
        </w:rPr>
        <w:t>تقرير عن التقدم المحرز في المهمة رقم 53 بشأن لغة الترميز الموسعة (</w:t>
      </w:r>
      <w:r w:rsidRPr="00015EA2">
        <w:rPr>
          <w:rFonts w:ascii="Arial Black" w:hAnsi="Arial Black" w:cs="PT Bold Heading"/>
          <w:sz w:val="26"/>
          <w:szCs w:val="26"/>
        </w:rPr>
        <w:t>XML</w:t>
      </w:r>
      <w:r w:rsidRPr="00015EA2">
        <w:rPr>
          <w:rFonts w:ascii="Arial Black" w:hAnsi="Arial Black" w:cs="PT Bold Heading"/>
          <w:sz w:val="26"/>
          <w:szCs w:val="26"/>
          <w:rtl/>
        </w:rPr>
        <w:t xml:space="preserve">) للمؤشرات </w:t>
      </w:r>
      <w:bookmarkStart w:id="3" w:name="_GoBack"/>
      <w:r w:rsidRPr="00015EA2">
        <w:rPr>
          <w:rFonts w:ascii="Arial Black" w:hAnsi="Arial Black" w:cs="PT Bold Heading"/>
          <w:sz w:val="26"/>
          <w:szCs w:val="26"/>
          <w:rtl/>
        </w:rPr>
        <w:t>الجغرافية</w:t>
      </w:r>
      <w:bookmarkEnd w:id="3"/>
    </w:p>
    <w:p w:rsidR="003F7284" w:rsidRPr="00BB6440" w:rsidRDefault="00015EA2" w:rsidP="00874721">
      <w:pPr>
        <w:spacing w:before="200" w:after="960"/>
        <w:rPr>
          <w:i/>
          <w:iCs/>
          <w:rtl/>
        </w:rPr>
      </w:pPr>
      <w:r>
        <w:rPr>
          <w:i/>
          <w:iCs/>
          <w:rtl/>
        </w:rPr>
        <w:t xml:space="preserve">وثيقة </w:t>
      </w:r>
      <w:r w:rsidR="003F7284" w:rsidRPr="00BB6440">
        <w:rPr>
          <w:i/>
          <w:iCs/>
          <w:rtl/>
        </w:rPr>
        <w:t>من إعداد</w:t>
      </w:r>
      <w:r w:rsidR="005D79F6" w:rsidRPr="00BB6440">
        <w:rPr>
          <w:rFonts w:hint="cs"/>
          <w:i/>
          <w:iCs/>
          <w:rtl/>
        </w:rPr>
        <w:t xml:space="preserve"> </w:t>
      </w:r>
      <w:r w:rsidRPr="00015EA2">
        <w:rPr>
          <w:i/>
          <w:iCs/>
          <w:rtl/>
        </w:rPr>
        <w:t xml:space="preserve">فرقة عمل </w:t>
      </w:r>
      <w:r w:rsidRPr="00015EA2">
        <w:rPr>
          <w:i/>
          <w:iCs/>
        </w:rPr>
        <w:t>XML4IP</w:t>
      </w:r>
    </w:p>
    <w:p w:rsidR="00E3612C" w:rsidRDefault="00D010A3" w:rsidP="00015EA2">
      <w:pPr>
        <w:pStyle w:val="Heading2"/>
      </w:pPr>
      <w:r>
        <w:rPr>
          <w:rFonts w:hint="cs"/>
          <w:rtl/>
        </w:rPr>
        <w:t>الخلفية</w:t>
      </w:r>
    </w:p>
    <w:p w:rsidR="00015EA2" w:rsidRDefault="00904738" w:rsidP="00904738">
      <w:pPr>
        <w:pStyle w:val="ONUMA"/>
      </w:pPr>
      <w:r>
        <w:rPr>
          <w:rFonts w:hint="cs"/>
          <w:rtl/>
        </w:rPr>
        <w:t>أنشأت اللجنة المعنية بمعايير الويبو (لجنة المعايير)، في دورتها الخامسة المعقودة في الفترة من 29 مايو إلى 2 يونيو 2017، المهمة رقم 53 من أجل "</w:t>
      </w:r>
      <w:r w:rsidRPr="00904738">
        <w:rPr>
          <w:rtl/>
        </w:rPr>
        <w:t>تطوير عناصر مخطط لغة الترميز الموسعة (</w:t>
      </w:r>
      <w:r w:rsidRPr="00904738">
        <w:t>XML</w:t>
      </w:r>
      <w:r>
        <w:rPr>
          <w:rtl/>
        </w:rPr>
        <w:t>) للمؤشرات الجغرافية</w:t>
      </w:r>
      <w:r>
        <w:rPr>
          <w:rFonts w:hint="cs"/>
          <w:rtl/>
        </w:rPr>
        <w:t xml:space="preserve">". وعُهد بتلك المهمة الجديدة إلى </w:t>
      </w:r>
      <w:r w:rsidRPr="00904738">
        <w:rPr>
          <w:rtl/>
        </w:rPr>
        <w:t>فرقة</w:t>
      </w:r>
      <w:r>
        <w:rPr>
          <w:rFonts w:hint="cs"/>
          <w:rtl/>
        </w:rPr>
        <w:t xml:space="preserve"> </w:t>
      </w:r>
      <w:r w:rsidRPr="00904738">
        <w:rPr>
          <w:rtl/>
        </w:rPr>
        <w:t xml:space="preserve">عمل </w:t>
      </w:r>
      <w:r w:rsidRPr="00904738">
        <w:t>XML4IP</w:t>
      </w:r>
      <w:r>
        <w:rPr>
          <w:rFonts w:hint="cs"/>
          <w:rtl/>
        </w:rPr>
        <w:t xml:space="preserve"> (انظر الفقرات 25 إلى 29 من الوثيقة </w:t>
      </w:r>
      <w:r>
        <w:t>CWS/5/22</w:t>
      </w:r>
      <w:r>
        <w:rPr>
          <w:rFonts w:hint="cs"/>
          <w:rtl/>
          <w:lang w:bidi="ar-EG"/>
        </w:rPr>
        <w:t>)</w:t>
      </w:r>
      <w:r>
        <w:rPr>
          <w:rFonts w:hint="cs"/>
          <w:rtl/>
        </w:rPr>
        <w:t>.</w:t>
      </w:r>
    </w:p>
    <w:p w:rsidR="00904738" w:rsidRDefault="00D010A3" w:rsidP="001D5351">
      <w:pPr>
        <w:pStyle w:val="Heading2"/>
      </w:pPr>
      <w:r>
        <w:rPr>
          <w:rFonts w:hint="cs"/>
          <w:rtl/>
        </w:rPr>
        <w:t>ال</w:t>
      </w:r>
      <w:r w:rsidR="00904738">
        <w:rPr>
          <w:rFonts w:hint="cs"/>
          <w:rtl/>
        </w:rPr>
        <w:t xml:space="preserve">تقرير </w:t>
      </w:r>
      <w:r>
        <w:rPr>
          <w:rFonts w:hint="cs"/>
          <w:rtl/>
        </w:rPr>
        <w:t>ال</w:t>
      </w:r>
      <w:r w:rsidR="00904738">
        <w:rPr>
          <w:rFonts w:hint="cs"/>
          <w:rtl/>
        </w:rPr>
        <w:t>مرحلي</w:t>
      </w:r>
    </w:p>
    <w:p w:rsidR="001D5351" w:rsidRDefault="001D5351" w:rsidP="001D5351">
      <w:pPr>
        <w:pStyle w:val="ONUMA"/>
      </w:pPr>
      <w:r>
        <w:rPr>
          <w:rFonts w:hint="cs"/>
          <w:rtl/>
        </w:rPr>
        <w:t xml:space="preserve">عقب قرار لجنة المعايير المذكور آنفاً، تطوعت </w:t>
      </w:r>
      <w:r w:rsidRPr="001D5351">
        <w:rPr>
          <w:rtl/>
        </w:rPr>
        <w:t xml:space="preserve">الدائرة الاتحادية الروسية للملكية </w:t>
      </w:r>
      <w:r w:rsidRPr="001D5351">
        <w:rPr>
          <w:rtl/>
        </w:rPr>
        <w:lastRenderedPageBreak/>
        <w:t>الفكري</w:t>
      </w:r>
      <w:r>
        <w:rPr>
          <w:rFonts w:hint="cs"/>
          <w:rtl/>
        </w:rPr>
        <w:t>ة</w:t>
      </w:r>
      <w:r w:rsidR="00E348C8">
        <w:rPr>
          <w:rFonts w:hint="cs"/>
          <w:rtl/>
        </w:rPr>
        <w:t xml:space="preserve"> (</w:t>
      </w:r>
      <w:r w:rsidR="00E348C8">
        <w:t>Rospatent</w:t>
      </w:r>
      <w:r w:rsidR="00E348C8">
        <w:rPr>
          <w:rFonts w:hint="cs"/>
          <w:rtl/>
          <w:lang w:bidi="ar-EG"/>
        </w:rPr>
        <w:t>)</w:t>
      </w:r>
      <w:r>
        <w:rPr>
          <w:rFonts w:hint="cs"/>
          <w:rtl/>
        </w:rPr>
        <w:t xml:space="preserve">، بوصفها عضواً في فرقة العمل ومؤيدة توسيع نطاق معيار الويبو </w:t>
      </w:r>
      <w:r>
        <w:t>ST.96</w:t>
      </w:r>
      <w:r>
        <w:rPr>
          <w:rFonts w:hint="cs"/>
          <w:rtl/>
          <w:lang w:bidi="ar-EG"/>
        </w:rPr>
        <w:t xml:space="preserve"> ليشمل المؤشرات الجغرافية، لإجراء التحليل الأولي وإعداد أول مشروع مخطط للمؤشرات الجغرافية بلغة الترميز الموسعة (</w:t>
      </w:r>
      <w:r>
        <w:rPr>
          <w:lang w:bidi="ar-EG"/>
        </w:rPr>
        <w:t>XML</w:t>
      </w:r>
      <w:r>
        <w:rPr>
          <w:rFonts w:hint="cs"/>
          <w:rtl/>
          <w:lang w:bidi="ar-EG"/>
        </w:rPr>
        <w:t xml:space="preserve">) استناداً إلى معيار الويبو </w:t>
      </w:r>
      <w:r>
        <w:rPr>
          <w:lang w:bidi="ar-EG"/>
        </w:rPr>
        <w:t>ST.96</w:t>
      </w:r>
      <w:r>
        <w:rPr>
          <w:rFonts w:hint="cs"/>
          <w:rtl/>
          <w:lang w:bidi="ar-EG"/>
        </w:rPr>
        <w:t>.</w:t>
      </w:r>
    </w:p>
    <w:p w:rsidR="001D5351" w:rsidRDefault="001D5351" w:rsidP="001D5351">
      <w:pPr>
        <w:pStyle w:val="Heading3"/>
        <w:rPr>
          <w:sz w:val="36"/>
          <w:szCs w:val="36"/>
          <w:u w:val="single"/>
          <w:rtl/>
        </w:rPr>
      </w:pPr>
      <w:r w:rsidRPr="001D5351">
        <w:rPr>
          <w:rFonts w:hint="cs"/>
          <w:sz w:val="36"/>
          <w:szCs w:val="36"/>
          <w:u w:val="single"/>
          <w:rtl/>
        </w:rPr>
        <w:t>جولة المناقشات الأولى</w:t>
      </w:r>
    </w:p>
    <w:p w:rsidR="001D5351" w:rsidRDefault="00E348C8" w:rsidP="00D010A3">
      <w:pPr>
        <w:pStyle w:val="ONUMA"/>
      </w:pPr>
      <w:r>
        <w:rPr>
          <w:rFonts w:hint="cs"/>
          <w:rtl/>
        </w:rPr>
        <w:t>أجرت فرقة العمل جولتين من المناقشات على مشروع مخطط لغة الترميز ال</w:t>
      </w:r>
      <w:r w:rsidR="00D010A3">
        <w:rPr>
          <w:rFonts w:hint="cs"/>
          <w:rtl/>
        </w:rPr>
        <w:t>موسعة (</w:t>
      </w:r>
      <w:r w:rsidR="00D010A3">
        <w:t>XML</w:t>
      </w:r>
      <w:r w:rsidR="00D010A3">
        <w:rPr>
          <w:rFonts w:hint="cs"/>
          <w:rtl/>
          <w:lang w:bidi="ar-EG"/>
        </w:rPr>
        <w:t>)</w:t>
      </w:r>
      <w:r>
        <w:rPr>
          <w:rFonts w:hint="cs"/>
          <w:rtl/>
        </w:rPr>
        <w:t xml:space="preserve"> الذي اقترحته </w:t>
      </w:r>
      <w:r w:rsidRPr="00E348C8">
        <w:rPr>
          <w:rtl/>
        </w:rPr>
        <w:t>الدائرة الاتحادية الروسية للملكية الفكرية</w:t>
      </w:r>
      <w:r>
        <w:rPr>
          <w:rFonts w:hint="cs"/>
          <w:rtl/>
        </w:rPr>
        <w:t xml:space="preserve"> (</w:t>
      </w:r>
      <w:r>
        <w:t>Rospatent</w:t>
      </w:r>
      <w:r>
        <w:rPr>
          <w:rFonts w:hint="cs"/>
          <w:rtl/>
          <w:lang w:bidi="ar-EG"/>
        </w:rPr>
        <w:t xml:space="preserve">). واتفق أعضاء فرقة العمل على </w:t>
      </w:r>
      <w:r w:rsidR="00D010A3">
        <w:rPr>
          <w:rFonts w:hint="cs"/>
          <w:rtl/>
          <w:lang w:bidi="ar-EG"/>
        </w:rPr>
        <w:t>المبدأين التاليين ل</w:t>
      </w:r>
      <w:r>
        <w:rPr>
          <w:rFonts w:hint="cs"/>
          <w:rtl/>
          <w:lang w:bidi="ar-EG"/>
        </w:rPr>
        <w:t xml:space="preserve">نهوج التصميم </w:t>
      </w:r>
      <w:r w:rsidR="00D010A3">
        <w:rPr>
          <w:rFonts w:hint="cs"/>
          <w:rtl/>
          <w:lang w:bidi="ar-EG"/>
        </w:rPr>
        <w:t>الرامية إلى</w:t>
      </w:r>
      <w:r>
        <w:rPr>
          <w:rFonts w:hint="cs"/>
          <w:rtl/>
          <w:lang w:bidi="ar-EG"/>
        </w:rPr>
        <w:t xml:space="preserve"> إعداد مخطط المؤشرات الجغرافية بلغة الترميز الموسعة (</w:t>
      </w:r>
      <w:r>
        <w:rPr>
          <w:lang w:bidi="ar-EG"/>
        </w:rPr>
        <w:t>XML</w:t>
      </w:r>
      <w:r>
        <w:rPr>
          <w:rFonts w:hint="cs"/>
          <w:rtl/>
          <w:lang w:bidi="ar-EG"/>
        </w:rPr>
        <w:t>):</w:t>
      </w:r>
    </w:p>
    <w:p w:rsidR="00E348C8" w:rsidRDefault="00E348C8" w:rsidP="00375099">
      <w:pPr>
        <w:pStyle w:val="ONUMA"/>
        <w:numPr>
          <w:ilvl w:val="2"/>
          <w:numId w:val="11"/>
        </w:numPr>
        <w:ind w:left="567"/>
      </w:pPr>
      <w:r>
        <w:rPr>
          <w:rFonts w:hint="cs"/>
          <w:rtl/>
          <w:lang w:bidi="ar-EG"/>
        </w:rPr>
        <w:t>ينبغي اعتبار عناصر المؤشرات الجغرافية بلغة</w:t>
      </w:r>
      <w:r w:rsidR="00D010A3">
        <w:rPr>
          <w:rFonts w:hint="cs"/>
          <w:rtl/>
          <w:lang w:bidi="ar-EG"/>
        </w:rPr>
        <w:t xml:space="preserve"> الترميز الموسعة (</w:t>
      </w:r>
      <w:r>
        <w:rPr>
          <w:lang w:bidi="ar-EG"/>
        </w:rPr>
        <w:t>XML</w:t>
      </w:r>
      <w:r w:rsidR="00D010A3">
        <w:rPr>
          <w:rFonts w:hint="cs"/>
          <w:rtl/>
          <w:lang w:bidi="ar-EG"/>
        </w:rPr>
        <w:t>)</w:t>
      </w:r>
      <w:r>
        <w:rPr>
          <w:rFonts w:hint="cs"/>
          <w:rtl/>
          <w:lang w:bidi="ar-EG"/>
        </w:rPr>
        <w:t xml:space="preserve"> حقلاً منفصلاً عن العلامات التجارية في معيار الويبو </w:t>
      </w:r>
      <w:r>
        <w:rPr>
          <w:lang w:bidi="ar-EG"/>
        </w:rPr>
        <w:t>ST.96</w:t>
      </w:r>
      <w:r>
        <w:rPr>
          <w:rFonts w:hint="cs"/>
          <w:rtl/>
          <w:lang w:bidi="ar-EG"/>
        </w:rPr>
        <w:t>.</w:t>
      </w:r>
    </w:p>
    <w:p w:rsidR="00E348C8" w:rsidRDefault="00E348C8" w:rsidP="00375099">
      <w:pPr>
        <w:pStyle w:val="ONUMA"/>
        <w:numPr>
          <w:ilvl w:val="2"/>
          <w:numId w:val="11"/>
        </w:numPr>
        <w:ind w:left="567"/>
      </w:pPr>
      <w:r>
        <w:rPr>
          <w:rFonts w:hint="cs"/>
          <w:rtl/>
          <w:lang w:bidi="ar-EG"/>
        </w:rPr>
        <w:t>اختيرت بادئة الأسماء "</w:t>
      </w:r>
      <w:r>
        <w:rPr>
          <w:lang w:bidi="ar-EG"/>
        </w:rPr>
        <w:t>GIN</w:t>
      </w:r>
      <w:r>
        <w:rPr>
          <w:rFonts w:hint="cs"/>
          <w:rtl/>
          <w:lang w:bidi="ar-EG"/>
        </w:rPr>
        <w:t xml:space="preserve">" للمؤشرات الجغرافية في </w:t>
      </w:r>
      <w:r w:rsidR="00D010A3">
        <w:rPr>
          <w:rFonts w:hint="cs"/>
          <w:rtl/>
          <w:lang w:bidi="ar-EG"/>
        </w:rPr>
        <w:t>ال</w:t>
      </w:r>
      <w:r>
        <w:rPr>
          <w:rFonts w:hint="cs"/>
          <w:rtl/>
          <w:lang w:bidi="ar-EG"/>
        </w:rPr>
        <w:t>مخطط</w:t>
      </w:r>
      <w:r w:rsidR="00D010A3">
        <w:rPr>
          <w:rFonts w:hint="cs"/>
          <w:rtl/>
          <w:lang w:bidi="ar-EG"/>
        </w:rPr>
        <w:t xml:space="preserve"> بلغة</w:t>
      </w:r>
      <w:r>
        <w:rPr>
          <w:rFonts w:hint="cs"/>
          <w:rtl/>
          <w:lang w:bidi="ar-EG"/>
        </w:rPr>
        <w:t xml:space="preserve"> </w:t>
      </w:r>
      <w:r>
        <w:rPr>
          <w:lang w:bidi="ar-EG"/>
        </w:rPr>
        <w:t>XML</w:t>
      </w:r>
      <w:r>
        <w:rPr>
          <w:rFonts w:hint="cs"/>
          <w:rtl/>
          <w:lang w:bidi="ar-EG"/>
        </w:rPr>
        <w:t>.</w:t>
      </w:r>
    </w:p>
    <w:p w:rsidR="00E348C8" w:rsidRDefault="00E348C8" w:rsidP="000C702A">
      <w:pPr>
        <w:pStyle w:val="ONUMA"/>
      </w:pPr>
      <w:r>
        <w:rPr>
          <w:rFonts w:hint="cs"/>
          <w:rtl/>
          <w:lang w:bidi="ar-EG"/>
        </w:rPr>
        <w:t xml:space="preserve">وفي الجولة الأولى من المناقشات، أبلغت </w:t>
      </w:r>
      <w:r w:rsidRPr="00E348C8">
        <w:rPr>
          <w:rtl/>
        </w:rPr>
        <w:t>الدائرة الاتحادية الروسية للملكية الفكرية</w:t>
      </w:r>
      <w:r>
        <w:rPr>
          <w:rFonts w:hint="cs"/>
          <w:rtl/>
        </w:rPr>
        <w:t xml:space="preserve"> (</w:t>
      </w:r>
      <w:r>
        <w:t>Rospatent</w:t>
      </w:r>
      <w:r>
        <w:rPr>
          <w:rFonts w:hint="cs"/>
          <w:rtl/>
          <w:lang w:bidi="ar-EG"/>
        </w:rPr>
        <w:t xml:space="preserve">) بأنها قد درست هيكل الطلب الدولي والسجل الوطني الحكومي فضلاً عن بيانات لشبونة بنسق </w:t>
      </w:r>
      <w:r>
        <w:rPr>
          <w:lang w:bidi="ar-EG"/>
        </w:rPr>
        <w:t>XML</w:t>
      </w:r>
      <w:r>
        <w:rPr>
          <w:rFonts w:hint="cs"/>
          <w:rtl/>
          <w:lang w:bidi="ar-EG"/>
        </w:rPr>
        <w:t xml:space="preserve"> وقاعدة بيانات المؤشرات الجغرافية لرابطة أمم جنوب شرق آسيا. وكشفت تلك الدراسة </w:t>
      </w:r>
      <w:r w:rsidR="000C702A">
        <w:rPr>
          <w:rFonts w:hint="cs"/>
          <w:rtl/>
          <w:lang w:bidi="ar-EG"/>
        </w:rPr>
        <w:t>عن اختيار أول عناصر عمل وهي "الطلب" و"المؤشر الجغرافي" و"شهادة الحق في استخدا</w:t>
      </w:r>
      <w:r w:rsidR="000C702A">
        <w:rPr>
          <w:rtl/>
          <w:lang w:bidi="ar-EG"/>
        </w:rPr>
        <w:t>م</w:t>
      </w:r>
      <w:r w:rsidR="000C702A">
        <w:rPr>
          <w:rFonts w:hint="cs"/>
          <w:rtl/>
          <w:lang w:bidi="ar-EG"/>
        </w:rPr>
        <w:t xml:space="preserve"> المؤشر الجغرافي".</w:t>
      </w:r>
    </w:p>
    <w:p w:rsidR="000C702A" w:rsidRDefault="000C702A" w:rsidP="00D010A3">
      <w:pPr>
        <w:pStyle w:val="ONUMA"/>
      </w:pPr>
      <w:r>
        <w:rPr>
          <w:rFonts w:hint="cs"/>
          <w:rtl/>
          <w:lang w:bidi="ar-EG"/>
        </w:rPr>
        <w:t xml:space="preserve">وقدَّمت </w:t>
      </w:r>
      <w:r w:rsidRPr="00E348C8">
        <w:rPr>
          <w:rtl/>
        </w:rPr>
        <w:t>الدائرة الاتحادية الروسية للملكية الفكرية</w:t>
      </w:r>
      <w:r>
        <w:rPr>
          <w:rFonts w:hint="cs"/>
          <w:rtl/>
        </w:rPr>
        <w:t xml:space="preserve"> (</w:t>
      </w:r>
      <w:r>
        <w:t>Rospatent</w:t>
      </w:r>
      <w:r>
        <w:rPr>
          <w:rFonts w:hint="cs"/>
          <w:rtl/>
          <w:lang w:bidi="ar-EG"/>
        </w:rPr>
        <w:t xml:space="preserve">) النسخة الأولى من مشروع </w:t>
      </w:r>
      <w:r>
        <w:rPr>
          <w:rFonts w:hint="cs"/>
          <w:rtl/>
          <w:lang w:bidi="ar-EG"/>
        </w:rPr>
        <w:lastRenderedPageBreak/>
        <w:t xml:space="preserve">مخطط المؤشرات الجغرافية بلغة </w:t>
      </w:r>
      <w:r w:rsidR="00D010A3">
        <w:rPr>
          <w:lang w:bidi="ar-EG"/>
        </w:rPr>
        <w:t>XML</w:t>
      </w:r>
      <w:r>
        <w:rPr>
          <w:rFonts w:hint="cs"/>
          <w:rtl/>
          <w:lang w:bidi="ar-EG"/>
        </w:rPr>
        <w:t xml:space="preserve"> كي ينظر فيه أعضاء فرقة العمل. وناقشت فرقة العمل </w:t>
      </w:r>
      <w:r w:rsidR="0095438B">
        <w:rPr>
          <w:rFonts w:hint="cs"/>
          <w:rtl/>
          <w:lang w:bidi="ar-EG"/>
        </w:rPr>
        <w:t>المشروع الأول على المنتدى الإلكتروني للويبو (الويكي) وخلال اجتماعها المعقود في أوتاوا بكندا في الفترة من 18 إلى 22 سبتمبر 2017. وقدَّم المكتب الكندي للملكية الفكرية ومكتب الاتحاد الأوروبي للملكية الفكرية مساهمات قيمة خلال تلك المناقشات.</w:t>
      </w:r>
    </w:p>
    <w:p w:rsidR="0095438B" w:rsidRDefault="0095438B" w:rsidP="00D010A3">
      <w:pPr>
        <w:pStyle w:val="ONUMA"/>
      </w:pPr>
      <w:r>
        <w:rPr>
          <w:rFonts w:hint="cs"/>
          <w:rtl/>
        </w:rPr>
        <w:t xml:space="preserve">ونظِّم مؤتمر شبكي لمناقشة المسائل العالقة، </w:t>
      </w:r>
      <w:r w:rsidR="00D010A3">
        <w:rPr>
          <w:rFonts w:hint="cs"/>
          <w:rtl/>
        </w:rPr>
        <w:t>ومنها</w:t>
      </w:r>
      <w:r>
        <w:rPr>
          <w:rFonts w:hint="cs"/>
          <w:rtl/>
        </w:rPr>
        <w:t xml:space="preserve"> تصنيف المؤشرات الجغرافية وتعريفها. ومع مراعاة النص الذي اقترحه المكتب الدولي، اتفق أعضاء فرقة العمل مؤقتاً على تعريف للمؤشر الجغرافي و</w:t>
      </w:r>
      <w:r w:rsidR="00D010A3">
        <w:rPr>
          <w:rFonts w:hint="cs"/>
          <w:rtl/>
        </w:rPr>
        <w:t xml:space="preserve">تعريف </w:t>
      </w:r>
      <w:r>
        <w:rPr>
          <w:rFonts w:hint="cs"/>
          <w:rtl/>
        </w:rPr>
        <w:t xml:space="preserve">لتسمية المنشأ لغرض تنفيذ المهمة رقم 53. </w:t>
      </w:r>
      <w:r w:rsidR="00D010A3">
        <w:rPr>
          <w:rFonts w:hint="cs"/>
          <w:rtl/>
        </w:rPr>
        <w:t>يلي بيانهما</w:t>
      </w:r>
      <w:r>
        <w:rPr>
          <w:rFonts w:hint="cs"/>
          <w:rtl/>
        </w:rPr>
        <w:t>:</w:t>
      </w:r>
    </w:p>
    <w:p w:rsidR="0095438B" w:rsidRDefault="0095438B" w:rsidP="00375099">
      <w:pPr>
        <w:pStyle w:val="ONUMA"/>
        <w:numPr>
          <w:ilvl w:val="2"/>
          <w:numId w:val="11"/>
        </w:numPr>
        <w:ind w:hanging="567"/>
      </w:pPr>
      <w:r>
        <w:rPr>
          <w:rFonts w:hint="cs"/>
          <w:rtl/>
        </w:rPr>
        <w:t>"</w:t>
      </w:r>
      <w:r w:rsidRPr="0095438B">
        <w:rPr>
          <w:rtl/>
        </w:rPr>
        <w:t xml:space="preserve">المؤشرات الجغرافية </w:t>
      </w:r>
      <w:r>
        <w:rPr>
          <w:rFonts w:hint="cs"/>
          <w:rtl/>
        </w:rPr>
        <w:t xml:space="preserve">هي </w:t>
      </w:r>
      <w:r w:rsidRPr="0095438B">
        <w:rPr>
          <w:rtl/>
        </w:rPr>
        <w:t>المؤشرات التي تبين منشأ سلعة من إقليم</w:t>
      </w:r>
      <w:r>
        <w:rPr>
          <w:rFonts w:hint="cs"/>
          <w:rtl/>
        </w:rPr>
        <w:t xml:space="preserve"> بلد</w:t>
      </w:r>
      <w:r w:rsidRPr="0095438B">
        <w:rPr>
          <w:rtl/>
        </w:rPr>
        <w:t xml:space="preserve"> أو منطقة أو </w:t>
      </w:r>
      <w:r w:rsidR="00E1149A">
        <w:rPr>
          <w:rFonts w:hint="cs"/>
          <w:rtl/>
        </w:rPr>
        <w:t>جهة</w:t>
      </w:r>
      <w:r w:rsidRPr="0095438B">
        <w:rPr>
          <w:rtl/>
        </w:rPr>
        <w:t xml:space="preserve"> </w:t>
      </w:r>
      <w:r>
        <w:rPr>
          <w:rFonts w:hint="cs"/>
          <w:rtl/>
        </w:rPr>
        <w:t xml:space="preserve">ما </w:t>
      </w:r>
      <w:r w:rsidRPr="0095438B">
        <w:rPr>
          <w:rtl/>
        </w:rPr>
        <w:t>في ذلك الإقليم</w:t>
      </w:r>
      <w:r>
        <w:rPr>
          <w:rFonts w:hint="cs"/>
          <w:rtl/>
        </w:rPr>
        <w:t>،</w:t>
      </w:r>
      <w:r w:rsidRPr="0095438B">
        <w:rPr>
          <w:rtl/>
        </w:rPr>
        <w:t xml:space="preserve"> وتُعزى جودة السلعة أو شهرتها أو سماتها الأخرى أساساً إلى منشئها الجغرافي".</w:t>
      </w:r>
    </w:p>
    <w:p w:rsidR="0095438B" w:rsidRPr="00E1149A" w:rsidRDefault="0095438B" w:rsidP="00D010A3">
      <w:pPr>
        <w:pStyle w:val="BodyTextFirstIndent"/>
        <w:ind w:left="1134"/>
        <w:rPr>
          <w:i/>
          <w:iCs/>
          <w:rtl/>
        </w:rPr>
      </w:pPr>
      <w:r w:rsidRPr="00E1149A">
        <w:rPr>
          <w:rFonts w:hint="cs"/>
          <w:i/>
          <w:iCs/>
          <w:rtl/>
        </w:rPr>
        <w:t>[ملحوظة: هذا التعريف مكافئ لتعريف المؤشر الجغرافي الوارد في المادة 22(1) من اتفاق تريبس والمادة</w:t>
      </w:r>
      <w:r w:rsidR="00D010A3">
        <w:rPr>
          <w:rFonts w:hint="eastAsia"/>
          <w:i/>
          <w:iCs/>
          <w:rtl/>
        </w:rPr>
        <w:t> </w:t>
      </w:r>
      <w:r w:rsidRPr="00E1149A">
        <w:rPr>
          <w:rFonts w:hint="cs"/>
          <w:i/>
          <w:iCs/>
          <w:rtl/>
        </w:rPr>
        <w:t xml:space="preserve">2(1)"2" من وثيقة جنيف لاتفاق لشبونة بشأن تسميات المنشأ والمؤشرات الجغرافية. وللحصول على صفة المؤشر الجغرافي، </w:t>
      </w:r>
      <w:r w:rsidRPr="00E1149A">
        <w:rPr>
          <w:i/>
          <w:iCs/>
          <w:rtl/>
        </w:rPr>
        <w:t xml:space="preserve">يجب أن </w:t>
      </w:r>
      <w:r w:rsidRPr="00E1149A">
        <w:rPr>
          <w:rFonts w:hint="cs"/>
          <w:i/>
          <w:iCs/>
          <w:rtl/>
        </w:rPr>
        <w:t>ي</w:t>
      </w:r>
      <w:r w:rsidRPr="00E1149A">
        <w:rPr>
          <w:i/>
          <w:iCs/>
          <w:rtl/>
        </w:rPr>
        <w:t xml:space="preserve">عرِّف </w:t>
      </w:r>
      <w:r w:rsidRPr="00E1149A">
        <w:rPr>
          <w:rFonts w:hint="cs"/>
          <w:i/>
          <w:iCs/>
          <w:rtl/>
        </w:rPr>
        <w:t xml:space="preserve">المؤشر </w:t>
      </w:r>
      <w:r w:rsidRPr="00E1149A">
        <w:rPr>
          <w:i/>
          <w:iCs/>
          <w:rtl/>
        </w:rPr>
        <w:t>منتجاً بمنشئه في مكان بعينه.</w:t>
      </w:r>
      <w:r w:rsidRPr="00E1149A">
        <w:rPr>
          <w:rFonts w:hint="cs"/>
          <w:i/>
          <w:iCs/>
          <w:rtl/>
        </w:rPr>
        <w:t xml:space="preserve"> وإضافة إلى ذلك، ينبغي أن</w:t>
      </w:r>
      <w:r w:rsidR="00D010A3">
        <w:rPr>
          <w:rFonts w:hint="eastAsia"/>
          <w:i/>
          <w:iCs/>
          <w:rtl/>
        </w:rPr>
        <w:t> </w:t>
      </w:r>
      <w:r w:rsidRPr="00E1149A">
        <w:rPr>
          <w:rFonts w:hint="cs"/>
          <w:i/>
          <w:iCs/>
          <w:rtl/>
        </w:rPr>
        <w:t xml:space="preserve">تكون جودة المنتج أو سمعته أو إحدى سماته الأخرى </w:t>
      </w:r>
      <w:r w:rsidR="00E1149A" w:rsidRPr="00E1149A">
        <w:rPr>
          <w:rFonts w:hint="cs"/>
          <w:i/>
          <w:iCs/>
          <w:rtl/>
        </w:rPr>
        <w:t>متصلة بمكان المنشأ. ونظراً إلى أن جودة السلعة أو</w:t>
      </w:r>
      <w:r w:rsidR="00D010A3">
        <w:rPr>
          <w:rFonts w:hint="eastAsia"/>
          <w:i/>
          <w:iCs/>
          <w:rtl/>
        </w:rPr>
        <w:t> </w:t>
      </w:r>
      <w:r w:rsidR="00E1149A" w:rsidRPr="00E1149A">
        <w:rPr>
          <w:rFonts w:hint="cs"/>
          <w:i/>
          <w:iCs/>
          <w:rtl/>
        </w:rPr>
        <w:t>سمعتها أو سماتها الأخرى تعتمد على الموقع الجغرافي للإنتاج، تتبيَّن</w:t>
      </w:r>
      <w:r w:rsidR="00E1149A" w:rsidRPr="00E1149A">
        <w:rPr>
          <w:i/>
          <w:iCs/>
          <w:rtl/>
        </w:rPr>
        <w:t xml:space="preserve"> الصلة بين المنتج ومكان إنتاجه الأصلي</w:t>
      </w:r>
      <w:r w:rsidR="00E1149A" w:rsidRPr="00E1149A">
        <w:rPr>
          <w:rFonts w:hint="cs"/>
          <w:i/>
          <w:iCs/>
          <w:rtl/>
        </w:rPr>
        <w:t>.]</w:t>
      </w:r>
    </w:p>
    <w:p w:rsidR="0095438B" w:rsidRDefault="00E1149A" w:rsidP="00375099">
      <w:pPr>
        <w:pStyle w:val="ONUMA"/>
        <w:keepNext/>
        <w:numPr>
          <w:ilvl w:val="2"/>
          <w:numId w:val="11"/>
        </w:numPr>
        <w:ind w:hanging="567"/>
      </w:pPr>
      <w:r>
        <w:rPr>
          <w:rFonts w:hint="cs"/>
          <w:rtl/>
        </w:rPr>
        <w:lastRenderedPageBreak/>
        <w:t>"</w:t>
      </w:r>
      <w:r w:rsidR="00D010A3">
        <w:rPr>
          <w:rFonts w:hint="cs"/>
          <w:rtl/>
        </w:rPr>
        <w:t xml:space="preserve">تسمية </w:t>
      </w:r>
      <w:r>
        <w:rPr>
          <w:rFonts w:hint="cs"/>
          <w:rtl/>
        </w:rPr>
        <w:t xml:space="preserve">المنشأ هي </w:t>
      </w:r>
      <w:r w:rsidRPr="00E1149A">
        <w:rPr>
          <w:rtl/>
        </w:rPr>
        <w:t xml:space="preserve">التسمية الجغرافية لأي بلد أو إقليم أو جهة، التي تستخدم للدلالة على أحد المنتجات الناشئة في هذا البلد أو الإقليم أو الجهة، والتي تعود جودته أو خصائصه </w:t>
      </w:r>
      <w:r>
        <w:rPr>
          <w:rFonts w:hint="cs"/>
          <w:rtl/>
        </w:rPr>
        <w:t>حصرا</w:t>
      </w:r>
      <w:r w:rsidRPr="00E1149A">
        <w:rPr>
          <w:rtl/>
        </w:rPr>
        <w:t xml:space="preserve"> أو أساسا إلى البيئة الجغرافية، بما في ذلك العوامل الطبيعية والبشرية</w:t>
      </w:r>
      <w:r>
        <w:rPr>
          <w:rFonts w:hint="cs"/>
          <w:rtl/>
        </w:rPr>
        <w:t>."</w:t>
      </w:r>
    </w:p>
    <w:p w:rsidR="00E1149A" w:rsidRDefault="00E1149A" w:rsidP="00D010A3">
      <w:pPr>
        <w:pStyle w:val="BodyTextFirstIndent"/>
        <w:ind w:left="1134"/>
        <w:rPr>
          <w:i/>
          <w:iCs/>
          <w:rtl/>
        </w:rPr>
      </w:pPr>
      <w:r w:rsidRPr="00E1149A">
        <w:rPr>
          <w:i/>
          <w:iCs/>
          <w:rtl/>
        </w:rPr>
        <w:t>[ملحوظة: هذا التعريف مكافئ لتعريف</w:t>
      </w:r>
      <w:r>
        <w:rPr>
          <w:rFonts w:hint="cs"/>
          <w:i/>
          <w:iCs/>
          <w:rtl/>
        </w:rPr>
        <w:t xml:space="preserve"> تسمية المنشأ الوارد في المادة 2 من اتفاق لشبونة والمادة 2(1)"1" من </w:t>
      </w:r>
      <w:r w:rsidRPr="00E1149A">
        <w:rPr>
          <w:i/>
          <w:iCs/>
          <w:rtl/>
        </w:rPr>
        <w:t>وثيقة جنيف لاتفاق لشبونة بشأن تسميات المنشأ والمؤشرات الجغرافية.</w:t>
      </w:r>
      <w:r>
        <w:rPr>
          <w:rFonts w:hint="cs"/>
          <w:i/>
          <w:iCs/>
          <w:rtl/>
        </w:rPr>
        <w:t xml:space="preserve"> وتسمية المنشأ والمؤشر الجغرافي كلاهما يقتضي وجود رابط نوعي</w:t>
      </w:r>
      <w:r w:rsidRPr="00E1149A">
        <w:rPr>
          <w:i/>
          <w:iCs/>
          <w:rtl/>
        </w:rPr>
        <w:t xml:space="preserve"> بين المنتج الذي يشير إليه ومكان منشئه.</w:t>
      </w:r>
      <w:r>
        <w:rPr>
          <w:rFonts w:hint="cs"/>
          <w:i/>
          <w:iCs/>
          <w:rtl/>
        </w:rPr>
        <w:t xml:space="preserve"> </w:t>
      </w:r>
      <w:r w:rsidRPr="00E1149A">
        <w:rPr>
          <w:i/>
          <w:iCs/>
          <w:rtl/>
        </w:rPr>
        <w:t xml:space="preserve">والفرق الأساسي بين المفهومين أن ذلك الرابط مع مكان المنشأ ينبغي أن </w:t>
      </w:r>
      <w:r>
        <w:rPr>
          <w:rFonts w:hint="cs"/>
          <w:i/>
          <w:iCs/>
          <w:rtl/>
        </w:rPr>
        <w:t>يكون</w:t>
      </w:r>
      <w:r w:rsidRPr="00E1149A">
        <w:rPr>
          <w:i/>
          <w:iCs/>
          <w:rtl/>
        </w:rPr>
        <w:t xml:space="preserve"> أقوى في حالة تسمية المنشأ.</w:t>
      </w:r>
      <w:r>
        <w:rPr>
          <w:rFonts w:hint="cs"/>
          <w:i/>
          <w:iCs/>
          <w:rtl/>
        </w:rPr>
        <w:t xml:space="preserve"> إذ يجب أن تكون </w:t>
      </w:r>
      <w:r w:rsidRPr="00E1149A">
        <w:rPr>
          <w:i/>
          <w:iCs/>
          <w:rtl/>
        </w:rPr>
        <w:t>مزايا وخصائص المنتج المحمي باعتباره تسمية منشأ ناجمة حصراً أو أساساً عن منشئه الجغرافي.</w:t>
      </w:r>
      <w:r>
        <w:rPr>
          <w:rFonts w:hint="cs"/>
          <w:i/>
          <w:iCs/>
          <w:rtl/>
        </w:rPr>
        <w:t xml:space="preserve"> </w:t>
      </w:r>
      <w:r w:rsidRPr="00E1149A">
        <w:rPr>
          <w:i/>
          <w:iCs/>
          <w:rtl/>
        </w:rPr>
        <w:t xml:space="preserve">ويعني ذلك </w:t>
      </w:r>
      <w:r w:rsidR="00D010A3">
        <w:rPr>
          <w:rFonts w:hint="cs"/>
          <w:i/>
          <w:iCs/>
          <w:rtl/>
        </w:rPr>
        <w:t>عامة</w:t>
      </w:r>
      <w:r w:rsidR="00D010A3" w:rsidRPr="00E1149A">
        <w:rPr>
          <w:i/>
          <w:iCs/>
          <w:rtl/>
        </w:rPr>
        <w:t xml:space="preserve"> </w:t>
      </w:r>
      <w:r w:rsidRPr="00E1149A">
        <w:rPr>
          <w:i/>
          <w:iCs/>
          <w:rtl/>
        </w:rPr>
        <w:t>أن يكون المنشأ هو مصدر المواد الخام ومكان صُنع المنتج.</w:t>
      </w:r>
      <w:r w:rsidR="0014121C">
        <w:rPr>
          <w:rFonts w:hint="cs"/>
          <w:i/>
          <w:iCs/>
          <w:rtl/>
        </w:rPr>
        <w:t>]</w:t>
      </w:r>
    </w:p>
    <w:p w:rsidR="0014121C" w:rsidRDefault="0014121C" w:rsidP="00D010A3">
      <w:pPr>
        <w:pStyle w:val="ONUMA"/>
      </w:pPr>
      <w:r>
        <w:rPr>
          <w:rFonts w:hint="cs"/>
          <w:rtl/>
        </w:rPr>
        <w:t xml:space="preserve">وفيما يخص التصنيف، اتفق أعضاء فرقة العمل على تعريف مكون التصنيف بلغة </w:t>
      </w:r>
      <w:r>
        <w:t>XML</w:t>
      </w:r>
      <w:r>
        <w:rPr>
          <w:rFonts w:hint="cs"/>
          <w:rtl/>
          <w:lang w:bidi="ar-EG"/>
        </w:rPr>
        <w:t xml:space="preserve"> عن طريق إدراج الممارسات القائمة والاتفاق مؤقتاً على الرجوع إلى تصنيف نيس والتصنيف غير الرسمي المستخدم في قاعدة بيانات لشبونة والتصنيف</w:t>
      </w:r>
      <w:r w:rsidR="00D010A3">
        <w:rPr>
          <w:rFonts w:hint="eastAsia"/>
          <w:rtl/>
          <w:lang w:bidi="ar-EG"/>
        </w:rPr>
        <w:t> </w:t>
      </w:r>
      <w:r>
        <w:rPr>
          <w:rFonts w:hint="cs"/>
          <w:rtl/>
          <w:lang w:bidi="ar-EG"/>
        </w:rPr>
        <w:t>الوطني.</w:t>
      </w:r>
    </w:p>
    <w:p w:rsidR="0014121C" w:rsidRDefault="0014121C" w:rsidP="0014121C">
      <w:pPr>
        <w:pStyle w:val="Heading3"/>
        <w:rPr>
          <w:sz w:val="36"/>
          <w:szCs w:val="36"/>
          <w:u w:val="single"/>
          <w:rtl/>
          <w:lang w:bidi="ar-EG"/>
        </w:rPr>
      </w:pPr>
      <w:r w:rsidRPr="0014121C">
        <w:rPr>
          <w:rFonts w:hint="cs"/>
          <w:sz w:val="36"/>
          <w:szCs w:val="36"/>
          <w:u w:val="single"/>
          <w:rtl/>
          <w:lang w:bidi="ar-EG"/>
        </w:rPr>
        <w:t>جولة المناقشات الثانية</w:t>
      </w:r>
    </w:p>
    <w:p w:rsidR="0014121C" w:rsidRDefault="0014121C" w:rsidP="0014121C">
      <w:pPr>
        <w:pStyle w:val="ONUMA"/>
      </w:pPr>
      <w:r>
        <w:rPr>
          <w:rFonts w:hint="cs"/>
          <w:rtl/>
        </w:rPr>
        <w:t xml:space="preserve">خلال الجولة الثانية من المناقشات، قدمت </w:t>
      </w:r>
      <w:r w:rsidRPr="0014121C">
        <w:rPr>
          <w:rtl/>
        </w:rPr>
        <w:t>الدائرة الاتحادية الروسية للملكية الفكرية (</w:t>
      </w:r>
      <w:r w:rsidRPr="0014121C">
        <w:t>Rospatent</w:t>
      </w:r>
      <w:r w:rsidRPr="0014121C">
        <w:rPr>
          <w:rtl/>
        </w:rPr>
        <w:t>)</w:t>
      </w:r>
      <w:r>
        <w:rPr>
          <w:rFonts w:hint="cs"/>
          <w:rtl/>
          <w:lang w:bidi="ar-EG"/>
        </w:rPr>
        <w:t xml:space="preserve"> نسخة معدَّلة من مشروع مخطط </w:t>
      </w:r>
      <w:r>
        <w:rPr>
          <w:lang w:bidi="ar-EG"/>
        </w:rPr>
        <w:t>XML</w:t>
      </w:r>
      <w:r>
        <w:rPr>
          <w:rFonts w:hint="cs"/>
          <w:rtl/>
          <w:lang w:bidi="ar-EG"/>
        </w:rPr>
        <w:t xml:space="preserve">. </w:t>
      </w:r>
      <w:r>
        <w:rPr>
          <w:rFonts w:hint="cs"/>
          <w:rtl/>
          <w:lang w:bidi="ar-EG"/>
        </w:rPr>
        <w:lastRenderedPageBreak/>
        <w:t xml:space="preserve">وفي تلك النسخة المعدَّلة، وسِّع نطاق وصف المنطقة الجغرافية على أساس دراسة للوائح التي تنظم المؤشرات الجغرافية في مكاتب مختلفة للملكية الفكرية مثل </w:t>
      </w:r>
      <w:r w:rsidRPr="0014121C">
        <w:rPr>
          <w:rtl/>
          <w:lang w:bidi="ar-EG"/>
        </w:rPr>
        <w:t>وكالة الملكية الفكرية لجمهورية أرمينيا</w:t>
      </w:r>
      <w:r>
        <w:rPr>
          <w:rFonts w:hint="cs"/>
          <w:rtl/>
          <w:lang w:bidi="ar-EG"/>
        </w:rPr>
        <w:t xml:space="preserve"> (</w:t>
      </w:r>
      <w:r>
        <w:rPr>
          <w:lang w:bidi="ar-EG"/>
        </w:rPr>
        <w:t>AIPA</w:t>
      </w:r>
      <w:r>
        <w:rPr>
          <w:rFonts w:hint="cs"/>
          <w:rtl/>
          <w:lang w:bidi="ar-EG"/>
        </w:rPr>
        <w:t>) التابعة لوزارة الاقتصاد في جمهورية أرمينيا، والمركز الوطني للملكية الفكرية في بيلاروس (</w:t>
      </w:r>
      <w:r>
        <w:rPr>
          <w:lang w:bidi="ar-EG"/>
        </w:rPr>
        <w:t>NCIP</w:t>
      </w:r>
      <w:r>
        <w:rPr>
          <w:rFonts w:hint="cs"/>
          <w:rtl/>
          <w:lang w:bidi="ar-EG"/>
        </w:rPr>
        <w:t>) والمكتب الكندي للملكية الفكرية (</w:t>
      </w:r>
      <w:r>
        <w:rPr>
          <w:lang w:bidi="ar-EG"/>
        </w:rPr>
        <w:t>CIPO</w:t>
      </w:r>
      <w:r>
        <w:rPr>
          <w:rFonts w:hint="cs"/>
          <w:rtl/>
          <w:lang w:bidi="ar-EG"/>
        </w:rPr>
        <w:t>) و</w:t>
      </w:r>
      <w:r w:rsidRPr="0014121C">
        <w:rPr>
          <w:rtl/>
          <w:lang w:bidi="ar-EG"/>
        </w:rPr>
        <w:t>دائرة الملكية الفكرية والابتكار لحكومة جمهورية قيرغيزستان</w:t>
      </w:r>
      <w:r>
        <w:rPr>
          <w:rFonts w:hint="cs"/>
          <w:rtl/>
          <w:lang w:bidi="ar-EG"/>
        </w:rPr>
        <w:t xml:space="preserve"> (</w:t>
      </w:r>
      <w:r>
        <w:rPr>
          <w:lang w:bidi="ar-EG"/>
        </w:rPr>
        <w:t>Kyrgyzpatent</w:t>
      </w:r>
      <w:r>
        <w:rPr>
          <w:rFonts w:hint="cs"/>
          <w:rtl/>
          <w:lang w:bidi="ar-EG"/>
        </w:rPr>
        <w:t>) والمكتب الإسباني للبراءات والعلامات التجارية (</w:t>
      </w:r>
      <w:r>
        <w:rPr>
          <w:lang w:bidi="ar-EG"/>
        </w:rPr>
        <w:t>OEPM</w:t>
      </w:r>
      <w:r>
        <w:rPr>
          <w:rFonts w:hint="cs"/>
          <w:rtl/>
          <w:lang w:bidi="ar-EG"/>
        </w:rPr>
        <w:t xml:space="preserve">) التابع لوزارة الطاقة والسياحة والأجندة الرقمية؛ وأضيفت مجموعة جديدة من العناصر (الحاويات) إلى بعض المكونات القائمة بلغة </w:t>
      </w:r>
      <w:r>
        <w:rPr>
          <w:lang w:bidi="ar-EG"/>
        </w:rPr>
        <w:t>XML</w:t>
      </w:r>
      <w:r>
        <w:rPr>
          <w:rFonts w:hint="cs"/>
          <w:rtl/>
          <w:lang w:bidi="ar-EG"/>
        </w:rPr>
        <w:t xml:space="preserve"> وغيِّرت وجمِّعت توصيفات بيان المنتج وسماته.</w:t>
      </w:r>
    </w:p>
    <w:p w:rsidR="0014121C" w:rsidRDefault="0014121C" w:rsidP="00D010A3">
      <w:pPr>
        <w:pStyle w:val="ONUMA"/>
      </w:pPr>
      <w:r>
        <w:rPr>
          <w:rFonts w:hint="cs"/>
          <w:rtl/>
        </w:rPr>
        <w:t xml:space="preserve">وخضع المشروع الثاني لمناقشات مستفيضة عبر المنتدى الإلكتروني للويبو (الويكي) وخلال اجتماع فرقة عمل </w:t>
      </w:r>
      <w:r>
        <w:t>XML4IP</w:t>
      </w:r>
      <w:r>
        <w:rPr>
          <w:rFonts w:hint="cs"/>
          <w:rtl/>
          <w:lang w:bidi="ar-EG"/>
        </w:rPr>
        <w:t xml:space="preserve"> المعقود في موسكو (روسيا) في الفترة من 14 إلى 18 مايو 2018. وقدَّم مكتب الاتحاد الأوروبي للملكية الفكرية قائمة </w:t>
      </w:r>
      <w:r w:rsidR="00D010A3">
        <w:rPr>
          <w:rFonts w:hint="cs"/>
          <w:rtl/>
          <w:lang w:bidi="ar-EG"/>
        </w:rPr>
        <w:t>موسعة</w:t>
      </w:r>
      <w:r>
        <w:rPr>
          <w:rFonts w:hint="cs"/>
          <w:rtl/>
          <w:lang w:bidi="ar-EG"/>
        </w:rPr>
        <w:t xml:space="preserve"> بعناصر العمل ومصادر البيانات من أجل تحليل وإعداد مكونات المؤشرات الجغرافية في </w:t>
      </w:r>
      <w:r w:rsidR="00D010A3">
        <w:rPr>
          <w:rFonts w:hint="cs"/>
          <w:rtl/>
          <w:lang w:bidi="ar-EG"/>
        </w:rPr>
        <w:t>ال</w:t>
      </w:r>
      <w:r>
        <w:rPr>
          <w:rFonts w:hint="cs"/>
          <w:rtl/>
          <w:lang w:bidi="ar-EG"/>
        </w:rPr>
        <w:t xml:space="preserve">مخطط </w:t>
      </w:r>
      <w:r w:rsidR="00D010A3">
        <w:rPr>
          <w:rFonts w:hint="cs"/>
          <w:rtl/>
          <w:lang w:bidi="ar-EG"/>
        </w:rPr>
        <w:t>ب</w:t>
      </w:r>
      <w:r>
        <w:rPr>
          <w:rFonts w:hint="cs"/>
          <w:rtl/>
          <w:lang w:bidi="ar-EG"/>
        </w:rPr>
        <w:t xml:space="preserve">لغة </w:t>
      </w:r>
      <w:r>
        <w:rPr>
          <w:lang w:bidi="ar-EG"/>
        </w:rPr>
        <w:t>XML</w:t>
      </w:r>
      <w:r>
        <w:rPr>
          <w:rFonts w:hint="cs"/>
          <w:rtl/>
          <w:lang w:bidi="ar-EG"/>
        </w:rPr>
        <w:t xml:space="preserve"> (انظر المرفق الأول من هذه الوثيقة).</w:t>
      </w:r>
    </w:p>
    <w:p w:rsidR="0014121C" w:rsidRDefault="0014121C" w:rsidP="0083614A">
      <w:pPr>
        <w:pStyle w:val="ONUMA"/>
      </w:pPr>
      <w:r>
        <w:rPr>
          <w:rFonts w:hint="cs"/>
          <w:rtl/>
        </w:rPr>
        <w:t xml:space="preserve">ومتابعةً للمناقشات واجتماع فرقة عمل </w:t>
      </w:r>
      <w:r>
        <w:t>XML4IP</w:t>
      </w:r>
      <w:r>
        <w:rPr>
          <w:rFonts w:hint="cs"/>
          <w:rtl/>
          <w:lang w:bidi="ar-EG"/>
        </w:rPr>
        <w:t xml:space="preserve"> في موسكو وما توصل</w:t>
      </w:r>
      <w:r w:rsidR="00D010A3">
        <w:rPr>
          <w:rFonts w:hint="cs"/>
          <w:rtl/>
          <w:lang w:bidi="ar-EG"/>
        </w:rPr>
        <w:t>ت</w:t>
      </w:r>
      <w:r>
        <w:rPr>
          <w:rFonts w:hint="cs"/>
          <w:rtl/>
          <w:lang w:bidi="ar-EG"/>
        </w:rPr>
        <w:t xml:space="preserve"> إليه من اتفاقات، عملت </w:t>
      </w:r>
      <w:r w:rsidRPr="0014121C">
        <w:rPr>
          <w:rtl/>
          <w:lang w:bidi="ar-EG"/>
        </w:rPr>
        <w:t>الدائرة الاتحادية الروسية للملكية الفكرية (</w:t>
      </w:r>
      <w:r w:rsidRPr="0014121C">
        <w:rPr>
          <w:lang w:bidi="ar-EG"/>
        </w:rPr>
        <w:t>Rospatent</w:t>
      </w:r>
      <w:r>
        <w:rPr>
          <w:rtl/>
          <w:lang w:bidi="ar-EG"/>
        </w:rPr>
        <w:t>)</w:t>
      </w:r>
      <w:r>
        <w:rPr>
          <w:rFonts w:hint="cs"/>
          <w:rtl/>
          <w:lang w:bidi="ar-EG"/>
        </w:rPr>
        <w:t xml:space="preserve"> ومكتب الاتحاد الأوروبي للملكية الفكرية (</w:t>
      </w:r>
      <w:r>
        <w:rPr>
          <w:lang w:bidi="ar-EG"/>
        </w:rPr>
        <w:t>EUIPO</w:t>
      </w:r>
      <w:r>
        <w:rPr>
          <w:rFonts w:hint="cs"/>
          <w:rtl/>
          <w:lang w:bidi="ar-EG"/>
        </w:rPr>
        <w:t>) على إعداد جدول للربط بين مكونات المؤشرات الجغرافي</w:t>
      </w:r>
      <w:r>
        <w:rPr>
          <w:rtl/>
          <w:lang w:bidi="ar-EG"/>
        </w:rPr>
        <w:t>ة</w:t>
      </w:r>
      <w:r>
        <w:rPr>
          <w:rFonts w:hint="cs"/>
          <w:rtl/>
          <w:lang w:bidi="ar-EG"/>
        </w:rPr>
        <w:t xml:space="preserve"> في </w:t>
      </w:r>
      <w:r w:rsidR="00D010A3">
        <w:rPr>
          <w:rFonts w:hint="cs"/>
          <w:rtl/>
          <w:lang w:bidi="ar-EG"/>
        </w:rPr>
        <w:t>ال</w:t>
      </w:r>
      <w:r>
        <w:rPr>
          <w:rFonts w:hint="cs"/>
          <w:rtl/>
          <w:lang w:bidi="ar-EG"/>
        </w:rPr>
        <w:t>مخطط</w:t>
      </w:r>
      <w:r w:rsidR="00D010A3">
        <w:rPr>
          <w:rFonts w:hint="cs"/>
          <w:rtl/>
          <w:lang w:bidi="ar-EG"/>
        </w:rPr>
        <w:t xml:space="preserve"> بلغة</w:t>
      </w:r>
      <w:r>
        <w:rPr>
          <w:rFonts w:hint="cs"/>
          <w:rtl/>
          <w:lang w:bidi="ar-EG"/>
        </w:rPr>
        <w:t xml:space="preserve"> </w:t>
      </w:r>
      <w:r>
        <w:rPr>
          <w:lang w:bidi="ar-EG"/>
        </w:rPr>
        <w:t>XML</w:t>
      </w:r>
      <w:r>
        <w:rPr>
          <w:rFonts w:hint="cs"/>
          <w:rtl/>
          <w:lang w:bidi="ar-EG"/>
        </w:rPr>
        <w:t xml:space="preserve"> وحقول البيانات في مختلف مصادر المعلومات مع تحديث </w:t>
      </w:r>
      <w:r w:rsidR="00D010A3">
        <w:rPr>
          <w:rFonts w:hint="cs"/>
          <w:rtl/>
          <w:lang w:bidi="ar-EG"/>
        </w:rPr>
        <w:t>ال</w:t>
      </w:r>
      <w:r>
        <w:rPr>
          <w:rFonts w:hint="cs"/>
          <w:rtl/>
          <w:lang w:bidi="ar-EG"/>
        </w:rPr>
        <w:t>مخطط</w:t>
      </w:r>
      <w:r w:rsidR="00D010A3">
        <w:rPr>
          <w:rFonts w:hint="cs"/>
          <w:rtl/>
          <w:lang w:bidi="ar-EG"/>
        </w:rPr>
        <w:t xml:space="preserve"> بلغة</w:t>
      </w:r>
      <w:r>
        <w:rPr>
          <w:rFonts w:hint="cs"/>
          <w:rtl/>
          <w:lang w:bidi="ar-EG"/>
        </w:rPr>
        <w:t xml:space="preserve"> </w:t>
      </w:r>
      <w:r>
        <w:rPr>
          <w:lang w:bidi="ar-EG"/>
        </w:rPr>
        <w:t>XML</w:t>
      </w:r>
      <w:r>
        <w:rPr>
          <w:rFonts w:hint="cs"/>
          <w:rtl/>
          <w:lang w:bidi="ar-EG"/>
        </w:rPr>
        <w:t xml:space="preserve">. </w:t>
      </w:r>
      <w:r w:rsidR="0083614A">
        <w:rPr>
          <w:rFonts w:hint="cs"/>
          <w:rtl/>
          <w:lang w:bidi="ar-EG"/>
        </w:rPr>
        <w:t xml:space="preserve">ويمكن الاطلاع على </w:t>
      </w:r>
      <w:r>
        <w:rPr>
          <w:rFonts w:hint="cs"/>
          <w:rtl/>
          <w:lang w:bidi="ar-EG"/>
        </w:rPr>
        <w:t xml:space="preserve">جدول الربط المحدَّث </w:t>
      </w:r>
      <w:r w:rsidR="0083614A">
        <w:rPr>
          <w:rFonts w:hint="cs"/>
          <w:rtl/>
          <w:lang w:bidi="ar-EG"/>
        </w:rPr>
        <w:t xml:space="preserve">في المرفق </w:t>
      </w:r>
      <w:r w:rsidR="0083614A">
        <w:rPr>
          <w:rFonts w:hint="cs"/>
          <w:rtl/>
          <w:lang w:bidi="ar-EG"/>
        </w:rPr>
        <w:lastRenderedPageBreak/>
        <w:t xml:space="preserve">الثاني </w:t>
      </w:r>
      <w:r>
        <w:rPr>
          <w:rFonts w:hint="cs"/>
          <w:rtl/>
          <w:lang w:bidi="ar-EG"/>
        </w:rPr>
        <w:t xml:space="preserve">ومشروع </w:t>
      </w:r>
      <w:r w:rsidR="00D010A3">
        <w:rPr>
          <w:rFonts w:hint="cs"/>
          <w:rtl/>
          <w:lang w:bidi="ar-EG"/>
        </w:rPr>
        <w:t>ال</w:t>
      </w:r>
      <w:r>
        <w:rPr>
          <w:rFonts w:hint="cs"/>
          <w:rtl/>
          <w:lang w:bidi="ar-EG"/>
        </w:rPr>
        <w:t xml:space="preserve">مخطط </w:t>
      </w:r>
      <w:r w:rsidR="00D010A3">
        <w:rPr>
          <w:rFonts w:hint="cs"/>
          <w:rtl/>
          <w:lang w:bidi="ar-EG"/>
        </w:rPr>
        <w:t xml:space="preserve">بلغة </w:t>
      </w:r>
      <w:r>
        <w:rPr>
          <w:lang w:bidi="ar-EG"/>
        </w:rPr>
        <w:t>XML</w:t>
      </w:r>
      <w:r>
        <w:rPr>
          <w:rFonts w:hint="cs"/>
          <w:rtl/>
          <w:lang w:bidi="ar-EG"/>
        </w:rPr>
        <w:t xml:space="preserve"> في المرفق الثالث من هذه الوثيقة.</w:t>
      </w:r>
    </w:p>
    <w:p w:rsidR="0014121C" w:rsidRDefault="0014121C" w:rsidP="0014121C">
      <w:pPr>
        <w:pStyle w:val="Heading2"/>
        <w:rPr>
          <w:rtl/>
          <w:lang w:bidi="ar-EG"/>
        </w:rPr>
      </w:pPr>
      <w:r>
        <w:rPr>
          <w:rFonts w:hint="cs"/>
          <w:rtl/>
          <w:lang w:bidi="ar-EG"/>
        </w:rPr>
        <w:t>خطة العمل</w:t>
      </w:r>
    </w:p>
    <w:p w:rsidR="0014121C" w:rsidRDefault="0014121C" w:rsidP="00CA0E81">
      <w:pPr>
        <w:pStyle w:val="ONUMA"/>
        <w:keepNext/>
        <w:spacing w:after="200"/>
      </w:pPr>
      <w:r>
        <w:rPr>
          <w:rFonts w:hint="cs"/>
          <w:rtl/>
        </w:rPr>
        <w:t xml:space="preserve">تعتزم فرقة العمل اتخاذ الإجراءات التالية في استحداث المكونات الخاصة بالمؤشرات الجغرافية في </w:t>
      </w:r>
      <w:r w:rsidR="0083614A">
        <w:rPr>
          <w:rFonts w:hint="cs"/>
          <w:rtl/>
        </w:rPr>
        <w:t>ال</w:t>
      </w:r>
      <w:r>
        <w:rPr>
          <w:rFonts w:hint="cs"/>
          <w:rtl/>
        </w:rPr>
        <w:t xml:space="preserve">مخطط </w:t>
      </w:r>
      <w:r w:rsidR="0083614A">
        <w:rPr>
          <w:rFonts w:hint="cs"/>
          <w:rtl/>
        </w:rPr>
        <w:t>ب</w:t>
      </w:r>
      <w:r>
        <w:rPr>
          <w:rFonts w:hint="cs"/>
          <w:rtl/>
        </w:rPr>
        <w:t>لغة الترميز الموسعة (</w:t>
      </w:r>
      <w:r>
        <w:t>XML</w:t>
      </w:r>
      <w:r>
        <w:rPr>
          <w:rFonts w:hint="cs"/>
          <w:rtl/>
          <w:lang w:bidi="ar-EG"/>
        </w:rPr>
        <w:t>):</w:t>
      </w:r>
    </w:p>
    <w:tbl>
      <w:tblPr>
        <w:tblStyle w:val="TableGrid"/>
        <w:bidiVisual/>
        <w:tblW w:w="9807" w:type="dxa"/>
        <w:tblLook w:val="04A0" w:firstRow="1" w:lastRow="0" w:firstColumn="1" w:lastColumn="0" w:noHBand="0" w:noVBand="1"/>
      </w:tblPr>
      <w:tblGrid>
        <w:gridCol w:w="3537"/>
        <w:gridCol w:w="3893"/>
        <w:gridCol w:w="2377"/>
      </w:tblGrid>
      <w:tr w:rsidR="0014121C" w:rsidRPr="00CA0E81" w:rsidTr="00CA0E81">
        <w:trPr>
          <w:tblHeader/>
        </w:trPr>
        <w:tc>
          <w:tcPr>
            <w:tcW w:w="3651" w:type="dxa"/>
          </w:tcPr>
          <w:p w:rsidR="0014121C" w:rsidRPr="00CA0E81" w:rsidRDefault="0014121C" w:rsidP="00CA0E81">
            <w:pPr>
              <w:pStyle w:val="BodyText"/>
              <w:keepNext/>
              <w:jc w:val="center"/>
              <w:rPr>
                <w:rtl/>
              </w:rPr>
            </w:pPr>
            <w:r w:rsidRPr="00CA0E81">
              <w:rPr>
                <w:rFonts w:hint="cs"/>
                <w:rtl/>
              </w:rPr>
              <w:t>الإجراء</w:t>
            </w:r>
          </w:p>
        </w:tc>
        <w:tc>
          <w:tcPr>
            <w:tcW w:w="4063" w:type="dxa"/>
          </w:tcPr>
          <w:p w:rsidR="0014121C" w:rsidRPr="00CA0E81" w:rsidRDefault="0014121C" w:rsidP="00CA0E81">
            <w:pPr>
              <w:pStyle w:val="BodyText"/>
              <w:keepNext/>
              <w:jc w:val="center"/>
              <w:rPr>
                <w:rtl/>
              </w:rPr>
            </w:pPr>
            <w:r w:rsidRPr="00CA0E81">
              <w:rPr>
                <w:rFonts w:hint="cs"/>
                <w:rtl/>
              </w:rPr>
              <w:t>النتيجة المرتقبة</w:t>
            </w:r>
          </w:p>
        </w:tc>
        <w:tc>
          <w:tcPr>
            <w:tcW w:w="2093" w:type="dxa"/>
          </w:tcPr>
          <w:p w:rsidR="0014121C" w:rsidRPr="00CA0E81" w:rsidRDefault="0014121C" w:rsidP="00CA0E81">
            <w:pPr>
              <w:pStyle w:val="BodyText"/>
              <w:keepNext/>
              <w:jc w:val="center"/>
              <w:rPr>
                <w:rtl/>
              </w:rPr>
            </w:pPr>
            <w:r w:rsidRPr="00CA0E81">
              <w:rPr>
                <w:rFonts w:hint="cs"/>
                <w:rtl/>
              </w:rPr>
              <w:t>التاريخ المزمع</w:t>
            </w:r>
          </w:p>
        </w:tc>
      </w:tr>
      <w:tr w:rsidR="0014121C" w:rsidRPr="00CA0E81" w:rsidTr="00CA0E81">
        <w:tc>
          <w:tcPr>
            <w:tcW w:w="3651" w:type="dxa"/>
          </w:tcPr>
          <w:p w:rsidR="0014121C" w:rsidRPr="00CA0E81" w:rsidRDefault="0014121C" w:rsidP="00CA0E81">
            <w:pPr>
              <w:pStyle w:val="BodyText"/>
              <w:keepNext/>
              <w:rPr>
                <w:rtl/>
              </w:rPr>
            </w:pPr>
            <w:r w:rsidRPr="00CA0E81">
              <w:rPr>
                <w:rFonts w:hint="cs"/>
                <w:rtl/>
              </w:rPr>
              <w:t>عرض تقرير مرحلي إبّان الدورة السادسة للجنة المعايير</w:t>
            </w:r>
          </w:p>
        </w:tc>
        <w:tc>
          <w:tcPr>
            <w:tcW w:w="4063" w:type="dxa"/>
          </w:tcPr>
          <w:p w:rsidR="0014121C" w:rsidRPr="00CA0E81" w:rsidRDefault="0014121C" w:rsidP="00CA0E81">
            <w:pPr>
              <w:pStyle w:val="BodyText"/>
              <w:keepNext/>
              <w:rPr>
                <w:rtl/>
              </w:rPr>
            </w:pPr>
            <w:r w:rsidRPr="00CA0E81">
              <w:rPr>
                <w:rFonts w:hint="cs"/>
                <w:rtl/>
              </w:rPr>
              <w:t>إبلاغ لجنة المعايير بالتقرير المرحلي وخطة العمل؛ وتلقي فرقة العمل مساهمات وتعليقات لجنة المعايير.</w:t>
            </w:r>
          </w:p>
        </w:tc>
        <w:tc>
          <w:tcPr>
            <w:tcW w:w="2093" w:type="dxa"/>
          </w:tcPr>
          <w:p w:rsidR="0014121C" w:rsidRPr="00CA0E81" w:rsidRDefault="0014121C" w:rsidP="00CA0E81">
            <w:pPr>
              <w:pStyle w:val="BodyText"/>
              <w:keepNext/>
              <w:rPr>
                <w:rtl/>
              </w:rPr>
            </w:pPr>
            <w:r w:rsidRPr="00CA0E81">
              <w:rPr>
                <w:rFonts w:hint="cs"/>
                <w:rtl/>
              </w:rPr>
              <w:t>أكتوبر 2018</w:t>
            </w:r>
          </w:p>
        </w:tc>
      </w:tr>
      <w:tr w:rsidR="0014121C" w:rsidRPr="00CA0E81" w:rsidTr="00CA0E81">
        <w:tc>
          <w:tcPr>
            <w:tcW w:w="3651" w:type="dxa"/>
          </w:tcPr>
          <w:p w:rsidR="0014121C" w:rsidRPr="00CA0E81" w:rsidRDefault="0014121C" w:rsidP="00CA0E81">
            <w:pPr>
              <w:pStyle w:val="BodyText"/>
              <w:keepNext/>
              <w:rPr>
                <w:rtl/>
              </w:rPr>
            </w:pPr>
            <w:r w:rsidRPr="00CA0E81">
              <w:rPr>
                <w:rFonts w:hint="cs"/>
                <w:rtl/>
              </w:rPr>
              <w:t xml:space="preserve">استئناف العمل على مخطط </w:t>
            </w:r>
            <w:r w:rsidR="00442B9D" w:rsidRPr="00CA0E81">
              <w:rPr>
                <w:rFonts w:hint="cs"/>
                <w:rtl/>
              </w:rPr>
              <w:t>أسماء المؤشرات الجغرافية</w:t>
            </w:r>
          </w:p>
        </w:tc>
        <w:tc>
          <w:tcPr>
            <w:tcW w:w="4063" w:type="dxa"/>
          </w:tcPr>
          <w:p w:rsidR="0014121C" w:rsidRPr="00CA0E81" w:rsidRDefault="00442B9D" w:rsidP="00CA0E81">
            <w:pPr>
              <w:pStyle w:val="BodyText"/>
              <w:keepNext/>
              <w:rPr>
                <w:rtl/>
              </w:rPr>
            </w:pPr>
            <w:r w:rsidRPr="00CA0E81">
              <w:rPr>
                <w:rFonts w:hint="cs"/>
                <w:rtl/>
              </w:rPr>
              <w:t>تعدّ فرقة العمل وتناقش المشروع النهائي لمخطط أسماء المؤشرات الجغرافية</w:t>
            </w:r>
          </w:p>
        </w:tc>
        <w:tc>
          <w:tcPr>
            <w:tcW w:w="2093" w:type="dxa"/>
          </w:tcPr>
          <w:p w:rsidR="0014121C" w:rsidRPr="00CA0E81" w:rsidRDefault="00442B9D" w:rsidP="00CA0E81">
            <w:pPr>
              <w:pStyle w:val="BodyText"/>
              <w:keepNext/>
              <w:rPr>
                <w:rtl/>
              </w:rPr>
            </w:pPr>
            <w:r w:rsidRPr="00CA0E81">
              <w:rPr>
                <w:rFonts w:hint="cs"/>
                <w:rtl/>
              </w:rPr>
              <w:t xml:space="preserve">ديسمبر 2018 </w:t>
            </w:r>
            <w:r w:rsidR="00CA0E81">
              <w:rPr>
                <w:rFonts w:hint="cs"/>
                <w:rtl/>
              </w:rPr>
              <w:t>-</w:t>
            </w:r>
            <w:r w:rsidRPr="00CA0E81">
              <w:rPr>
                <w:rFonts w:hint="cs"/>
                <w:rtl/>
              </w:rPr>
              <w:t>يونيو</w:t>
            </w:r>
            <w:r w:rsidR="00CA0E81">
              <w:rPr>
                <w:rFonts w:hint="eastAsia"/>
                <w:rtl/>
              </w:rPr>
              <w:t> </w:t>
            </w:r>
            <w:r w:rsidRPr="00CA0E81">
              <w:rPr>
                <w:rFonts w:hint="cs"/>
                <w:rtl/>
              </w:rPr>
              <w:t>2019</w:t>
            </w:r>
          </w:p>
        </w:tc>
      </w:tr>
      <w:tr w:rsidR="00442B9D" w:rsidRPr="00CA0E81" w:rsidTr="00CA0E81">
        <w:tc>
          <w:tcPr>
            <w:tcW w:w="3651" w:type="dxa"/>
          </w:tcPr>
          <w:p w:rsidR="00442B9D" w:rsidRPr="00CA0E81" w:rsidRDefault="00442B9D" w:rsidP="00442B9D">
            <w:pPr>
              <w:pStyle w:val="BodyText"/>
              <w:rPr>
                <w:rtl/>
              </w:rPr>
            </w:pPr>
            <w:r w:rsidRPr="00CA0E81">
              <w:rPr>
                <w:rFonts w:hint="cs"/>
                <w:rtl/>
              </w:rPr>
              <w:t>عرض المشروع النهائي لمخطط أسماء المؤشرات الجغرافية كي تنظر فيه لجنة المعايير وتوافق عليه عند الاقتضاء إبّان دورتها السابعة (</w:t>
            </w:r>
            <w:r w:rsidRPr="00CA0E81">
              <w:t>CWS/7</w:t>
            </w:r>
            <w:r w:rsidRPr="00CA0E81">
              <w:rPr>
                <w:rFonts w:hint="cs"/>
                <w:rtl/>
              </w:rPr>
              <w:t>).</w:t>
            </w:r>
          </w:p>
          <w:p w:rsidR="00442B9D" w:rsidRPr="00CA0E81" w:rsidRDefault="00442B9D" w:rsidP="0083614A">
            <w:pPr>
              <w:pStyle w:val="BodyText"/>
              <w:rPr>
                <w:i/>
                <w:iCs/>
                <w:rtl/>
              </w:rPr>
            </w:pPr>
            <w:r w:rsidRPr="00CA0E81">
              <w:rPr>
                <w:rFonts w:hint="cs"/>
                <w:i/>
                <w:iCs/>
                <w:rtl/>
              </w:rPr>
              <w:t>[ملحوظة: يعتمد ذلك على تاريخ عقد الدورة السابعة</w:t>
            </w:r>
            <w:r w:rsidR="0083614A">
              <w:rPr>
                <w:rFonts w:hint="cs"/>
                <w:i/>
                <w:iCs/>
                <w:rtl/>
              </w:rPr>
              <w:t xml:space="preserve"> للجنة المعايير</w:t>
            </w:r>
            <w:r w:rsidRPr="00CA0E81">
              <w:rPr>
                <w:rFonts w:hint="cs"/>
                <w:i/>
                <w:iCs/>
                <w:rtl/>
              </w:rPr>
              <w:t>.)</w:t>
            </w:r>
          </w:p>
        </w:tc>
        <w:tc>
          <w:tcPr>
            <w:tcW w:w="4063" w:type="dxa"/>
          </w:tcPr>
          <w:p w:rsidR="00442B9D" w:rsidRPr="00CA0E81" w:rsidRDefault="00442B9D" w:rsidP="0014121C">
            <w:pPr>
              <w:pStyle w:val="BodyText"/>
              <w:rPr>
                <w:rtl/>
              </w:rPr>
            </w:pPr>
            <w:r w:rsidRPr="00CA0E81">
              <w:rPr>
                <w:rFonts w:hint="cs"/>
                <w:rtl/>
              </w:rPr>
              <w:t xml:space="preserve">إدماج مخطط أسماء المؤشرات الجغرافية في معيار الويبو </w:t>
            </w:r>
            <w:r w:rsidRPr="00CA0E81">
              <w:t>ST.96</w:t>
            </w:r>
            <w:r w:rsidRPr="00CA0E81">
              <w:rPr>
                <w:rFonts w:hint="cs"/>
                <w:rtl/>
              </w:rPr>
              <w:t xml:space="preserve"> عقب الدورة السابعة للجنة المعايير</w:t>
            </w:r>
          </w:p>
        </w:tc>
        <w:tc>
          <w:tcPr>
            <w:tcW w:w="2093" w:type="dxa"/>
          </w:tcPr>
          <w:p w:rsidR="00442B9D" w:rsidRPr="00CA0E81" w:rsidRDefault="00442B9D" w:rsidP="0014121C">
            <w:pPr>
              <w:pStyle w:val="BodyText"/>
              <w:rPr>
                <w:rtl/>
              </w:rPr>
            </w:pPr>
            <w:r w:rsidRPr="00CA0E81">
              <w:rPr>
                <w:rFonts w:hint="cs"/>
                <w:rtl/>
              </w:rPr>
              <w:t>2019 (الدورة السابعة للجنة المعايير)</w:t>
            </w:r>
          </w:p>
        </w:tc>
      </w:tr>
    </w:tbl>
    <w:p w:rsidR="0014121C" w:rsidRDefault="00442B9D" w:rsidP="0014121C">
      <w:pPr>
        <w:pStyle w:val="Decision"/>
      </w:pPr>
      <w:r>
        <w:rPr>
          <w:rFonts w:hint="cs"/>
          <w:rtl/>
        </w:rPr>
        <w:t>إن لجنة المعايير مدعوة إلى القيام بما يلي:</w:t>
      </w:r>
    </w:p>
    <w:p w:rsidR="00442B9D" w:rsidRDefault="00442B9D" w:rsidP="00375099">
      <w:pPr>
        <w:pStyle w:val="Decision"/>
        <w:numPr>
          <w:ilvl w:val="2"/>
          <w:numId w:val="11"/>
        </w:numPr>
        <w:ind w:left="6101"/>
      </w:pPr>
      <w:r>
        <w:rPr>
          <w:rFonts w:hint="cs"/>
          <w:rtl/>
        </w:rPr>
        <w:t>أن تحيط علماً بمضمون هذه الوثيقة ومرفقاتها وتبدي ما تلاءم من التعليقات عليه من أجل إعداد النسخة النهائية من اقتراح مكونات المؤشرات الجغرافية بلغة الترميز ال</w:t>
      </w:r>
      <w:r w:rsidR="00D010A3">
        <w:rPr>
          <w:rFonts w:hint="cs"/>
          <w:rtl/>
        </w:rPr>
        <w:t>موسعة</w:t>
      </w:r>
      <w:r w:rsidR="0083614A">
        <w:rPr>
          <w:rFonts w:hint="cs"/>
          <w:rtl/>
        </w:rPr>
        <w:t xml:space="preserve"> (</w:t>
      </w:r>
      <w:r w:rsidR="0083614A">
        <w:t>XML</w:t>
      </w:r>
      <w:r w:rsidR="0083614A">
        <w:rPr>
          <w:rFonts w:hint="cs"/>
          <w:rtl/>
          <w:lang w:bidi="ar-EG"/>
        </w:rPr>
        <w:t>)</w:t>
      </w:r>
      <w:r>
        <w:rPr>
          <w:rFonts w:hint="cs"/>
          <w:rtl/>
        </w:rPr>
        <w:t xml:space="preserve"> الذي سيُدرج في معيار الويبو </w:t>
      </w:r>
      <w:r>
        <w:t>ST.96</w:t>
      </w:r>
      <w:r>
        <w:rPr>
          <w:rFonts w:hint="cs"/>
          <w:rtl/>
          <w:lang w:bidi="ar-EG"/>
        </w:rPr>
        <w:t>؛</w:t>
      </w:r>
    </w:p>
    <w:p w:rsidR="00442B9D" w:rsidRPr="0014121C" w:rsidRDefault="00442B9D" w:rsidP="00375099">
      <w:pPr>
        <w:pStyle w:val="Decision"/>
        <w:numPr>
          <w:ilvl w:val="2"/>
          <w:numId w:val="11"/>
        </w:numPr>
        <w:ind w:left="6101"/>
        <w:rPr>
          <w:rtl/>
        </w:rPr>
      </w:pPr>
      <w:r>
        <w:rPr>
          <w:rFonts w:hint="cs"/>
          <w:rtl/>
        </w:rPr>
        <w:t xml:space="preserve">وأن تطلب من فرقة عمل </w:t>
      </w:r>
      <w:r>
        <w:t>XML4IP</w:t>
      </w:r>
      <w:r>
        <w:rPr>
          <w:rFonts w:hint="cs"/>
          <w:rtl/>
          <w:lang w:bidi="ar-EG"/>
        </w:rPr>
        <w:t xml:space="preserve"> موافاتها، إبّان دورتها المقبلة، بالمشروع النهائي لمخطط المؤشرات الجغرافية بلغة الترميز الموسعة (</w:t>
      </w:r>
      <w:r>
        <w:rPr>
          <w:lang w:bidi="ar-EG"/>
        </w:rPr>
        <w:t>XML</w:t>
      </w:r>
      <w:r>
        <w:rPr>
          <w:rFonts w:hint="cs"/>
          <w:rtl/>
          <w:lang w:bidi="ar-EG"/>
        </w:rPr>
        <w:t>) كي</w:t>
      </w:r>
      <w:r>
        <w:rPr>
          <w:rFonts w:hint="eastAsia"/>
          <w:rtl/>
          <w:lang w:bidi="ar-EG"/>
        </w:rPr>
        <w:t> </w:t>
      </w:r>
      <w:r>
        <w:rPr>
          <w:rFonts w:hint="cs"/>
          <w:rtl/>
          <w:lang w:bidi="ar-EG"/>
        </w:rPr>
        <w:t>تنظر فيه، وفقاً لما ورد في الفقرة 11 من هذه الوثيقة.</w:t>
      </w:r>
    </w:p>
    <w:p w:rsidR="00190C07" w:rsidRPr="00015EA2" w:rsidRDefault="00442B9D" w:rsidP="00CA0E81">
      <w:pPr>
        <w:pStyle w:val="Endofdocument-Annex"/>
        <w:rPr>
          <w:rFonts w:eastAsia="SimSun"/>
          <w:lang w:eastAsia="zh-CN"/>
        </w:rPr>
      </w:pPr>
      <w:r>
        <w:rPr>
          <w:rFonts w:hint="cs"/>
          <w:rtl/>
        </w:rPr>
        <w:t>[تلي ذلك المرفقات]</w:t>
      </w:r>
    </w:p>
    <w:p w:rsidR="00015EA2" w:rsidRDefault="00015EA2" w:rsidP="00015EA2">
      <w:pPr>
        <w:pStyle w:val="BodyText"/>
        <w:bidi w:val="0"/>
        <w:sectPr w:rsidR="00015EA2" w:rsidSect="00EB7752">
          <w:headerReference w:type="default" r:id="rId9"/>
          <w:pgSz w:w="11907" w:h="16840" w:code="9"/>
          <w:pgMar w:top="567" w:right="1418" w:bottom="1418" w:left="1134" w:header="510" w:footer="1021" w:gutter="0"/>
          <w:cols w:space="720"/>
          <w:titlePg/>
          <w:docGrid w:linePitch="299"/>
        </w:sectPr>
      </w:pPr>
    </w:p>
    <w:p w:rsidR="00015EA2" w:rsidRDefault="00442B9D" w:rsidP="00CA0E81">
      <w:pPr>
        <w:pStyle w:val="Heading2"/>
        <w:spacing w:before="0"/>
        <w:rPr>
          <w:rtl/>
        </w:rPr>
      </w:pPr>
      <w:r>
        <w:rPr>
          <w:rFonts w:hint="cs"/>
          <w:rtl/>
        </w:rPr>
        <w:t>المرفق الأول: قائمة عناصر وبيانات العمل المرتبطة بالمؤشرات الجغرافية وقائمة المراجع</w:t>
      </w:r>
    </w:p>
    <w:p w:rsidR="00442B9D" w:rsidRPr="00442B9D" w:rsidRDefault="00442B9D" w:rsidP="00442B9D">
      <w:pPr>
        <w:pStyle w:val="Heading3"/>
        <w:rPr>
          <w:u w:val="single"/>
          <w:rtl/>
        </w:rPr>
      </w:pPr>
      <w:r w:rsidRPr="00442B9D">
        <w:rPr>
          <w:u w:val="single"/>
          <w:rtl/>
        </w:rPr>
        <w:t>عناصر وبيانات العمل المرتبطة بالمؤشرات الجغرافية</w:t>
      </w:r>
    </w:p>
    <w:p w:rsidR="00442B9D" w:rsidRPr="00442B9D" w:rsidRDefault="00442B9D" w:rsidP="00375099">
      <w:pPr>
        <w:numPr>
          <w:ilvl w:val="0"/>
          <w:numId w:val="13"/>
        </w:numPr>
        <w:spacing w:before="200" w:after="120"/>
        <w:ind w:left="1134" w:hanging="567"/>
        <w:rPr>
          <w:rFonts w:ascii="Arial" w:hAnsi="Arial" w:cs="Arial"/>
          <w:sz w:val="22"/>
          <w:szCs w:val="20"/>
        </w:rPr>
      </w:pPr>
      <w:r w:rsidRPr="00442B9D">
        <w:rPr>
          <w:rFonts w:ascii="Arial" w:hAnsi="Arial" w:cs="Arial"/>
          <w:sz w:val="22"/>
          <w:szCs w:val="20"/>
        </w:rPr>
        <w:t>GI Application</w:t>
      </w:r>
    </w:p>
    <w:p w:rsidR="00442B9D" w:rsidRPr="00442B9D" w:rsidRDefault="00442B9D" w:rsidP="00375099">
      <w:pPr>
        <w:numPr>
          <w:ilvl w:val="0"/>
          <w:numId w:val="13"/>
        </w:numPr>
        <w:spacing w:after="120"/>
        <w:ind w:left="1134" w:hanging="567"/>
        <w:rPr>
          <w:rFonts w:ascii="Arial" w:hAnsi="Arial" w:cs="Arial"/>
          <w:sz w:val="22"/>
          <w:szCs w:val="20"/>
        </w:rPr>
      </w:pPr>
      <w:r w:rsidRPr="00442B9D">
        <w:rPr>
          <w:rFonts w:ascii="Arial" w:hAnsi="Arial" w:cs="Arial"/>
          <w:sz w:val="22"/>
          <w:szCs w:val="20"/>
        </w:rPr>
        <w:t>GI Publication</w:t>
      </w:r>
    </w:p>
    <w:p w:rsidR="00442B9D" w:rsidRPr="00442B9D" w:rsidRDefault="00442B9D" w:rsidP="00375099">
      <w:pPr>
        <w:numPr>
          <w:ilvl w:val="0"/>
          <w:numId w:val="13"/>
        </w:numPr>
        <w:spacing w:after="120"/>
        <w:ind w:left="1134" w:hanging="567"/>
        <w:rPr>
          <w:rFonts w:ascii="Arial" w:hAnsi="Arial" w:cs="Arial"/>
          <w:sz w:val="22"/>
          <w:szCs w:val="20"/>
        </w:rPr>
      </w:pPr>
      <w:r w:rsidRPr="00442B9D">
        <w:rPr>
          <w:rFonts w:ascii="Arial" w:hAnsi="Arial" w:cs="Arial"/>
          <w:sz w:val="22"/>
          <w:szCs w:val="20"/>
        </w:rPr>
        <w:t>GI Registration</w:t>
      </w:r>
    </w:p>
    <w:p w:rsidR="00442B9D" w:rsidRPr="00442B9D" w:rsidRDefault="00442B9D" w:rsidP="00375099">
      <w:pPr>
        <w:numPr>
          <w:ilvl w:val="0"/>
          <w:numId w:val="13"/>
        </w:numPr>
        <w:spacing w:after="120"/>
        <w:ind w:left="1134" w:hanging="567"/>
        <w:rPr>
          <w:rFonts w:ascii="Arial" w:hAnsi="Arial" w:cs="Arial"/>
          <w:sz w:val="22"/>
          <w:szCs w:val="20"/>
        </w:rPr>
      </w:pPr>
      <w:r w:rsidRPr="00442B9D">
        <w:rPr>
          <w:rFonts w:ascii="Arial" w:hAnsi="Arial" w:cs="Arial"/>
          <w:sz w:val="22"/>
          <w:szCs w:val="20"/>
        </w:rPr>
        <w:t>GI Certificate</w:t>
      </w:r>
    </w:p>
    <w:p w:rsidR="00442B9D" w:rsidRPr="00442B9D" w:rsidRDefault="00442B9D" w:rsidP="00375099">
      <w:pPr>
        <w:numPr>
          <w:ilvl w:val="0"/>
          <w:numId w:val="13"/>
        </w:numPr>
        <w:spacing w:after="120"/>
        <w:ind w:left="1134" w:hanging="567"/>
        <w:rPr>
          <w:rFonts w:ascii="Arial" w:hAnsi="Arial" w:cs="Arial"/>
          <w:sz w:val="22"/>
          <w:szCs w:val="20"/>
        </w:rPr>
      </w:pPr>
      <w:r w:rsidRPr="00442B9D">
        <w:rPr>
          <w:rFonts w:ascii="Arial" w:hAnsi="Arial" w:cs="Arial"/>
          <w:sz w:val="22"/>
          <w:szCs w:val="20"/>
        </w:rPr>
        <w:t>GI Information Fiche</w:t>
      </w:r>
    </w:p>
    <w:p w:rsidR="00442B9D" w:rsidRPr="00442B9D" w:rsidRDefault="00442B9D" w:rsidP="00375099">
      <w:pPr>
        <w:numPr>
          <w:ilvl w:val="0"/>
          <w:numId w:val="13"/>
        </w:numPr>
        <w:spacing w:after="120"/>
        <w:ind w:left="1134" w:hanging="567"/>
        <w:rPr>
          <w:rFonts w:ascii="Arial" w:hAnsi="Arial" w:cs="Arial"/>
          <w:sz w:val="22"/>
          <w:szCs w:val="20"/>
        </w:rPr>
      </w:pPr>
      <w:r w:rsidRPr="00442B9D">
        <w:rPr>
          <w:rFonts w:ascii="Arial" w:hAnsi="Arial" w:cs="Arial"/>
          <w:sz w:val="22"/>
          <w:szCs w:val="20"/>
        </w:rPr>
        <w:t>GI Renewal</w:t>
      </w:r>
    </w:p>
    <w:p w:rsidR="00442B9D" w:rsidRPr="00442B9D" w:rsidRDefault="00442B9D" w:rsidP="00375099">
      <w:pPr>
        <w:numPr>
          <w:ilvl w:val="0"/>
          <w:numId w:val="13"/>
        </w:numPr>
        <w:spacing w:after="120"/>
        <w:ind w:left="1134" w:hanging="567"/>
        <w:rPr>
          <w:rFonts w:ascii="Arial" w:hAnsi="Arial" w:cs="Arial"/>
          <w:sz w:val="22"/>
          <w:szCs w:val="20"/>
        </w:rPr>
      </w:pPr>
      <w:r w:rsidRPr="00442B9D">
        <w:rPr>
          <w:rFonts w:ascii="Arial" w:hAnsi="Arial" w:cs="Arial"/>
          <w:sz w:val="22"/>
          <w:szCs w:val="20"/>
        </w:rPr>
        <w:t>GI User Application</w:t>
      </w:r>
    </w:p>
    <w:p w:rsidR="00442B9D" w:rsidRPr="00442B9D" w:rsidRDefault="00442B9D" w:rsidP="00375099">
      <w:pPr>
        <w:numPr>
          <w:ilvl w:val="0"/>
          <w:numId w:val="13"/>
        </w:numPr>
        <w:spacing w:after="120"/>
        <w:ind w:left="1134" w:hanging="567"/>
        <w:rPr>
          <w:rFonts w:ascii="Arial" w:hAnsi="Arial" w:cs="Arial"/>
          <w:sz w:val="22"/>
          <w:szCs w:val="20"/>
        </w:rPr>
      </w:pPr>
      <w:r w:rsidRPr="00442B9D">
        <w:rPr>
          <w:rFonts w:ascii="Arial" w:hAnsi="Arial" w:cs="Arial"/>
          <w:sz w:val="22"/>
          <w:szCs w:val="20"/>
        </w:rPr>
        <w:t>GI User Certificate</w:t>
      </w:r>
    </w:p>
    <w:p w:rsidR="00442B9D" w:rsidRPr="00442B9D" w:rsidRDefault="00442B9D" w:rsidP="00375099">
      <w:pPr>
        <w:numPr>
          <w:ilvl w:val="0"/>
          <w:numId w:val="13"/>
        </w:numPr>
        <w:spacing w:after="120"/>
        <w:ind w:left="1134" w:hanging="567"/>
        <w:rPr>
          <w:rFonts w:ascii="Arial" w:hAnsi="Arial" w:cs="Arial"/>
          <w:sz w:val="22"/>
          <w:szCs w:val="20"/>
        </w:rPr>
      </w:pPr>
      <w:r w:rsidRPr="00442B9D">
        <w:rPr>
          <w:rFonts w:ascii="Arial" w:hAnsi="Arial" w:cs="Arial"/>
          <w:sz w:val="22"/>
          <w:szCs w:val="20"/>
        </w:rPr>
        <w:t>GI Change of Name and Address</w:t>
      </w:r>
    </w:p>
    <w:p w:rsidR="00442B9D" w:rsidRPr="00442B9D" w:rsidRDefault="00442B9D" w:rsidP="00375099">
      <w:pPr>
        <w:numPr>
          <w:ilvl w:val="0"/>
          <w:numId w:val="13"/>
        </w:numPr>
        <w:spacing w:after="120"/>
        <w:ind w:left="1134" w:hanging="567"/>
        <w:rPr>
          <w:rFonts w:ascii="Arial" w:hAnsi="Arial" w:cs="Arial"/>
          <w:sz w:val="22"/>
          <w:szCs w:val="20"/>
        </w:rPr>
      </w:pPr>
      <w:r w:rsidRPr="00442B9D">
        <w:rPr>
          <w:rFonts w:ascii="Arial" w:hAnsi="Arial" w:cs="Arial"/>
          <w:sz w:val="22"/>
          <w:szCs w:val="20"/>
        </w:rPr>
        <w:t>GI Data</w:t>
      </w:r>
    </w:p>
    <w:p w:rsidR="00442B9D" w:rsidRPr="00442B9D" w:rsidRDefault="00442B9D" w:rsidP="00375099">
      <w:pPr>
        <w:numPr>
          <w:ilvl w:val="0"/>
          <w:numId w:val="13"/>
        </w:numPr>
        <w:spacing w:after="120"/>
        <w:ind w:left="1134" w:hanging="567"/>
        <w:rPr>
          <w:rFonts w:ascii="Arial" w:hAnsi="Arial" w:cs="Arial"/>
          <w:sz w:val="22"/>
          <w:szCs w:val="20"/>
        </w:rPr>
      </w:pPr>
      <w:r w:rsidRPr="00442B9D">
        <w:rPr>
          <w:rFonts w:ascii="Arial" w:hAnsi="Arial" w:cs="Arial"/>
          <w:sz w:val="22"/>
          <w:szCs w:val="20"/>
        </w:rPr>
        <w:t>GI Image</w:t>
      </w:r>
    </w:p>
    <w:p w:rsidR="00442B9D" w:rsidRPr="00442B9D" w:rsidRDefault="00442B9D" w:rsidP="00375099">
      <w:pPr>
        <w:numPr>
          <w:ilvl w:val="0"/>
          <w:numId w:val="13"/>
        </w:numPr>
        <w:spacing w:after="120"/>
        <w:ind w:left="1134" w:hanging="567"/>
        <w:rPr>
          <w:rFonts w:ascii="Arial" w:hAnsi="Arial" w:cs="Arial"/>
          <w:sz w:val="22"/>
          <w:szCs w:val="20"/>
        </w:rPr>
      </w:pPr>
      <w:r w:rsidRPr="00442B9D">
        <w:rPr>
          <w:rFonts w:ascii="Arial" w:hAnsi="Arial" w:cs="Arial"/>
          <w:sz w:val="22"/>
          <w:szCs w:val="20"/>
        </w:rPr>
        <w:t>GI Image Thumbnail</w:t>
      </w:r>
    </w:p>
    <w:p w:rsidR="00442B9D" w:rsidRPr="00442B9D" w:rsidRDefault="00442B9D" w:rsidP="00375099">
      <w:pPr>
        <w:numPr>
          <w:ilvl w:val="0"/>
          <w:numId w:val="13"/>
        </w:numPr>
        <w:spacing w:after="120"/>
        <w:ind w:left="1134" w:hanging="567"/>
        <w:rPr>
          <w:rFonts w:ascii="Arial" w:hAnsi="Arial" w:cs="Arial"/>
          <w:sz w:val="22"/>
          <w:szCs w:val="20"/>
        </w:rPr>
      </w:pPr>
      <w:r w:rsidRPr="00442B9D">
        <w:rPr>
          <w:rFonts w:ascii="Arial" w:hAnsi="Arial" w:cs="Arial"/>
          <w:sz w:val="22"/>
          <w:szCs w:val="20"/>
        </w:rPr>
        <w:t>GI Applicant Data</w:t>
      </w:r>
    </w:p>
    <w:p w:rsidR="00442B9D" w:rsidRPr="00442B9D" w:rsidRDefault="00442B9D" w:rsidP="00375099">
      <w:pPr>
        <w:numPr>
          <w:ilvl w:val="0"/>
          <w:numId w:val="13"/>
        </w:numPr>
        <w:spacing w:after="120"/>
        <w:ind w:left="1134" w:hanging="567"/>
        <w:rPr>
          <w:rFonts w:ascii="Arial" w:hAnsi="Arial" w:cs="Arial"/>
          <w:sz w:val="22"/>
          <w:szCs w:val="20"/>
        </w:rPr>
      </w:pPr>
      <w:r w:rsidRPr="00442B9D">
        <w:rPr>
          <w:rFonts w:ascii="Arial" w:hAnsi="Arial" w:cs="Arial"/>
          <w:sz w:val="22"/>
          <w:szCs w:val="20"/>
        </w:rPr>
        <w:t>GI Representative Data</w:t>
      </w:r>
    </w:p>
    <w:p w:rsidR="00442B9D" w:rsidRPr="00442B9D" w:rsidRDefault="00442B9D" w:rsidP="00375099">
      <w:pPr>
        <w:numPr>
          <w:ilvl w:val="0"/>
          <w:numId w:val="13"/>
        </w:numPr>
        <w:spacing w:after="120"/>
        <w:ind w:left="1134" w:hanging="567"/>
        <w:rPr>
          <w:rFonts w:ascii="Arial" w:hAnsi="Arial" w:cs="Arial"/>
          <w:sz w:val="22"/>
          <w:szCs w:val="20"/>
        </w:rPr>
      </w:pPr>
      <w:r w:rsidRPr="00442B9D">
        <w:rPr>
          <w:rFonts w:ascii="Arial" w:hAnsi="Arial" w:cs="Arial"/>
          <w:sz w:val="22"/>
          <w:szCs w:val="20"/>
        </w:rPr>
        <w:t>GI Authorized User Data</w:t>
      </w:r>
    </w:p>
    <w:p w:rsidR="00442B9D" w:rsidRPr="00442B9D" w:rsidRDefault="00442B9D" w:rsidP="00375099">
      <w:pPr>
        <w:numPr>
          <w:ilvl w:val="0"/>
          <w:numId w:val="13"/>
        </w:numPr>
        <w:spacing w:after="120"/>
        <w:ind w:left="1134" w:hanging="567"/>
        <w:rPr>
          <w:rFonts w:ascii="Arial" w:hAnsi="Arial" w:cs="Arial"/>
          <w:sz w:val="22"/>
          <w:szCs w:val="20"/>
        </w:rPr>
      </w:pPr>
      <w:r w:rsidRPr="00442B9D">
        <w:rPr>
          <w:rFonts w:ascii="Arial" w:hAnsi="Arial" w:cs="Arial"/>
          <w:sz w:val="22"/>
          <w:szCs w:val="20"/>
        </w:rPr>
        <w:t>GI Search Result List</w:t>
      </w:r>
    </w:p>
    <w:p w:rsidR="00442B9D" w:rsidRDefault="00442B9D" w:rsidP="00CA0E81">
      <w:pPr>
        <w:pStyle w:val="Heading3"/>
        <w:rPr>
          <w:u w:val="single"/>
          <w:rtl/>
        </w:rPr>
      </w:pPr>
      <w:r>
        <w:rPr>
          <w:rFonts w:hint="cs"/>
          <w:u w:val="single"/>
          <w:rtl/>
        </w:rPr>
        <w:t>مراجع عن عناصر وبيانات العمل المرتبطة بالمؤشرات الجغرافية</w:t>
      </w:r>
    </w:p>
    <w:p w:rsidR="00CA0E81" w:rsidRPr="00CA0E81" w:rsidRDefault="00CA0E81" w:rsidP="00375099">
      <w:pPr>
        <w:numPr>
          <w:ilvl w:val="0"/>
          <w:numId w:val="13"/>
        </w:numPr>
        <w:spacing w:before="200" w:after="120"/>
        <w:ind w:left="1134" w:hanging="567"/>
        <w:rPr>
          <w:rFonts w:ascii="Arial" w:hAnsi="Arial" w:cs="Arial"/>
          <w:sz w:val="22"/>
          <w:szCs w:val="20"/>
        </w:rPr>
      </w:pPr>
      <w:r w:rsidRPr="00442B9D">
        <w:rPr>
          <w:rFonts w:ascii="Arial" w:hAnsi="Arial" w:cs="Arial"/>
          <w:sz w:val="22"/>
          <w:szCs w:val="20"/>
        </w:rPr>
        <w:t>DOOR Database</w:t>
      </w:r>
      <w:r>
        <w:rPr>
          <w:rFonts w:ascii="Arial" w:hAnsi="Arial" w:cs="Arial" w:hint="cs"/>
          <w:sz w:val="22"/>
          <w:szCs w:val="20"/>
          <w:rtl/>
        </w:rPr>
        <w:t xml:space="preserve">: </w:t>
      </w:r>
      <w:hyperlink r:id="rId10" w:history="1">
        <w:r w:rsidRPr="00C97FAD">
          <w:rPr>
            <w:rStyle w:val="Hyperlink"/>
            <w:rFonts w:ascii="Arial" w:eastAsia="SimSun" w:hAnsi="Arial" w:cs="Arial"/>
            <w:sz w:val="22"/>
            <w:szCs w:val="20"/>
            <w:lang w:eastAsia="zh-CN"/>
          </w:rPr>
          <w:t>http://ec.europa.eu/agriculture/quality/door/list.html</w:t>
        </w:r>
      </w:hyperlink>
    </w:p>
    <w:p w:rsidR="00CA0E81" w:rsidRPr="00CA0E81" w:rsidRDefault="00CA0E81" w:rsidP="00375099">
      <w:pPr>
        <w:numPr>
          <w:ilvl w:val="0"/>
          <w:numId w:val="13"/>
        </w:numPr>
        <w:spacing w:after="120"/>
        <w:ind w:left="1134" w:hanging="567"/>
        <w:rPr>
          <w:rFonts w:ascii="Arial" w:hAnsi="Arial" w:cs="Arial"/>
          <w:sz w:val="22"/>
          <w:szCs w:val="20"/>
        </w:rPr>
      </w:pPr>
      <w:r w:rsidRPr="00442B9D">
        <w:rPr>
          <w:rFonts w:ascii="Arial" w:hAnsi="Arial" w:cs="Arial"/>
          <w:sz w:val="22"/>
          <w:szCs w:val="20"/>
        </w:rPr>
        <w:t>E-Bacchus Database</w:t>
      </w:r>
      <w:r>
        <w:rPr>
          <w:rFonts w:ascii="Arial" w:hAnsi="Arial" w:cs="Arial" w:hint="cs"/>
          <w:sz w:val="22"/>
          <w:szCs w:val="20"/>
          <w:rtl/>
        </w:rPr>
        <w:t xml:space="preserve">: </w:t>
      </w:r>
      <w:hyperlink r:id="rId11" w:history="1">
        <w:r w:rsidRPr="00C97FAD">
          <w:rPr>
            <w:rStyle w:val="Hyperlink"/>
            <w:rFonts w:ascii="Arial" w:eastAsia="SimSun" w:hAnsi="Arial" w:cs="Arial"/>
            <w:sz w:val="22"/>
            <w:szCs w:val="20"/>
            <w:lang w:val="de-CH" w:eastAsia="zh-CN"/>
          </w:rPr>
          <w:t>http://ec.europa.eu/agriculture/markets/wine/e-bacchus</w:t>
        </w:r>
      </w:hyperlink>
    </w:p>
    <w:p w:rsidR="00CA0E81" w:rsidRPr="00CA0E81" w:rsidRDefault="00CA0E81" w:rsidP="00375099">
      <w:pPr>
        <w:numPr>
          <w:ilvl w:val="0"/>
          <w:numId w:val="13"/>
        </w:numPr>
        <w:spacing w:after="120"/>
        <w:ind w:left="1134" w:hanging="567"/>
        <w:rPr>
          <w:rFonts w:ascii="Arial" w:hAnsi="Arial" w:cs="Arial"/>
          <w:sz w:val="22"/>
          <w:szCs w:val="20"/>
        </w:rPr>
      </w:pPr>
      <w:r w:rsidRPr="00442B9D">
        <w:rPr>
          <w:rFonts w:ascii="Arial" w:hAnsi="Arial" w:cs="Arial"/>
          <w:sz w:val="22"/>
          <w:szCs w:val="20"/>
          <w:lang w:val="de-CH"/>
        </w:rPr>
        <w:t xml:space="preserve">E-Spirit-Drinks </w:t>
      </w:r>
      <w:r w:rsidRPr="00442B9D">
        <w:rPr>
          <w:rFonts w:ascii="Arial" w:hAnsi="Arial" w:cs="Arial"/>
          <w:sz w:val="22"/>
          <w:szCs w:val="20"/>
        </w:rPr>
        <w:t>Database</w:t>
      </w:r>
      <w:r>
        <w:rPr>
          <w:rFonts w:ascii="Arial" w:hAnsi="Arial" w:cs="Arial" w:hint="cs"/>
          <w:sz w:val="22"/>
          <w:szCs w:val="20"/>
          <w:rtl/>
          <w:lang w:val="de-CH"/>
        </w:rPr>
        <w:t xml:space="preserve">: </w:t>
      </w:r>
      <w:hyperlink r:id="rId12" w:history="1">
        <w:r w:rsidRPr="00C97FAD">
          <w:rPr>
            <w:rStyle w:val="Hyperlink"/>
            <w:rFonts w:ascii="Arial" w:eastAsia="SimSun" w:hAnsi="Arial" w:cs="Arial"/>
            <w:sz w:val="22"/>
            <w:szCs w:val="20"/>
            <w:lang w:eastAsia="zh-CN"/>
          </w:rPr>
          <w:t>http://ec.europa.eu/agriculture/spirits</w:t>
        </w:r>
      </w:hyperlink>
    </w:p>
    <w:p w:rsidR="00CA0E81" w:rsidRPr="00442B9D" w:rsidRDefault="00656CBB" w:rsidP="00375099">
      <w:pPr>
        <w:numPr>
          <w:ilvl w:val="0"/>
          <w:numId w:val="13"/>
        </w:numPr>
        <w:spacing w:after="120"/>
        <w:ind w:left="1134" w:hanging="567"/>
        <w:rPr>
          <w:rFonts w:ascii="Arial" w:hAnsi="Arial" w:cs="Arial"/>
          <w:sz w:val="22"/>
          <w:szCs w:val="20"/>
        </w:rPr>
      </w:pPr>
      <w:hyperlink r:id="rId13" w:history="1">
        <w:r w:rsidR="00CA0E81" w:rsidRPr="00656CBB">
          <w:rPr>
            <w:rFonts w:ascii="Arial" w:hAnsi="Arial" w:cs="Arial"/>
            <w:color w:val="0000FF" w:themeColor="hyperlink"/>
            <w:sz w:val="22"/>
            <w:szCs w:val="20"/>
            <w:u w:val="single"/>
          </w:rPr>
          <w:t>http://www.asean-gidatabase.org/gidatabase/</w:t>
        </w:r>
      </w:hyperlink>
    </w:p>
    <w:p w:rsidR="00442B9D" w:rsidRPr="00CA0E81" w:rsidRDefault="00CA0E81" w:rsidP="00CA0E81">
      <w:pPr>
        <w:pStyle w:val="Heading2"/>
        <w:spacing w:before="600"/>
        <w:rPr>
          <w:rtl/>
          <w:lang w:bidi="ar-EG"/>
        </w:rPr>
      </w:pPr>
      <w:r>
        <w:rPr>
          <w:rFonts w:hint="cs"/>
          <w:rtl/>
        </w:rPr>
        <w:t>المرفق الثاني: جدول الربط بين مكونات المخطط بلغة الترميز الموسعة (</w:t>
      </w:r>
      <w:r>
        <w:t>XML</w:t>
      </w:r>
      <w:r>
        <w:rPr>
          <w:rFonts w:hint="cs"/>
          <w:rtl/>
          <w:lang w:bidi="ar-EG"/>
        </w:rPr>
        <w:t>) ومختلف مصادر البيانات</w:t>
      </w:r>
    </w:p>
    <w:p w:rsidR="00CA0E81" w:rsidRDefault="00CA0E81" w:rsidP="00375099">
      <w:pPr>
        <w:numPr>
          <w:ilvl w:val="0"/>
          <w:numId w:val="13"/>
        </w:numPr>
        <w:spacing w:before="200"/>
        <w:ind w:left="1134" w:hanging="567"/>
        <w:rPr>
          <w:rFonts w:ascii="Arial" w:eastAsia="SimSun" w:hAnsi="Arial" w:cs="Arial"/>
          <w:sz w:val="22"/>
          <w:szCs w:val="20"/>
          <w:rtl/>
          <w:lang w:eastAsia="zh-CN"/>
        </w:rPr>
      </w:pPr>
      <w:r>
        <w:rPr>
          <w:rFonts w:eastAsia="SimSun" w:hint="cs"/>
          <w:rtl/>
        </w:rPr>
        <w:t>جدول الربط: (</w:t>
      </w:r>
      <w:hyperlink r:id="rId14" w:history="1">
        <w:r w:rsidRPr="00442B9D">
          <w:rPr>
            <w:rFonts w:ascii="Arial" w:eastAsia="SimSun" w:hAnsi="Arial" w:cs="Arial"/>
            <w:color w:val="0000FF" w:themeColor="hyperlink"/>
            <w:sz w:val="22"/>
            <w:szCs w:val="20"/>
            <w:u w:val="single"/>
            <w:lang w:eastAsia="zh-CN"/>
          </w:rPr>
          <w:t>annex_ii_mappingtable</w:t>
        </w:r>
      </w:hyperlink>
      <w:r w:rsidRPr="00CA0E81">
        <w:rPr>
          <w:rFonts w:eastAsia="SimSun" w:hint="cs"/>
          <w:rtl/>
        </w:rPr>
        <w:t>)</w:t>
      </w:r>
    </w:p>
    <w:p w:rsidR="00CA0E81" w:rsidRDefault="00CA0E81" w:rsidP="00CA0E81">
      <w:pPr>
        <w:pStyle w:val="Heading2"/>
        <w:spacing w:before="600"/>
        <w:rPr>
          <w:rFonts w:eastAsia="SimSun"/>
          <w:rtl/>
          <w:lang w:bidi="ar-EG"/>
        </w:rPr>
      </w:pPr>
      <w:r>
        <w:rPr>
          <w:rFonts w:eastAsia="SimSun" w:hint="cs"/>
          <w:rtl/>
        </w:rPr>
        <w:t>المرفق الثالث: مشروع مخطط المؤشرات الجغرافية بلغة الترميز الموسعة (</w:t>
      </w:r>
      <w:r>
        <w:rPr>
          <w:rFonts w:eastAsia="SimSun"/>
        </w:rPr>
        <w:t>XML</w:t>
      </w:r>
      <w:r>
        <w:rPr>
          <w:rFonts w:eastAsia="SimSun" w:hint="cs"/>
          <w:rtl/>
          <w:lang w:bidi="ar-EG"/>
        </w:rPr>
        <w:t>)</w:t>
      </w:r>
    </w:p>
    <w:p w:rsidR="00CA0E81" w:rsidRDefault="00CA0E81" w:rsidP="00375099">
      <w:pPr>
        <w:numPr>
          <w:ilvl w:val="0"/>
          <w:numId w:val="13"/>
        </w:numPr>
        <w:spacing w:before="200"/>
        <w:ind w:left="1134" w:hanging="567"/>
        <w:rPr>
          <w:rFonts w:ascii="Arial" w:eastAsia="SimSun" w:hAnsi="Arial" w:cs="Arial"/>
          <w:sz w:val="22"/>
          <w:szCs w:val="20"/>
          <w:rtl/>
          <w:lang w:eastAsia="zh-CN"/>
        </w:rPr>
      </w:pPr>
      <w:r>
        <w:rPr>
          <w:rFonts w:eastAsia="SimSun" w:hint="cs"/>
          <w:rtl/>
        </w:rPr>
        <w:t>مشروع المخطط: (</w:t>
      </w:r>
      <w:hyperlink r:id="rId15" w:history="1">
        <w:r w:rsidRPr="00442B9D">
          <w:rPr>
            <w:rFonts w:ascii="Arial" w:eastAsia="SimSun" w:hAnsi="Arial" w:cs="Arial"/>
            <w:color w:val="0000FF" w:themeColor="hyperlink"/>
            <w:sz w:val="22"/>
            <w:szCs w:val="20"/>
            <w:u w:val="single"/>
            <w:lang w:val="de-CH" w:eastAsia="zh-CN"/>
          </w:rPr>
          <w:t>annex_iii_draft_xmlschema</w:t>
        </w:r>
      </w:hyperlink>
      <w:r w:rsidRPr="00CA0E81">
        <w:rPr>
          <w:rFonts w:eastAsia="SimSun" w:hint="cs"/>
          <w:rtl/>
        </w:rPr>
        <w:t>)</w:t>
      </w:r>
    </w:p>
    <w:p w:rsidR="00F2341E" w:rsidRDefault="00CA0E81" w:rsidP="00CA0E81">
      <w:pPr>
        <w:pStyle w:val="Endofdocument-Annex"/>
        <w:rPr>
          <w:rtl/>
          <w:lang w:val="de-CH"/>
        </w:rPr>
      </w:pPr>
      <w:r>
        <w:rPr>
          <w:rFonts w:hint="cs"/>
          <w:rtl/>
          <w:lang w:val="de-CH"/>
        </w:rPr>
        <w:t>[نهاية المرفقات والوثيقة]</w:t>
      </w:r>
    </w:p>
    <w:sectPr w:rsidR="00F2341E" w:rsidSect="00F2341E">
      <w:headerReference w:type="default" r:id="rId16"/>
      <w:headerReference w:type="first" r:id="rId17"/>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1CD" w:rsidRDefault="00F031CD">
      <w:r>
        <w:separator/>
      </w:r>
    </w:p>
  </w:endnote>
  <w:endnote w:type="continuationSeparator" w:id="0">
    <w:p w:rsidR="00F031CD" w:rsidRDefault="00F03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00"/>
    <w:family w:val="script"/>
    <w:pitch w:val="variable"/>
    <w:sig w:usb0="00000000"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1CD" w:rsidRDefault="00F031CD" w:rsidP="009622BF">
      <w:bookmarkStart w:id="0" w:name="OLE_LINK1"/>
      <w:bookmarkStart w:id="1" w:name="OLE_LINK2"/>
      <w:r>
        <w:separator/>
      </w:r>
      <w:bookmarkEnd w:id="0"/>
      <w:bookmarkEnd w:id="1"/>
    </w:p>
  </w:footnote>
  <w:footnote w:type="continuationSeparator" w:id="0">
    <w:p w:rsidR="00F031CD" w:rsidRDefault="00F031CD"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EA2" w:rsidRDefault="00015EA2" w:rsidP="0023693F">
    <w:pPr>
      <w:bidi w:val="0"/>
      <w:rPr>
        <w:rFonts w:ascii="Arial" w:hAnsi="Arial" w:cs="Arial"/>
        <w:sz w:val="22"/>
        <w:szCs w:val="22"/>
      </w:rPr>
    </w:pPr>
    <w:bookmarkStart w:id="4" w:name="Code3"/>
    <w:bookmarkEnd w:id="4"/>
    <w:r>
      <w:rPr>
        <w:rFonts w:ascii="Arial" w:hAnsi="Arial" w:cs="Arial"/>
        <w:sz w:val="22"/>
        <w:szCs w:val="22"/>
      </w:rPr>
      <w:t>CWS/6/8</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656CBB">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41E" w:rsidRDefault="00F2341E" w:rsidP="0023693F">
    <w:pPr>
      <w:bidi w:val="0"/>
      <w:rPr>
        <w:rFonts w:ascii="Arial" w:hAnsi="Arial" w:cs="Arial"/>
        <w:sz w:val="22"/>
        <w:szCs w:val="22"/>
      </w:rPr>
    </w:pPr>
    <w:r>
      <w:rPr>
        <w:rFonts w:ascii="Arial" w:hAnsi="Arial" w:cs="Arial"/>
        <w:sz w:val="22"/>
        <w:szCs w:val="22"/>
      </w:rPr>
      <w:t>CWS/6/8</w:t>
    </w:r>
  </w:p>
  <w:p w:rsidR="00F2341E" w:rsidRDefault="00F2341E" w:rsidP="00F2341E">
    <w:pPr>
      <w:bidi w:val="0"/>
      <w:rPr>
        <w:rFonts w:ascii="Arial" w:hAnsi="Arial" w:cs="Arial"/>
        <w:sz w:val="22"/>
        <w:szCs w:val="22"/>
      </w:rPr>
    </w:pPr>
    <w:r>
      <w:rPr>
        <w:rFonts w:ascii="Arial" w:hAnsi="Arial" w:cs="Arial"/>
        <w:sz w:val="22"/>
        <w:szCs w:val="22"/>
      </w:rPr>
      <w:t>Annexes</w:t>
    </w:r>
  </w:p>
  <w:p w:rsidR="00F2341E" w:rsidRPr="00C50A61" w:rsidRDefault="00F2341E"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656CBB">
      <w:rPr>
        <w:rFonts w:ascii="Arial" w:hAnsi="Arial" w:cs="Arial"/>
        <w:noProof/>
        <w:sz w:val="22"/>
        <w:szCs w:val="22"/>
        <w:lang w:bidi="ar-EG"/>
      </w:rPr>
      <w:t>2</w:t>
    </w:r>
    <w:r w:rsidRPr="00C50A61">
      <w:rPr>
        <w:rFonts w:ascii="Arial" w:hAnsi="Arial" w:cs="Arial"/>
        <w:sz w:val="22"/>
        <w:szCs w:val="22"/>
      </w:rPr>
      <w:fldChar w:fldCharType="end"/>
    </w:r>
  </w:p>
  <w:p w:rsidR="00F2341E" w:rsidRPr="00C50A61" w:rsidRDefault="00F2341E"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EA2" w:rsidRDefault="00015EA2" w:rsidP="00015EA2">
    <w:pPr>
      <w:bidi w:val="0"/>
      <w:rPr>
        <w:rFonts w:ascii="Arial" w:hAnsi="Arial" w:cs="Arial"/>
        <w:sz w:val="22"/>
        <w:szCs w:val="22"/>
      </w:rPr>
    </w:pPr>
    <w:r>
      <w:rPr>
        <w:rFonts w:ascii="Arial" w:hAnsi="Arial" w:cs="Arial"/>
        <w:sz w:val="22"/>
        <w:szCs w:val="22"/>
      </w:rPr>
      <w:t>CWS/6/8</w:t>
    </w:r>
  </w:p>
  <w:p w:rsidR="00015EA2" w:rsidRDefault="00015EA2" w:rsidP="00015EA2">
    <w:pPr>
      <w:bidi w:val="0"/>
      <w:rPr>
        <w:rFonts w:ascii="Arial" w:hAnsi="Arial" w:cs="Arial"/>
        <w:sz w:val="22"/>
        <w:szCs w:val="22"/>
      </w:rPr>
    </w:pPr>
    <w:r>
      <w:rPr>
        <w:rFonts w:ascii="Arial" w:hAnsi="Arial" w:cs="Arial"/>
        <w:sz w:val="22"/>
        <w:szCs w:val="22"/>
      </w:rPr>
      <w:t>ANNEX</w:t>
    </w:r>
    <w:r w:rsidR="00190C07">
      <w:rPr>
        <w:rFonts w:ascii="Arial" w:hAnsi="Arial" w:cs="Arial"/>
        <w:sz w:val="22"/>
        <w:szCs w:val="22"/>
      </w:rPr>
      <w:t>ES</w:t>
    </w:r>
  </w:p>
  <w:p w:rsidR="00015EA2" w:rsidRPr="00015EA2" w:rsidRDefault="00015EA2" w:rsidP="00015EA2">
    <w:pPr>
      <w:bidi w:val="0"/>
      <w:rPr>
        <w:rtl/>
        <w:lang w:bidi="ar-EG"/>
      </w:rPr>
    </w:pPr>
    <w:r w:rsidRPr="00015EA2">
      <w:rPr>
        <w:rtl/>
        <w:lang w:bidi="ar-EG"/>
      </w:rPr>
      <w:t>المرفقات</w:t>
    </w:r>
  </w:p>
  <w:p w:rsidR="00015EA2" w:rsidRPr="00C50A61" w:rsidRDefault="00015EA2" w:rsidP="00015EA2">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CA3851A4"/>
    <w:lvl w:ilvl="0">
      <w:start w:val="1"/>
      <w:numFmt w:val="decimal"/>
      <w:lvlRestart w:val="0"/>
      <w:pStyle w:val="ONUMA"/>
      <w:lvlText w:val="%1."/>
      <w:lvlJc w:val="left"/>
      <w:pPr>
        <w:ind w:left="0" w:firstLine="0"/>
      </w:pPr>
      <w:rPr>
        <w:rFonts w:ascii="Arabic Typesetting" w:hAnsi="Arabic Typesetting" w:cs="Arabic Typesetting" w:hint="default"/>
        <w:sz w:val="36"/>
        <w:szCs w:val="36"/>
        <w:lang w:val="en-US"/>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lang w:val="en-US"/>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27F50EEB"/>
    <w:multiLevelType w:val="hybridMultilevel"/>
    <w:tmpl w:val="196C9588"/>
    <w:lvl w:ilvl="0" w:tplc="EF8A026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2"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2"/>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1"/>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ara"/>
    <w:docVar w:name="TermBases" w:val="WIPOLDTERM"/>
    <w:docVar w:name="TermBaseURL" w:val="empty"/>
    <w:docVar w:name="TextBases" w:val="LanguageDivision\TextBase TMs\WorkspaceATS\Brands &amp; Designs|LanguageDivision\TextBase TMs\WorkspaceATS\Communication|LanguageDivision\TextBase TMs\WorkspaceATS\Copyright|LanguageDivision\TextBase TMs\WorkspaceATS\Development|LanguageDivision\TextBase TMs\WorkspaceATS\Global Infrastructure|LanguageDivision\TextBase TMs\WorkspaceATS\Global Issues|LanguageDivision\TextBase TMs\WorkspaceATS\Governance|LanguageDivision\TextBase TMs\WorkspaceATS\Patents &amp; Arbitration|LanguageDivision\TextBase TMs\WorkspaceATS\UPOV"/>
    <w:docVar w:name="TextBaseURL" w:val="empty"/>
    <w:docVar w:name="UILng" w:val="en"/>
  </w:docVars>
  <w:rsids>
    <w:rsidRoot w:val="00015EA2"/>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5EA2"/>
    <w:rsid w:val="0001645D"/>
    <w:rsid w:val="00017A43"/>
    <w:rsid w:val="0002157B"/>
    <w:rsid w:val="00023101"/>
    <w:rsid w:val="0002407C"/>
    <w:rsid w:val="000243FB"/>
    <w:rsid w:val="0002476F"/>
    <w:rsid w:val="00024E17"/>
    <w:rsid w:val="000258DB"/>
    <w:rsid w:val="000259E5"/>
    <w:rsid w:val="000271D6"/>
    <w:rsid w:val="00031A2F"/>
    <w:rsid w:val="00031B2C"/>
    <w:rsid w:val="0003371F"/>
    <w:rsid w:val="00033D2C"/>
    <w:rsid w:val="00035CE8"/>
    <w:rsid w:val="00036041"/>
    <w:rsid w:val="00036A3F"/>
    <w:rsid w:val="00040637"/>
    <w:rsid w:val="00040688"/>
    <w:rsid w:val="0004070F"/>
    <w:rsid w:val="00040D69"/>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5F90"/>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02A"/>
    <w:rsid w:val="000C703A"/>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121C"/>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0C07"/>
    <w:rsid w:val="00191E48"/>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5351"/>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32C8"/>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A9B"/>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2B86"/>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92C"/>
    <w:rsid w:val="00373F07"/>
    <w:rsid w:val="00374A60"/>
    <w:rsid w:val="00375099"/>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6789"/>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477"/>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B9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1BC4"/>
    <w:rsid w:val="0056248F"/>
    <w:rsid w:val="00564985"/>
    <w:rsid w:val="00565379"/>
    <w:rsid w:val="0056579D"/>
    <w:rsid w:val="005674C3"/>
    <w:rsid w:val="00567990"/>
    <w:rsid w:val="00567C4C"/>
    <w:rsid w:val="005702F2"/>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6CBB"/>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5F5B"/>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7F2"/>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14A"/>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06C"/>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1160"/>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738"/>
    <w:rsid w:val="00904FDD"/>
    <w:rsid w:val="00905BC5"/>
    <w:rsid w:val="009064AA"/>
    <w:rsid w:val="00910FA9"/>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438B"/>
    <w:rsid w:val="00956244"/>
    <w:rsid w:val="00956A06"/>
    <w:rsid w:val="00957435"/>
    <w:rsid w:val="009578D0"/>
    <w:rsid w:val="009600C6"/>
    <w:rsid w:val="00960D80"/>
    <w:rsid w:val="009621CE"/>
    <w:rsid w:val="009622BF"/>
    <w:rsid w:val="009622DD"/>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77D85"/>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4F17"/>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3A4"/>
    <w:rsid w:val="00BC3AE8"/>
    <w:rsid w:val="00BC3AF4"/>
    <w:rsid w:val="00BC43A8"/>
    <w:rsid w:val="00BC5C6D"/>
    <w:rsid w:val="00BC6FC6"/>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0E81"/>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68BF"/>
    <w:rsid w:val="00CC7426"/>
    <w:rsid w:val="00CC7602"/>
    <w:rsid w:val="00CC7910"/>
    <w:rsid w:val="00CD0C20"/>
    <w:rsid w:val="00CD297A"/>
    <w:rsid w:val="00CD3DB0"/>
    <w:rsid w:val="00CD4129"/>
    <w:rsid w:val="00CD4AF9"/>
    <w:rsid w:val="00CD4DF3"/>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0A3"/>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49A"/>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48C8"/>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4B6"/>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A1D"/>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1CD"/>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341E"/>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4B7"/>
    <w:rsid w:val="00F8465D"/>
    <w:rsid w:val="00F848B3"/>
    <w:rsid w:val="00F85755"/>
    <w:rsid w:val="00F86948"/>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6C12A0DA-7958-4280-9FB8-33FAEAADD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sean-gidatabase.org/gidataba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europa.eu/agriculture/spirit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agriculture/markets/wine/e-bacchus" TargetMode="External"/><Relationship Id="rId5" Type="http://schemas.openxmlformats.org/officeDocument/2006/relationships/webSettings" Target="webSettings.xml"/><Relationship Id="rId15" Type="http://schemas.openxmlformats.org/officeDocument/2006/relationships/hyperlink" Target="http://www.wipo.int/edocs/mdocs/classifications/en/cws_6/cws_6_8-annex3.zip" TargetMode="External"/><Relationship Id="rId10" Type="http://schemas.openxmlformats.org/officeDocument/2006/relationships/hyperlink" Target="http://ec.europa.eu/agriculture/quality/door/list.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wipo.int/edocs/mdocs/classifications/en/cws_6/cws_6_8-annex2.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48E21-489F-454D-9502-5F3A58F56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1197</Words>
  <Characters>7073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CWS/6/8 (in Arabic)</vt:lpstr>
    </vt:vector>
  </TitlesOfParts>
  <Company>World Intellectual Property Organization</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CWS/6/8 (in Arabic)</dc:title>
  <dc:subject>تقرير عن التقدم المحرز في المهمة رقم 53 بشأن لغة الترميز الموسعة (XML) للمؤشرات الجغرافية</dc:subject>
  <dc:creator>WIPO</dc:creator>
  <cp:keywords>CWS</cp:keywords>
  <cp:lastModifiedBy>DRAKE Sophie</cp:lastModifiedBy>
  <cp:revision>3</cp:revision>
  <cp:lastPrinted>2018-09-14T09:53:00Z</cp:lastPrinted>
  <dcterms:created xsi:type="dcterms:W3CDTF">2018-10-03T14:54:00Z</dcterms:created>
  <dcterms:modified xsi:type="dcterms:W3CDTF">2018-10-03T15:08:00Z</dcterms:modified>
  <cp:category>CWS (in Arabic)</cp:category>
</cp:coreProperties>
</file>