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2B3176">
      <w:pPr>
        <w:widowControl w:val="0"/>
        <w:bidi w:val="0"/>
        <w:jc w:val="both"/>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2B3176">
      <w:pPr>
        <w:spacing w:after="120"/>
        <w:ind w:left="4535"/>
        <w:jc w:val="both"/>
        <w:rPr>
          <w:rtl/>
        </w:rPr>
      </w:pPr>
      <w:r w:rsidRPr="003F7284">
        <w:rPr>
          <w:noProof/>
        </w:rPr>
        <w:drawing>
          <wp:inline distT="0" distB="0" distL="0" distR="0" wp14:anchorId="15BA5876" wp14:editId="28E0661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561BC4" w:rsidP="002B3176">
      <w:pPr>
        <w:pBdr>
          <w:top w:val="single" w:sz="4" w:space="10" w:color="auto"/>
        </w:pBdr>
        <w:bidi w:val="0"/>
        <w:jc w:val="both"/>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CWS/6/</w:t>
      </w:r>
      <w:r w:rsidR="00F23E25">
        <w:rPr>
          <w:rFonts w:ascii="Arial Black" w:eastAsia="SimSun" w:hAnsi="Arial Black" w:cs="Arial"/>
          <w:b/>
          <w:caps/>
          <w:noProof/>
          <w:sz w:val="16"/>
          <w:szCs w:val="16"/>
          <w:lang w:eastAsia="zh-CN"/>
        </w:rPr>
        <w:t>24</w:t>
      </w:r>
      <w:r w:rsidR="00394265">
        <w:rPr>
          <w:rFonts w:ascii="Arial Black" w:eastAsia="SimSun" w:hAnsi="Arial Black" w:cs="Arial"/>
          <w:b/>
          <w:caps/>
          <w:noProof/>
          <w:sz w:val="16"/>
          <w:szCs w:val="16"/>
          <w:lang w:eastAsia="zh-CN"/>
        </w:rPr>
        <w:t xml:space="preserve"> REV.2</w:t>
      </w:r>
    </w:p>
    <w:bookmarkEnd w:id="2"/>
    <w:p w:rsidR="003F7284" w:rsidRPr="00BB6440" w:rsidRDefault="003F7284" w:rsidP="006A5A47">
      <w:pPr>
        <w:bidi w:val="0"/>
        <w:rPr>
          <w:b/>
          <w:bCs/>
          <w:sz w:val="30"/>
          <w:szCs w:val="30"/>
          <w:rtl/>
        </w:rPr>
      </w:pPr>
      <w:r w:rsidRPr="00BB6440">
        <w:rPr>
          <w:b/>
          <w:bCs/>
          <w:sz w:val="30"/>
          <w:szCs w:val="30"/>
          <w:rtl/>
        </w:rPr>
        <w:t xml:space="preserve">الأصل: </w:t>
      </w:r>
      <w:r w:rsidR="00F23E25">
        <w:rPr>
          <w:b/>
          <w:bCs/>
          <w:sz w:val="30"/>
          <w:szCs w:val="30"/>
          <w:rtl/>
        </w:rPr>
        <w:t>بالإنكليزية</w:t>
      </w:r>
    </w:p>
    <w:p w:rsidR="003F7284" w:rsidRPr="00BB6440" w:rsidRDefault="003F7284" w:rsidP="0083543B">
      <w:pPr>
        <w:bidi w:val="0"/>
        <w:spacing w:after="360"/>
        <w:rPr>
          <w:b/>
          <w:bCs/>
          <w:sz w:val="30"/>
          <w:szCs w:val="30"/>
          <w:rtl/>
        </w:rPr>
      </w:pPr>
      <w:r w:rsidRPr="00BB6440">
        <w:rPr>
          <w:b/>
          <w:bCs/>
          <w:sz w:val="30"/>
          <w:szCs w:val="30"/>
          <w:rtl/>
        </w:rPr>
        <w:t>التاريخ:</w:t>
      </w:r>
      <w:r w:rsidR="005D79F6" w:rsidRPr="00BB6440">
        <w:rPr>
          <w:b/>
          <w:bCs/>
          <w:sz w:val="30"/>
          <w:szCs w:val="30"/>
          <w:rtl/>
        </w:rPr>
        <w:t xml:space="preserve"> </w:t>
      </w:r>
      <w:r w:rsidR="00F23E25">
        <w:rPr>
          <w:b/>
          <w:bCs/>
          <w:sz w:val="30"/>
          <w:szCs w:val="30"/>
          <w:rtl/>
        </w:rPr>
        <w:t>12 سبتمبر 2018</w:t>
      </w:r>
    </w:p>
    <w:p w:rsidR="002E7810" w:rsidRPr="00FD6D15" w:rsidRDefault="00561BC4" w:rsidP="0083543B">
      <w:pPr>
        <w:pStyle w:val="Heading1"/>
        <w:spacing w:after="360" w:line="240" w:lineRule="auto"/>
        <w:jc w:val="both"/>
        <w:rPr>
          <w:rtl/>
        </w:rPr>
      </w:pPr>
      <w:r>
        <w:rPr>
          <w:rFonts w:hint="eastAsia"/>
          <w:rtl/>
        </w:rPr>
        <w:t>اللجنة</w:t>
      </w:r>
      <w:r>
        <w:rPr>
          <w:rtl/>
        </w:rPr>
        <w:t xml:space="preserve"> </w:t>
      </w:r>
      <w:r>
        <w:rPr>
          <w:rFonts w:hint="eastAsia"/>
          <w:rtl/>
        </w:rPr>
        <w:t>المعنية</w:t>
      </w:r>
      <w:r>
        <w:rPr>
          <w:rtl/>
        </w:rPr>
        <w:t xml:space="preserve"> </w:t>
      </w:r>
      <w:r>
        <w:rPr>
          <w:rFonts w:hint="eastAsia"/>
          <w:rtl/>
        </w:rPr>
        <w:t>بمعايير</w:t>
      </w:r>
      <w:r>
        <w:rPr>
          <w:rtl/>
        </w:rPr>
        <w:t xml:space="preserve"> </w:t>
      </w:r>
      <w:r>
        <w:rPr>
          <w:rFonts w:hint="eastAsia"/>
          <w:rtl/>
        </w:rPr>
        <w:t>الويبو</w:t>
      </w:r>
    </w:p>
    <w:p w:rsidR="002E7810" w:rsidRPr="002E7810" w:rsidRDefault="00561BC4" w:rsidP="002B3176">
      <w:pPr>
        <w:pStyle w:val="Heading2"/>
        <w:jc w:val="both"/>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السادسة</w:t>
      </w:r>
    </w:p>
    <w:p w:rsidR="002E7810" w:rsidRPr="002E7810" w:rsidRDefault="00561BC4" w:rsidP="0083543B">
      <w:pPr>
        <w:spacing w:after="360"/>
        <w:jc w:val="both"/>
        <w:rPr>
          <w:b/>
          <w:bCs/>
          <w:rtl/>
        </w:rPr>
      </w:pPr>
      <w:r>
        <w:rPr>
          <w:b/>
          <w:bCs/>
          <w:rtl/>
        </w:rPr>
        <w:t>جنيف، من 15 إلى 19 أكتوبر 2018</w:t>
      </w:r>
    </w:p>
    <w:p w:rsidR="004E69A4" w:rsidRPr="0083543B" w:rsidRDefault="004E69A4" w:rsidP="0083543B">
      <w:pPr>
        <w:pStyle w:val="Heading2"/>
        <w:keepNext w:val="0"/>
        <w:spacing w:before="120"/>
        <w:jc w:val="both"/>
        <w:rPr>
          <w:b w:val="0"/>
          <w:bCs w:val="0"/>
          <w:sz w:val="36"/>
          <w:szCs w:val="36"/>
          <w:rtl/>
        </w:rPr>
      </w:pPr>
      <w:bookmarkStart w:id="3" w:name="_GoBack"/>
      <w:r w:rsidRPr="0083543B">
        <w:rPr>
          <w:rFonts w:ascii="Arial Black" w:hAnsi="Arial Black" w:cs="PT Bold Heading"/>
          <w:b w:val="0"/>
          <w:bCs w:val="0"/>
          <w:sz w:val="28"/>
          <w:szCs w:val="28"/>
          <w:rtl/>
        </w:rPr>
        <w:t>تقرير فرقة العمل المعنية بالجزء 7 عن المهمة رقم</w:t>
      </w:r>
      <w:r w:rsidRPr="0083543B">
        <w:rPr>
          <w:b w:val="0"/>
          <w:bCs w:val="0"/>
          <w:sz w:val="36"/>
          <w:szCs w:val="36"/>
          <w:rtl/>
        </w:rPr>
        <w:t xml:space="preserve"> </w:t>
      </w:r>
      <w:r w:rsidRPr="0083543B">
        <w:rPr>
          <w:rFonts w:ascii="Arial Black" w:hAnsi="Arial Black" w:cs="PT Bold Heading"/>
          <w:b w:val="0"/>
          <w:bCs w:val="0"/>
          <w:sz w:val="28"/>
          <w:szCs w:val="28"/>
          <w:rtl/>
        </w:rPr>
        <w:t>50</w:t>
      </w:r>
    </w:p>
    <w:bookmarkEnd w:id="3"/>
    <w:p w:rsidR="003F7284" w:rsidRPr="00394265" w:rsidRDefault="004E69A4" w:rsidP="0083543B">
      <w:pPr>
        <w:spacing w:after="480"/>
        <w:contextualSpacing/>
        <w:jc w:val="both"/>
        <w:rPr>
          <w:sz w:val="40"/>
          <w:szCs w:val="40"/>
        </w:rPr>
      </w:pPr>
      <w:r w:rsidRPr="00394265">
        <w:rPr>
          <w:rFonts w:hint="cs"/>
          <w:sz w:val="40"/>
          <w:szCs w:val="40"/>
          <w:rtl/>
        </w:rPr>
        <w:t xml:space="preserve">وثيقة </w:t>
      </w:r>
      <w:r w:rsidR="003F7284" w:rsidRPr="00394265">
        <w:rPr>
          <w:sz w:val="40"/>
          <w:szCs w:val="40"/>
          <w:rtl/>
        </w:rPr>
        <w:t>من إعداد</w:t>
      </w:r>
      <w:r w:rsidRPr="00394265">
        <w:rPr>
          <w:rFonts w:hint="cs"/>
          <w:sz w:val="40"/>
          <w:szCs w:val="40"/>
          <w:rtl/>
        </w:rPr>
        <w:t xml:space="preserve"> فرقة العمل المعنية بالجزء 7</w:t>
      </w:r>
    </w:p>
    <w:p w:rsidR="00E3612C" w:rsidRPr="002B7433" w:rsidRDefault="006C480A" w:rsidP="002B3176">
      <w:pPr>
        <w:pStyle w:val="Heading3"/>
        <w:jc w:val="both"/>
        <w:rPr>
          <w:b/>
          <w:bCs/>
          <w:rtl/>
        </w:rPr>
      </w:pPr>
      <w:r w:rsidRPr="002B7433">
        <w:rPr>
          <w:rFonts w:hint="cs"/>
          <w:b/>
          <w:bCs/>
          <w:rtl/>
        </w:rPr>
        <w:t>مقدمة</w:t>
      </w:r>
    </w:p>
    <w:p w:rsidR="006C480A" w:rsidRDefault="00540B47" w:rsidP="002B3176">
      <w:pPr>
        <w:pStyle w:val="ONUMA"/>
        <w:jc w:val="both"/>
      </w:pPr>
      <w:r w:rsidRPr="00540B47">
        <w:rPr>
          <w:rtl/>
        </w:rPr>
        <w:t>اتفقت اللجنة المعنية بمعايير الويبو (لجنة المعايير)، في دورتها الرابعة المجتمعة مجدداً التي عُقدت في مارس 2016، على</w:t>
      </w:r>
      <w:r>
        <w:rPr>
          <w:rFonts w:hint="cs"/>
          <w:rtl/>
        </w:rPr>
        <w:t xml:space="preserve"> استحداث المهمة رقم 50: "</w:t>
      </w:r>
      <w:r w:rsidRPr="00540B47">
        <w:rPr>
          <w:rtl/>
        </w:rPr>
        <w:t>ضمان الحفظ والتحديث اللازمين للدراسات الاستقصائية المنشورة في الجزء 7 من دليل الويبو بشأن المعلومات والوثائق المتعلقة بالملكية الصناعية</w:t>
      </w:r>
      <w:r>
        <w:rPr>
          <w:rFonts w:hint="cs"/>
          <w:rtl/>
        </w:rPr>
        <w:t>."</w:t>
      </w:r>
      <w:r w:rsidRPr="00540B47">
        <w:rPr>
          <w:rtl/>
        </w:rPr>
        <w:t xml:space="preserve"> </w:t>
      </w:r>
      <w:r w:rsidR="00975D1F">
        <w:rPr>
          <w:rFonts w:hint="cs"/>
          <w:rtl/>
        </w:rPr>
        <w:t>و</w:t>
      </w:r>
      <w:r w:rsidR="00800372">
        <w:rPr>
          <w:rtl/>
        </w:rPr>
        <w:t>إنشاء فرقة عمل لإنجاز هذه المهمة (فرقة العمل المعنية بالجزء 7).</w:t>
      </w:r>
      <w:r w:rsidR="00800372">
        <w:rPr>
          <w:rFonts w:hint="cs"/>
          <w:rtl/>
        </w:rPr>
        <w:t xml:space="preserve"> </w:t>
      </w:r>
      <w:r w:rsidR="00800372">
        <w:rPr>
          <w:rtl/>
        </w:rPr>
        <w:t xml:space="preserve">وعُيِّن المكتب الدولي مشرفاً على فرقة العمل. (انظر الفقرتين 73 و122(ه) من الوثيقة </w:t>
      </w:r>
      <w:r w:rsidR="00800372">
        <w:t>CWS/4BIS/16</w:t>
      </w:r>
      <w:r w:rsidR="00800372">
        <w:rPr>
          <w:rtl/>
        </w:rPr>
        <w:t>)</w:t>
      </w:r>
      <w:r w:rsidR="006E490A">
        <w:rPr>
          <w:rFonts w:hint="cs"/>
          <w:rtl/>
        </w:rPr>
        <w:t>.</w:t>
      </w:r>
    </w:p>
    <w:p w:rsidR="006E490A" w:rsidRDefault="006E490A" w:rsidP="002B3176">
      <w:pPr>
        <w:pStyle w:val="ONUMA"/>
        <w:jc w:val="both"/>
      </w:pPr>
      <w:r>
        <w:rPr>
          <w:rFonts w:hint="cs"/>
          <w:rtl/>
        </w:rPr>
        <w:t>و</w:t>
      </w:r>
      <w:r>
        <w:rPr>
          <w:rtl/>
        </w:rPr>
        <w:t>في</w:t>
      </w:r>
      <w:r>
        <w:rPr>
          <w:rFonts w:hint="cs"/>
          <w:rtl/>
        </w:rPr>
        <w:t xml:space="preserve"> </w:t>
      </w:r>
      <w:r w:rsidRPr="00540B47">
        <w:rPr>
          <w:rtl/>
        </w:rPr>
        <w:t>دورتها الرابعة المجتمعة مجدداً</w:t>
      </w:r>
      <w:r>
        <w:rPr>
          <w:rFonts w:hint="cs"/>
          <w:rtl/>
        </w:rPr>
        <w:t xml:space="preserve">، </w:t>
      </w:r>
      <w:r w:rsidRPr="006E490A">
        <w:rPr>
          <w:rtl/>
        </w:rPr>
        <w:t>وافقت لجنة المعايير على توسيع نطاق الجزء 7.7 من دليل الويبو بشأن المعلومات والوثائق المتعلقة بالملكية الصناعية (دليل الويبو) ليشمل تسويات مدة البراءة وتمديدات مدة البراءة بالإضافة إلى شهادات الحماية التكميلية.</w:t>
      </w:r>
      <w:r w:rsidR="00913ABA">
        <w:rPr>
          <w:rFonts w:hint="cs"/>
          <w:rtl/>
        </w:rPr>
        <w:t xml:space="preserve"> </w:t>
      </w:r>
      <w:r w:rsidR="00913ABA" w:rsidRPr="00913ABA">
        <w:rPr>
          <w:rtl/>
        </w:rPr>
        <w:t xml:space="preserve">وبغية </w:t>
      </w:r>
      <w:r w:rsidR="00E47D56">
        <w:rPr>
          <w:rFonts w:hint="cs"/>
          <w:rtl/>
        </w:rPr>
        <w:t>توسيع نطاق</w:t>
      </w:r>
      <w:r w:rsidR="00E47D56">
        <w:rPr>
          <w:rtl/>
        </w:rPr>
        <w:t xml:space="preserve"> الجزء 7.7</w:t>
      </w:r>
      <w:r w:rsidR="00913ABA" w:rsidRPr="00913ABA">
        <w:rPr>
          <w:rtl/>
        </w:rPr>
        <w:t>، طلبت لجنة المعايير من فرقة العمل المعنية بالجزء 7 مراجعة الاستبيان</w:t>
      </w:r>
      <w:r w:rsidR="00913ABA">
        <w:rPr>
          <w:rFonts w:hint="cs"/>
          <w:rtl/>
        </w:rPr>
        <w:t xml:space="preserve"> بشأن شهادات الحماية التكميلية</w:t>
      </w:r>
      <w:r w:rsidR="00913ABA" w:rsidRPr="00913ABA">
        <w:rPr>
          <w:rtl/>
        </w:rPr>
        <w:t xml:space="preserve"> وتقديم اقتراح</w:t>
      </w:r>
      <w:r w:rsidR="004A620A">
        <w:rPr>
          <w:rFonts w:hint="cs"/>
          <w:rtl/>
        </w:rPr>
        <w:t xml:space="preserve"> لتحديثه</w:t>
      </w:r>
      <w:r w:rsidR="00913ABA" w:rsidRPr="00913ABA">
        <w:rPr>
          <w:rtl/>
        </w:rPr>
        <w:t xml:space="preserve"> في دورتها الخامسة (انظر الفقرة 74 من الوثيقة </w:t>
      </w:r>
      <w:r w:rsidR="00913ABA" w:rsidRPr="00913ABA">
        <w:t>CWS/4BIS/16</w:t>
      </w:r>
      <w:r w:rsidR="00913ABA" w:rsidRPr="00913ABA">
        <w:rPr>
          <w:rtl/>
        </w:rPr>
        <w:t>).</w:t>
      </w:r>
    </w:p>
    <w:p w:rsidR="004A620A" w:rsidRDefault="004A620A" w:rsidP="00FA0291">
      <w:pPr>
        <w:pStyle w:val="ONUMA"/>
        <w:jc w:val="both"/>
      </w:pPr>
      <w:r>
        <w:rPr>
          <w:rFonts w:hint="cs"/>
          <w:rtl/>
        </w:rPr>
        <w:t xml:space="preserve">وفي الدورة الخامسة </w:t>
      </w:r>
      <w:r w:rsidR="00445C22">
        <w:rPr>
          <w:rFonts w:hint="cs"/>
          <w:rtl/>
        </w:rPr>
        <w:t xml:space="preserve">للجنة المعايير التي عقدت في الفترة من 29 مايو إلى 2 يونيو 2017، عرضت </w:t>
      </w:r>
      <w:r w:rsidR="00AC694C">
        <w:rPr>
          <w:rFonts w:hint="cs"/>
          <w:rtl/>
        </w:rPr>
        <w:t xml:space="preserve">فرقة العمل المعنية بالجزء 7 مشروع استبيان بشأن </w:t>
      </w:r>
      <w:r w:rsidR="00AC694C" w:rsidRPr="00AC694C">
        <w:rPr>
          <w:rtl/>
        </w:rPr>
        <w:t xml:space="preserve">منح ونشر حالات تمديد حماية الملكية الصناعية </w:t>
      </w:r>
      <w:r w:rsidR="0038573B">
        <w:rPr>
          <w:rFonts w:hint="cs"/>
          <w:rtl/>
        </w:rPr>
        <w:t>من أجل النظر فيه</w:t>
      </w:r>
      <w:r w:rsidR="00AC694C" w:rsidRPr="00AC694C">
        <w:rPr>
          <w:rtl/>
        </w:rPr>
        <w:t>.</w:t>
      </w:r>
      <w:r w:rsidR="0038573B">
        <w:rPr>
          <w:rFonts w:hint="cs"/>
          <w:rtl/>
        </w:rPr>
        <w:t xml:space="preserve"> وناقشت لجنة </w:t>
      </w:r>
      <w:r w:rsidR="0038573B">
        <w:rPr>
          <w:rFonts w:hint="cs"/>
          <w:rtl/>
        </w:rPr>
        <w:lastRenderedPageBreak/>
        <w:t xml:space="preserve">المعايير مشروع الاستبيان المقترح </w:t>
      </w:r>
      <w:r w:rsidR="009A276A">
        <w:rPr>
          <w:rFonts w:hint="cs"/>
          <w:rtl/>
        </w:rPr>
        <w:t xml:space="preserve">بشأن </w:t>
      </w:r>
      <w:r w:rsidR="009A276A" w:rsidRPr="00AC694C">
        <w:rPr>
          <w:rtl/>
        </w:rPr>
        <w:t xml:space="preserve">حالات تمديد حماية الملكية الصناعية </w:t>
      </w:r>
      <w:r w:rsidR="00CE6195">
        <w:rPr>
          <w:rFonts w:hint="cs"/>
          <w:rtl/>
        </w:rPr>
        <w:t xml:space="preserve">وحددت العديد من القضايا </w:t>
      </w:r>
      <w:r w:rsidR="0038573B">
        <w:rPr>
          <w:rFonts w:hint="cs"/>
          <w:rtl/>
        </w:rPr>
        <w:t>الم</w:t>
      </w:r>
      <w:r w:rsidR="00D45D4D">
        <w:rPr>
          <w:rFonts w:hint="cs"/>
          <w:rtl/>
        </w:rPr>
        <w:t>وضوعية</w:t>
      </w:r>
      <w:r w:rsidR="0038573B">
        <w:rPr>
          <w:rFonts w:hint="cs"/>
          <w:rtl/>
        </w:rPr>
        <w:t xml:space="preserve"> التي ينبغي تعديلها. و</w:t>
      </w:r>
      <w:r w:rsidR="00D45D4D">
        <w:rPr>
          <w:rFonts w:hint="cs"/>
          <w:rtl/>
        </w:rPr>
        <w:t>بناء على ذلك</w:t>
      </w:r>
      <w:r w:rsidR="0038573B">
        <w:rPr>
          <w:rFonts w:hint="cs"/>
          <w:rtl/>
        </w:rPr>
        <w:t xml:space="preserve">، </w:t>
      </w:r>
      <w:r w:rsidR="00D45D4D" w:rsidRPr="00D45D4D">
        <w:rPr>
          <w:rtl/>
        </w:rPr>
        <w:t xml:space="preserve">التمست لجنة المعايير من فرقة العمل المعنية بالجزء 7 تعديل مشروع الاستبيان مع مراعاة القضايا </w:t>
      </w:r>
      <w:r w:rsidR="00CE6195">
        <w:rPr>
          <w:rFonts w:hint="cs"/>
          <w:rtl/>
        </w:rPr>
        <w:t>المحددة</w:t>
      </w:r>
      <w:r w:rsidR="00CE6195">
        <w:rPr>
          <w:rtl/>
        </w:rPr>
        <w:t xml:space="preserve"> وعرض </w:t>
      </w:r>
      <w:r w:rsidR="00D45D4D" w:rsidRPr="00D45D4D">
        <w:rPr>
          <w:rtl/>
        </w:rPr>
        <w:t>اقتراح</w:t>
      </w:r>
      <w:r w:rsidR="00CE6195">
        <w:rPr>
          <w:rFonts w:hint="cs"/>
          <w:rtl/>
        </w:rPr>
        <w:t xml:space="preserve"> جديد</w:t>
      </w:r>
      <w:r w:rsidR="00D45D4D" w:rsidRPr="00D45D4D">
        <w:rPr>
          <w:rtl/>
        </w:rPr>
        <w:t xml:space="preserve"> </w:t>
      </w:r>
      <w:r w:rsidR="00CE6195">
        <w:rPr>
          <w:rFonts w:hint="cs"/>
          <w:rtl/>
        </w:rPr>
        <w:t>لكي تنظر فيه</w:t>
      </w:r>
      <w:r w:rsidR="00D45D4D" w:rsidRPr="00D45D4D">
        <w:rPr>
          <w:rtl/>
        </w:rPr>
        <w:t xml:space="preserve"> </w:t>
      </w:r>
      <w:r w:rsidR="00CE6195">
        <w:rPr>
          <w:rFonts w:hint="cs"/>
          <w:rtl/>
        </w:rPr>
        <w:t>ال</w:t>
      </w:r>
      <w:r w:rsidR="00CE6195">
        <w:rPr>
          <w:rtl/>
        </w:rPr>
        <w:t>لجنة في دروتها السادسة</w:t>
      </w:r>
      <w:r w:rsidR="00D70CB4">
        <w:rPr>
          <w:rFonts w:hint="cs"/>
          <w:rtl/>
        </w:rPr>
        <w:t xml:space="preserve"> (انظر الفقرات من 79 إلى 81 من الوثيقة</w:t>
      </w:r>
      <w:r w:rsidR="00FA0291">
        <w:rPr>
          <w:rFonts w:hint="eastAsia"/>
          <w:rtl/>
        </w:rPr>
        <w:t> </w:t>
      </w:r>
      <w:r w:rsidR="00D70CB4" w:rsidRPr="007C4727">
        <w:t>CWS/5/22</w:t>
      </w:r>
      <w:r w:rsidR="00D70CB4">
        <w:rPr>
          <w:rFonts w:hint="cs"/>
          <w:rtl/>
        </w:rPr>
        <w:t>).</w:t>
      </w:r>
    </w:p>
    <w:p w:rsidR="00727F48" w:rsidRDefault="00727F48" w:rsidP="002B3176">
      <w:pPr>
        <w:pStyle w:val="ONUMA"/>
        <w:jc w:val="both"/>
      </w:pPr>
      <w:r>
        <w:rPr>
          <w:rFonts w:hint="cs"/>
          <w:rtl/>
        </w:rPr>
        <w:t xml:space="preserve">وفي دورتها الخامسة، </w:t>
      </w:r>
      <w:r w:rsidR="00CA7FE7" w:rsidRPr="00CA7FE7">
        <w:rPr>
          <w:rtl/>
        </w:rPr>
        <w:t>التمست لجنة المعايير</w:t>
      </w:r>
      <w:r w:rsidR="00CA7FE7">
        <w:rPr>
          <w:rFonts w:hint="cs"/>
          <w:rtl/>
        </w:rPr>
        <w:t xml:space="preserve"> أيضاً</w:t>
      </w:r>
      <w:r w:rsidR="00CA7FE7" w:rsidRPr="00CA7FE7">
        <w:rPr>
          <w:rtl/>
        </w:rPr>
        <w:t xml:space="preserve"> من فرقة العمل المعنية بالجزء 7 أن تعد </w:t>
      </w:r>
      <w:r w:rsidR="00CA7FE7">
        <w:rPr>
          <w:rFonts w:hint="cs"/>
          <w:rtl/>
        </w:rPr>
        <w:t>ا</w:t>
      </w:r>
      <w:r w:rsidR="00CA7FE7" w:rsidRPr="00CA7FE7">
        <w:rPr>
          <w:rtl/>
        </w:rPr>
        <w:t>قتر</w:t>
      </w:r>
      <w:r w:rsidR="00CA7FE7">
        <w:rPr>
          <w:rFonts w:hint="cs"/>
          <w:rtl/>
        </w:rPr>
        <w:t>ا</w:t>
      </w:r>
      <w:r w:rsidR="00CA7FE7" w:rsidRPr="00CA7FE7">
        <w:rPr>
          <w:rtl/>
        </w:rPr>
        <w:t>حاً</w:t>
      </w:r>
      <w:r w:rsidR="00CA7FE7">
        <w:rPr>
          <w:rFonts w:hint="cs"/>
          <w:rtl/>
        </w:rPr>
        <w:t xml:space="preserve"> للاستبيان</w:t>
      </w:r>
      <w:r w:rsidR="00CA7FE7" w:rsidRPr="00CA7FE7">
        <w:rPr>
          <w:rtl/>
        </w:rPr>
        <w:t xml:space="preserve"> بشأن ترقيم الوثائق المنشورة والحقوق المسجلة </w:t>
      </w:r>
      <w:r w:rsidR="00D228EB">
        <w:rPr>
          <w:rtl/>
        </w:rPr>
        <w:t>و</w:t>
      </w:r>
      <w:r w:rsidR="0087074C">
        <w:rPr>
          <w:rtl/>
        </w:rPr>
        <w:t>تعرض</w:t>
      </w:r>
      <w:r w:rsidR="0087074C">
        <w:rPr>
          <w:rFonts w:hint="cs"/>
          <w:rtl/>
        </w:rPr>
        <w:t xml:space="preserve">ه </w:t>
      </w:r>
      <w:r w:rsidR="0087074C">
        <w:rPr>
          <w:rtl/>
        </w:rPr>
        <w:t>على</w:t>
      </w:r>
      <w:r w:rsidR="0087074C">
        <w:rPr>
          <w:rFonts w:hint="cs"/>
          <w:rtl/>
        </w:rPr>
        <w:t xml:space="preserve"> نظر ال</w:t>
      </w:r>
      <w:r w:rsidR="0087074C">
        <w:rPr>
          <w:rtl/>
        </w:rPr>
        <w:t>لجنة</w:t>
      </w:r>
      <w:r w:rsidR="00CA7FE7" w:rsidRPr="00CA7FE7">
        <w:rPr>
          <w:rtl/>
        </w:rPr>
        <w:t xml:space="preserve"> في دروتها السادسة</w:t>
      </w:r>
      <w:r w:rsidR="0087074C">
        <w:rPr>
          <w:rFonts w:hint="cs"/>
          <w:rtl/>
        </w:rPr>
        <w:t xml:space="preserve">. وأشارت </w:t>
      </w:r>
      <w:r w:rsidR="00C32F97">
        <w:rPr>
          <w:rFonts w:hint="cs"/>
          <w:rtl/>
        </w:rPr>
        <w:t xml:space="preserve">اللجنة إلى أنه ينبغي أن يشمل الاستبيان الممارسات الحالية والسابقة لترقيم </w:t>
      </w:r>
      <w:r w:rsidR="00C32F97" w:rsidRPr="00CA7FE7">
        <w:rPr>
          <w:rtl/>
        </w:rPr>
        <w:t>الوثائق المنشورة والحقوق المسجلة</w:t>
      </w:r>
      <w:r w:rsidR="00D228EB">
        <w:rPr>
          <w:rFonts w:hint="cs"/>
          <w:rtl/>
        </w:rPr>
        <w:t>.</w:t>
      </w:r>
      <w:r w:rsidR="00C32F97">
        <w:rPr>
          <w:rFonts w:hint="cs"/>
          <w:rtl/>
        </w:rPr>
        <w:t xml:space="preserve"> (انظر الفقرة 71 من الوثيقة </w:t>
      </w:r>
      <w:r w:rsidR="00C32F97" w:rsidRPr="00876090">
        <w:t>CWS/</w:t>
      </w:r>
      <w:r w:rsidR="00C32F97" w:rsidRPr="007C4727">
        <w:t>5/22</w:t>
      </w:r>
      <w:r w:rsidR="00876090">
        <w:rPr>
          <w:rFonts w:hint="cs"/>
          <w:rtl/>
        </w:rPr>
        <w:t>).</w:t>
      </w:r>
    </w:p>
    <w:p w:rsidR="00876090" w:rsidRDefault="00876090" w:rsidP="002B3176">
      <w:pPr>
        <w:pStyle w:val="ONUMA"/>
        <w:jc w:val="both"/>
      </w:pPr>
      <w:r>
        <w:rPr>
          <w:rFonts w:hint="cs"/>
          <w:rtl/>
        </w:rPr>
        <w:t xml:space="preserve">وفي دورتها الخامسة، </w:t>
      </w:r>
      <w:r w:rsidR="00336D45" w:rsidRPr="00336D45">
        <w:rPr>
          <w:rtl/>
        </w:rPr>
        <w:t>التمست لجنة المعايير من المكتب الدولي ما يلي</w:t>
      </w:r>
      <w:r>
        <w:rPr>
          <w:rFonts w:hint="cs"/>
          <w:rtl/>
        </w:rPr>
        <w:t>:</w:t>
      </w:r>
    </w:p>
    <w:p w:rsidR="00876090" w:rsidRPr="008D40D9" w:rsidRDefault="00876090" w:rsidP="002B3176">
      <w:pPr>
        <w:pStyle w:val="ONUMA"/>
        <w:numPr>
          <w:ilvl w:val="2"/>
          <w:numId w:val="24"/>
        </w:numPr>
        <w:ind w:left="567"/>
        <w:jc w:val="both"/>
      </w:pPr>
      <w:r w:rsidRPr="008D40D9">
        <w:rPr>
          <w:rtl/>
        </w:rPr>
        <w:t xml:space="preserve">دعوة مكاتب الملكية الصناعية إلى تحديث مشاركاتها في الجزء </w:t>
      </w:r>
      <w:r w:rsidR="00BF2BA1">
        <w:rPr>
          <w:rFonts w:hint="cs"/>
          <w:rtl/>
        </w:rPr>
        <w:t>7.2.4</w:t>
      </w:r>
      <w:r w:rsidRPr="008D40D9">
        <w:rPr>
          <w:rtl/>
        </w:rPr>
        <w:t xml:space="preserve"> "دراسة استقصائية بشأن عرض أرقام طلبات الأولوية"، ثم إعداد ونشر الجزء </w:t>
      </w:r>
      <w:r w:rsidR="006667B5">
        <w:rPr>
          <w:rFonts w:hint="cs"/>
          <w:rtl/>
        </w:rPr>
        <w:t>7.2.4</w:t>
      </w:r>
      <w:r w:rsidRPr="008D40D9">
        <w:rPr>
          <w:rtl/>
        </w:rPr>
        <w:t xml:space="preserve"> المحدث من دليل الويبو؛</w:t>
      </w:r>
    </w:p>
    <w:p w:rsidR="00876090" w:rsidRPr="008D40D9" w:rsidRDefault="00336D45" w:rsidP="002B3176">
      <w:pPr>
        <w:pStyle w:val="ONUMA"/>
        <w:numPr>
          <w:ilvl w:val="2"/>
          <w:numId w:val="24"/>
        </w:numPr>
        <w:ind w:left="567"/>
        <w:jc w:val="both"/>
      </w:pPr>
      <w:r w:rsidRPr="008D40D9">
        <w:rPr>
          <w:rtl/>
        </w:rPr>
        <w:t xml:space="preserve">والالتماس من المكتب الدولي نقل الجزء </w:t>
      </w:r>
      <w:r w:rsidR="00714A75">
        <w:rPr>
          <w:rFonts w:hint="cs"/>
          <w:rtl/>
        </w:rPr>
        <w:t>7.2.1</w:t>
      </w:r>
      <w:r w:rsidRPr="008D40D9">
        <w:rPr>
          <w:rtl/>
        </w:rPr>
        <w:t xml:space="preserve"> إلى المحفوظات والاستعاضة عن الإشارة الواردة في المعيار </w:t>
      </w:r>
      <w:r w:rsidRPr="008D40D9">
        <w:t>ST.10/C</w:t>
      </w:r>
      <w:r w:rsidRPr="008D40D9">
        <w:rPr>
          <w:rtl/>
        </w:rPr>
        <w:t xml:space="preserve"> بالجزء </w:t>
      </w:r>
      <w:r w:rsidR="00714A75">
        <w:rPr>
          <w:rFonts w:hint="cs"/>
          <w:rtl/>
        </w:rPr>
        <w:t>7.2.6</w:t>
      </w:r>
      <w:r w:rsidRPr="008D40D9">
        <w:rPr>
          <w:rtl/>
        </w:rPr>
        <w:t xml:space="preserve"> (تغيير في الصياغة) وإدراج الرابط إلى الجزء المنقول إلى المحفوظات </w:t>
      </w:r>
      <w:r w:rsidR="00651CC8">
        <w:rPr>
          <w:rFonts w:hint="cs"/>
          <w:rtl/>
        </w:rPr>
        <w:t>7.2.1</w:t>
      </w:r>
      <w:r w:rsidRPr="008D40D9">
        <w:rPr>
          <w:rtl/>
        </w:rPr>
        <w:t xml:space="preserve"> في الجزء </w:t>
      </w:r>
      <w:r w:rsidR="00651CC8">
        <w:rPr>
          <w:rFonts w:hint="cs"/>
          <w:rtl/>
        </w:rPr>
        <w:t>7.2.6</w:t>
      </w:r>
      <w:r w:rsidRPr="008D40D9">
        <w:rPr>
          <w:rtl/>
        </w:rPr>
        <w:t>.</w:t>
      </w:r>
    </w:p>
    <w:p w:rsidR="003446A4" w:rsidRDefault="003446A4" w:rsidP="002B3176">
      <w:pPr>
        <w:pStyle w:val="ONUMA"/>
        <w:numPr>
          <w:ilvl w:val="0"/>
          <w:numId w:val="0"/>
        </w:numPr>
        <w:contextualSpacing/>
        <w:jc w:val="both"/>
        <w:rPr>
          <w:rtl/>
        </w:rPr>
      </w:pPr>
      <w:r>
        <w:rPr>
          <w:rFonts w:hint="cs"/>
          <w:rtl/>
        </w:rPr>
        <w:t xml:space="preserve">(انظر الفقرة 72 من الوثيقة </w:t>
      </w:r>
      <w:r w:rsidRPr="00876090">
        <w:t>CWS/</w:t>
      </w:r>
      <w:r w:rsidRPr="007C4727">
        <w:t>5/22</w:t>
      </w:r>
      <w:r>
        <w:rPr>
          <w:rFonts w:hint="cs"/>
          <w:rtl/>
        </w:rPr>
        <w:t>).</w:t>
      </w:r>
    </w:p>
    <w:p w:rsidR="003446A4" w:rsidRPr="002B7433" w:rsidRDefault="003446A4" w:rsidP="002B3176">
      <w:pPr>
        <w:pStyle w:val="Heading3"/>
        <w:jc w:val="both"/>
        <w:rPr>
          <w:b/>
          <w:bCs/>
          <w:rtl/>
        </w:rPr>
      </w:pPr>
      <w:r w:rsidRPr="002B7433">
        <w:rPr>
          <w:rFonts w:hint="cs"/>
          <w:b/>
          <w:bCs/>
          <w:rtl/>
        </w:rPr>
        <w:t>تقرير مرحلي ومشروع استبيان محدث</w:t>
      </w:r>
    </w:p>
    <w:p w:rsidR="003446A4" w:rsidRDefault="00DC7761" w:rsidP="0083543B">
      <w:pPr>
        <w:pStyle w:val="ONUMA"/>
        <w:jc w:val="both"/>
      </w:pPr>
      <w:r>
        <w:rPr>
          <w:rFonts w:hint="cs"/>
          <w:rtl/>
        </w:rPr>
        <w:t xml:space="preserve">متابعة لطلبات لجنة المعايير في دورتها الخامسة، أصدر المكتب الدولي التعميم </w:t>
      </w:r>
      <w:r w:rsidRPr="00DC7761">
        <w:rPr>
          <w:szCs w:val="22"/>
        </w:rPr>
        <w:t>C.CWS</w:t>
      </w:r>
      <w:r w:rsidRPr="007C4727">
        <w:rPr>
          <w:szCs w:val="22"/>
        </w:rPr>
        <w:t xml:space="preserve"> 88</w:t>
      </w:r>
      <w:r>
        <w:rPr>
          <w:rFonts w:hint="cs"/>
          <w:szCs w:val="22"/>
          <w:rtl/>
        </w:rPr>
        <w:t xml:space="preserve"> </w:t>
      </w:r>
      <w:r w:rsidRPr="00C77324">
        <w:rPr>
          <w:rFonts w:hint="cs"/>
          <w:rtl/>
        </w:rPr>
        <w:t xml:space="preserve">يدعو فيه مكاتب الملكية الفكرية إلى تقديم معلومات </w:t>
      </w:r>
      <w:r w:rsidR="00C77324" w:rsidRPr="00C77324">
        <w:rPr>
          <w:rFonts w:hint="cs"/>
          <w:rtl/>
        </w:rPr>
        <w:t>من أجل</w:t>
      </w:r>
      <w:r w:rsidR="00902959">
        <w:rPr>
          <w:rFonts w:hint="cs"/>
          <w:rtl/>
        </w:rPr>
        <w:t xml:space="preserve"> تحديث</w:t>
      </w:r>
      <w:r w:rsidRPr="00C77324">
        <w:rPr>
          <w:rFonts w:hint="cs"/>
          <w:rtl/>
        </w:rPr>
        <w:t xml:space="preserve"> الجزء 7</w:t>
      </w:r>
      <w:r w:rsidR="00C77324" w:rsidRPr="00C77324">
        <w:rPr>
          <w:rFonts w:hint="cs"/>
          <w:rtl/>
        </w:rPr>
        <w:t>.2.4 من دليل الويبو</w:t>
      </w:r>
      <w:r w:rsidR="0031389F">
        <w:rPr>
          <w:rFonts w:hint="cs"/>
          <w:rtl/>
        </w:rPr>
        <w:t xml:space="preserve"> </w:t>
      </w:r>
      <w:r w:rsidR="0031389F" w:rsidRPr="00876090">
        <w:rPr>
          <w:rtl/>
        </w:rPr>
        <w:t>"دراسة استقصائية بشأن عرض أرقام طلبات الأولوية"</w:t>
      </w:r>
      <w:r w:rsidR="0031389F">
        <w:rPr>
          <w:rFonts w:hint="cs"/>
          <w:rtl/>
        </w:rPr>
        <w:t xml:space="preserve">. </w:t>
      </w:r>
      <w:r w:rsidR="00C93163">
        <w:rPr>
          <w:rFonts w:hint="cs"/>
          <w:rtl/>
        </w:rPr>
        <w:t>وقدم اثنا عشر مكتبا للم</w:t>
      </w:r>
      <w:r w:rsidR="00114022">
        <w:rPr>
          <w:rFonts w:hint="cs"/>
          <w:rtl/>
        </w:rPr>
        <w:t xml:space="preserve">لكية </w:t>
      </w:r>
      <w:r w:rsidR="00902959">
        <w:rPr>
          <w:rFonts w:hint="cs"/>
          <w:rtl/>
        </w:rPr>
        <w:t xml:space="preserve">فكرية </w:t>
      </w:r>
      <w:r w:rsidR="00114022">
        <w:rPr>
          <w:rFonts w:hint="cs"/>
          <w:rtl/>
        </w:rPr>
        <w:t xml:space="preserve">من البلدان التالية ردودها: </w:t>
      </w:r>
      <w:r w:rsidR="0083543B">
        <w:rPr>
          <w:rFonts w:hint="cs"/>
          <w:rtl/>
        </w:rPr>
        <w:t xml:space="preserve">أستراليا </w:t>
      </w:r>
      <w:r w:rsidR="0083543B">
        <w:t>(AU)</w:t>
      </w:r>
      <w:r w:rsidR="0083543B">
        <w:rPr>
          <w:rFonts w:hint="cs"/>
          <w:rtl/>
        </w:rPr>
        <w:t xml:space="preserve"> و</w:t>
      </w:r>
      <w:r w:rsidR="00114022" w:rsidRPr="00114022">
        <w:rPr>
          <w:rtl/>
        </w:rPr>
        <w:t xml:space="preserve">الجمهورية </w:t>
      </w:r>
      <w:r w:rsidR="00114022" w:rsidRPr="00B62632">
        <w:rPr>
          <w:rtl/>
        </w:rPr>
        <w:t>التشيكية (</w:t>
      </w:r>
      <w:r w:rsidR="00114022" w:rsidRPr="00B62632">
        <w:t>CZ</w:t>
      </w:r>
      <w:r w:rsidR="00114022" w:rsidRPr="00B62632">
        <w:rPr>
          <w:rtl/>
        </w:rPr>
        <w:t>)</w:t>
      </w:r>
      <w:r w:rsidR="00114022" w:rsidRPr="00B62632">
        <w:rPr>
          <w:rFonts w:hint="cs"/>
          <w:rtl/>
        </w:rPr>
        <w:t xml:space="preserve"> </w:t>
      </w:r>
      <w:r w:rsidR="0083543B">
        <w:rPr>
          <w:rFonts w:hint="cs"/>
          <w:rtl/>
        </w:rPr>
        <w:t xml:space="preserve">وألمانيا </w:t>
      </w:r>
      <w:r w:rsidR="0083543B">
        <w:t>(DE)</w:t>
      </w:r>
      <w:r w:rsidR="0083543B">
        <w:rPr>
          <w:rFonts w:hint="cs"/>
          <w:rtl/>
        </w:rPr>
        <w:t xml:space="preserve"> </w:t>
      </w:r>
      <w:r w:rsidR="00114022" w:rsidRPr="00B62632">
        <w:rPr>
          <w:rFonts w:hint="cs"/>
          <w:rtl/>
        </w:rPr>
        <w:t xml:space="preserve">والمملكة المتحدة </w:t>
      </w:r>
      <w:r w:rsidR="00114022" w:rsidRPr="00B62632">
        <w:rPr>
          <w:rtl/>
        </w:rPr>
        <w:t>(</w:t>
      </w:r>
      <w:r w:rsidR="00B029EC" w:rsidRPr="00B62632">
        <w:t>GB</w:t>
      </w:r>
      <w:r w:rsidR="00114022" w:rsidRPr="00B62632">
        <w:rPr>
          <w:rtl/>
        </w:rPr>
        <w:t>)</w:t>
      </w:r>
      <w:r w:rsidR="00B029EC" w:rsidRPr="00B62632">
        <w:rPr>
          <w:rFonts w:hint="cs"/>
          <w:rtl/>
        </w:rPr>
        <w:t xml:space="preserve"> </w:t>
      </w:r>
      <w:r w:rsidR="0083543B">
        <w:rPr>
          <w:rFonts w:hint="cs"/>
          <w:rtl/>
        </w:rPr>
        <w:t xml:space="preserve">وهنغاريا </w:t>
      </w:r>
      <w:r w:rsidR="0083543B">
        <w:t>(HR)</w:t>
      </w:r>
      <w:r w:rsidR="0083543B">
        <w:rPr>
          <w:rFonts w:hint="cs"/>
          <w:rtl/>
        </w:rPr>
        <w:t xml:space="preserve"> وقرغيزستان </w:t>
      </w:r>
      <w:r w:rsidR="0083543B">
        <w:t>(KG)</w:t>
      </w:r>
      <w:r w:rsidR="0083543B">
        <w:rPr>
          <w:rFonts w:hint="cs"/>
          <w:rtl/>
          <w:lang w:bidi="ar-EG"/>
        </w:rPr>
        <w:t xml:space="preserve"> وجمهورية مولدوفا </w:t>
      </w:r>
      <w:r w:rsidR="0083543B">
        <w:rPr>
          <w:lang w:bidi="ar-EG"/>
        </w:rPr>
        <w:t>(MD)</w:t>
      </w:r>
      <w:r w:rsidR="0083543B">
        <w:rPr>
          <w:rFonts w:hint="cs"/>
          <w:rtl/>
          <w:lang w:bidi="ar-EG"/>
        </w:rPr>
        <w:t xml:space="preserve"> </w:t>
      </w:r>
      <w:r w:rsidR="00B029EC" w:rsidRPr="00B62632">
        <w:rPr>
          <w:rFonts w:hint="cs"/>
          <w:rtl/>
        </w:rPr>
        <w:t>وبولندا</w:t>
      </w:r>
      <w:r w:rsidR="0083543B">
        <w:rPr>
          <w:rFonts w:hint="eastAsia"/>
          <w:rtl/>
        </w:rPr>
        <w:t> </w:t>
      </w:r>
      <w:r w:rsidR="00B029EC" w:rsidRPr="00B62632">
        <w:rPr>
          <w:rFonts w:hint="cs"/>
          <w:rtl/>
        </w:rPr>
        <w:t>(</w:t>
      </w:r>
      <w:r w:rsidR="00B029EC" w:rsidRPr="00B62632">
        <w:t>PL</w:t>
      </w:r>
      <w:r w:rsidR="00B029EC" w:rsidRPr="00B62632">
        <w:rPr>
          <w:rFonts w:hint="cs"/>
          <w:rtl/>
        </w:rPr>
        <w:t xml:space="preserve">) </w:t>
      </w:r>
      <w:r w:rsidR="0083543B">
        <w:rPr>
          <w:rFonts w:hint="cs"/>
          <w:rtl/>
        </w:rPr>
        <w:t>والبرتغال</w:t>
      </w:r>
      <w:r w:rsidR="0083543B" w:rsidRPr="00B62632">
        <w:rPr>
          <w:rFonts w:hint="cs"/>
          <w:rtl/>
        </w:rPr>
        <w:t xml:space="preserve"> (</w:t>
      </w:r>
      <w:r w:rsidR="0083543B">
        <w:t>PT</w:t>
      </w:r>
      <w:r w:rsidR="0083543B" w:rsidRPr="00B62632">
        <w:rPr>
          <w:rFonts w:hint="cs"/>
          <w:rtl/>
        </w:rPr>
        <w:t xml:space="preserve">) </w:t>
      </w:r>
      <w:r w:rsidR="0083543B">
        <w:rPr>
          <w:rFonts w:hint="cs"/>
          <w:rtl/>
        </w:rPr>
        <w:t>والسويد</w:t>
      </w:r>
      <w:r w:rsidR="0083543B" w:rsidRPr="00B62632">
        <w:rPr>
          <w:rFonts w:hint="cs"/>
          <w:rtl/>
        </w:rPr>
        <w:t xml:space="preserve"> (</w:t>
      </w:r>
      <w:r w:rsidR="0083543B">
        <w:t>SE</w:t>
      </w:r>
      <w:r w:rsidR="0083543B" w:rsidRPr="00B62632">
        <w:rPr>
          <w:rFonts w:hint="cs"/>
          <w:rtl/>
        </w:rPr>
        <w:t xml:space="preserve">) </w:t>
      </w:r>
      <w:r w:rsidR="00B029EC" w:rsidRPr="00B62632">
        <w:rPr>
          <w:rFonts w:hint="cs"/>
          <w:rtl/>
        </w:rPr>
        <w:t>وسلوفاكيا (</w:t>
      </w:r>
      <w:r w:rsidR="00B029EC" w:rsidRPr="00B62632">
        <w:t>SK</w:t>
      </w:r>
      <w:r w:rsidR="00B029EC" w:rsidRPr="00B62632">
        <w:rPr>
          <w:rFonts w:hint="cs"/>
          <w:rtl/>
        </w:rPr>
        <w:t>)</w:t>
      </w:r>
      <w:r w:rsidR="00B62632" w:rsidRPr="00B62632">
        <w:rPr>
          <w:rFonts w:hint="cs"/>
          <w:rtl/>
        </w:rPr>
        <w:t xml:space="preserve"> و</w:t>
      </w:r>
      <w:r w:rsidR="00B62632" w:rsidRPr="00B62632">
        <w:t xml:space="preserve"> </w:t>
      </w:r>
      <w:r w:rsidR="00B62632" w:rsidRPr="00B62632">
        <w:rPr>
          <w:rFonts w:hint="cs"/>
          <w:rtl/>
        </w:rPr>
        <w:t>أوكرانيا(</w:t>
      </w:r>
      <w:r w:rsidR="00B62632" w:rsidRPr="00B62632">
        <w:t>UA</w:t>
      </w:r>
      <w:r w:rsidR="00B62632" w:rsidRPr="00B62632">
        <w:rPr>
          <w:rFonts w:hint="cs"/>
          <w:rtl/>
        </w:rPr>
        <w:t>)</w:t>
      </w:r>
      <w:r w:rsidR="00592211">
        <w:rPr>
          <w:rFonts w:hint="cs"/>
          <w:rtl/>
        </w:rPr>
        <w:t>.</w:t>
      </w:r>
      <w:r w:rsidR="00A75F93">
        <w:rPr>
          <w:rFonts w:hint="cs"/>
          <w:rtl/>
        </w:rPr>
        <w:t xml:space="preserve"> و</w:t>
      </w:r>
      <w:r w:rsidR="0083543B">
        <w:rPr>
          <w:rFonts w:hint="cs"/>
          <w:rtl/>
        </w:rPr>
        <w:t>تجد</w:t>
      </w:r>
      <w:r w:rsidR="00A75F93">
        <w:rPr>
          <w:rFonts w:hint="cs"/>
          <w:rtl/>
        </w:rPr>
        <w:t>ر الإشارة إلى أنه لم يتم إدراج الردود في الجزء 7.2.4 وأن الأمان</w:t>
      </w:r>
      <w:r w:rsidR="00A75F93">
        <w:rPr>
          <w:rtl/>
        </w:rPr>
        <w:t>ة</w:t>
      </w:r>
      <w:r w:rsidR="00A75F93">
        <w:rPr>
          <w:rFonts w:hint="cs"/>
          <w:rtl/>
        </w:rPr>
        <w:t xml:space="preserve"> تخطط لنشر الجزء 7.2.4 المحدث بالمعلومات الجديدة في عام 2018.</w:t>
      </w:r>
    </w:p>
    <w:p w:rsidR="00A75F93" w:rsidRDefault="004314CA" w:rsidP="002B3176">
      <w:pPr>
        <w:pStyle w:val="ONUMA"/>
        <w:jc w:val="both"/>
      </w:pPr>
      <w:r>
        <w:rPr>
          <w:rFonts w:hint="cs"/>
          <w:rtl/>
        </w:rPr>
        <w:t>ونفذت الأمانة أيضاً الإجراءات التالية التي التمستها لجنة المعايير:</w:t>
      </w:r>
    </w:p>
    <w:p w:rsidR="004314CA" w:rsidRDefault="004314CA" w:rsidP="002B3176">
      <w:pPr>
        <w:pStyle w:val="ONUMA"/>
        <w:numPr>
          <w:ilvl w:val="2"/>
          <w:numId w:val="24"/>
        </w:numPr>
        <w:ind w:left="567"/>
        <w:jc w:val="both"/>
      </w:pPr>
      <w:r>
        <w:rPr>
          <w:rFonts w:hint="cs"/>
          <w:rtl/>
        </w:rPr>
        <w:lastRenderedPageBreak/>
        <w:t>نقل الجزء 7.2.1 إلى المحفوظات؛</w:t>
      </w:r>
    </w:p>
    <w:p w:rsidR="004314CA" w:rsidRPr="00347929" w:rsidRDefault="00ED2171" w:rsidP="002B3176">
      <w:pPr>
        <w:pStyle w:val="ONUMA"/>
        <w:numPr>
          <w:ilvl w:val="2"/>
          <w:numId w:val="24"/>
        </w:numPr>
        <w:ind w:left="567"/>
        <w:jc w:val="both"/>
      </w:pPr>
      <w:r w:rsidRPr="00347929">
        <w:rPr>
          <w:rtl/>
        </w:rPr>
        <w:t xml:space="preserve">والاستعاضة عن الإشارة الواردة في المعيار </w:t>
      </w:r>
      <w:r w:rsidRPr="00347929">
        <w:t>ST.10/C</w:t>
      </w:r>
      <w:r w:rsidRPr="00347929">
        <w:rPr>
          <w:rtl/>
        </w:rPr>
        <w:t xml:space="preserve"> بالجزء </w:t>
      </w:r>
      <w:r w:rsidRPr="00347929">
        <w:rPr>
          <w:rFonts w:hint="cs"/>
          <w:rtl/>
        </w:rPr>
        <w:t xml:space="preserve">7.2.6 </w:t>
      </w:r>
      <w:r w:rsidRPr="00347929">
        <w:rPr>
          <w:rtl/>
        </w:rPr>
        <w:t>(تغيير في الصياغة)</w:t>
      </w:r>
      <w:r w:rsidRPr="00347929">
        <w:rPr>
          <w:rFonts w:hint="cs"/>
          <w:rtl/>
        </w:rPr>
        <w:t>؛</w:t>
      </w:r>
    </w:p>
    <w:p w:rsidR="00ED2171" w:rsidRPr="00347929" w:rsidRDefault="007C1E03" w:rsidP="002B3176">
      <w:pPr>
        <w:pStyle w:val="ONUMA"/>
        <w:numPr>
          <w:ilvl w:val="2"/>
          <w:numId w:val="24"/>
        </w:numPr>
        <w:ind w:left="567"/>
        <w:jc w:val="both"/>
      </w:pPr>
      <w:r>
        <w:rPr>
          <w:rFonts w:hint="cs"/>
          <w:rtl/>
        </w:rPr>
        <w:t>و</w:t>
      </w:r>
      <w:r w:rsidR="00ED2171" w:rsidRPr="00347929">
        <w:rPr>
          <w:rtl/>
        </w:rPr>
        <w:t xml:space="preserve">إدراج الرابط إلى الجزء المنقول إلى المحفوظات </w:t>
      </w:r>
      <w:r w:rsidR="00ED2171" w:rsidRPr="00347929">
        <w:rPr>
          <w:rFonts w:hint="cs"/>
          <w:rtl/>
        </w:rPr>
        <w:t>7.2.1</w:t>
      </w:r>
      <w:r w:rsidR="00ED2171" w:rsidRPr="00347929">
        <w:rPr>
          <w:rtl/>
        </w:rPr>
        <w:t xml:space="preserve"> في الجزء </w:t>
      </w:r>
      <w:r w:rsidR="00ED2171" w:rsidRPr="00347929">
        <w:rPr>
          <w:rFonts w:hint="cs"/>
          <w:rtl/>
        </w:rPr>
        <w:t>7.2.6</w:t>
      </w:r>
      <w:r w:rsidR="00ED2171" w:rsidRPr="00347929">
        <w:rPr>
          <w:rtl/>
        </w:rPr>
        <w:t>.</w:t>
      </w:r>
    </w:p>
    <w:p w:rsidR="00062F11" w:rsidRDefault="00062F11" w:rsidP="002B3176">
      <w:pPr>
        <w:pStyle w:val="ONUMA"/>
        <w:jc w:val="both"/>
      </w:pPr>
      <w:r>
        <w:rPr>
          <w:rFonts w:hint="cs"/>
          <w:rtl/>
        </w:rPr>
        <w:t xml:space="preserve">وفيما يخص طلب إعداد </w:t>
      </w:r>
      <w:r>
        <w:rPr>
          <w:rtl/>
        </w:rPr>
        <w:t>استبيان مقترح</w:t>
      </w:r>
      <w:r w:rsidRPr="00062F11">
        <w:rPr>
          <w:rtl/>
        </w:rPr>
        <w:t xml:space="preserve"> بشأن ترقيم الوثائق المنشورة والحقوق المسجلة</w:t>
      </w:r>
      <w:r w:rsidR="00CC7E04">
        <w:rPr>
          <w:rFonts w:hint="cs"/>
          <w:rtl/>
        </w:rPr>
        <w:t>، لم تباشر فرقة العمل المعنية بالجزء 7 عملها وتخطط للقيام بذلك بعد الدورة السادسة وعرض اقتراح للنظر فيه في دورتها السابعة.</w:t>
      </w:r>
    </w:p>
    <w:p w:rsidR="00CC7E04" w:rsidRDefault="0049749C" w:rsidP="002B3176">
      <w:pPr>
        <w:pStyle w:val="ONUMA"/>
        <w:jc w:val="both"/>
      </w:pPr>
      <w:r>
        <w:rPr>
          <w:rFonts w:hint="cs"/>
          <w:rtl/>
        </w:rPr>
        <w:t xml:space="preserve">ونظمت فرقة العمل المعنية بالجزء 7 </w:t>
      </w:r>
      <w:r w:rsidR="00BF44F5">
        <w:rPr>
          <w:rFonts w:hint="cs"/>
          <w:rtl/>
        </w:rPr>
        <w:t>أربع</w:t>
      </w:r>
      <w:r>
        <w:rPr>
          <w:rFonts w:hint="cs"/>
          <w:rtl/>
        </w:rPr>
        <w:t xml:space="preserve"> جولات من المناقشات وأعدت خمس مسودات للاستبيان، مع مراعاة ال</w:t>
      </w:r>
      <w:r w:rsidR="00BC5825">
        <w:rPr>
          <w:rFonts w:hint="cs"/>
          <w:rtl/>
        </w:rPr>
        <w:t>مسائل</w:t>
      </w:r>
      <w:r>
        <w:rPr>
          <w:rFonts w:hint="cs"/>
          <w:rtl/>
        </w:rPr>
        <w:t xml:space="preserve"> المحددة في الدورة الخامسة </w:t>
      </w:r>
      <w:r w:rsidR="00ED27FF">
        <w:rPr>
          <w:rFonts w:hint="cs"/>
          <w:rtl/>
        </w:rPr>
        <w:t xml:space="preserve">للجنة، المشار إليها في الفقرة 80 من الوثيقة </w:t>
      </w:r>
      <w:r w:rsidR="00ED27FF" w:rsidRPr="00ED27FF">
        <w:t>CWS/5/22</w:t>
      </w:r>
      <w:r w:rsidR="00ED27FF">
        <w:rPr>
          <w:rFonts w:hint="cs"/>
          <w:rtl/>
        </w:rPr>
        <w:t xml:space="preserve">. وتعرض فرقة العمل مشروع استبيان نهائي </w:t>
      </w:r>
      <w:r w:rsidR="00BB4E26">
        <w:rPr>
          <w:rFonts w:hint="cs"/>
          <w:rtl/>
        </w:rPr>
        <w:t xml:space="preserve">في مرفق هذه الوثيقة </w:t>
      </w:r>
      <w:r w:rsidR="00ED27FF">
        <w:rPr>
          <w:rFonts w:hint="cs"/>
          <w:rtl/>
        </w:rPr>
        <w:t>لكي تنظر فيه اللجنة</w:t>
      </w:r>
      <w:r w:rsidR="00021B64">
        <w:rPr>
          <w:rFonts w:hint="cs"/>
          <w:rtl/>
        </w:rPr>
        <w:t>.</w:t>
      </w:r>
    </w:p>
    <w:p w:rsidR="00021B64" w:rsidRDefault="00021B64" w:rsidP="002B3176">
      <w:pPr>
        <w:pStyle w:val="ONUMA"/>
        <w:jc w:val="both"/>
      </w:pPr>
      <w:r>
        <w:rPr>
          <w:rFonts w:hint="cs"/>
          <w:rtl/>
        </w:rPr>
        <w:t>وخلال المناقشات بشأن الاستب</w:t>
      </w:r>
      <w:r w:rsidR="00623B58">
        <w:rPr>
          <w:rFonts w:hint="cs"/>
          <w:rtl/>
        </w:rPr>
        <w:t xml:space="preserve">يان، لاحظ أعضاء فرقة العمل </w:t>
      </w:r>
      <w:r w:rsidR="001B5CAA">
        <w:rPr>
          <w:rFonts w:hint="cs"/>
          <w:rtl/>
        </w:rPr>
        <w:t>الاختلاف</w:t>
      </w:r>
      <w:r>
        <w:rPr>
          <w:rFonts w:hint="cs"/>
          <w:rtl/>
        </w:rPr>
        <w:t xml:space="preserve"> بين </w:t>
      </w:r>
      <w:r w:rsidR="00C10552" w:rsidRPr="006E490A">
        <w:rPr>
          <w:rtl/>
        </w:rPr>
        <w:t>شهادات الحماية التكميلية</w:t>
      </w:r>
      <w:r w:rsidR="00C10552">
        <w:rPr>
          <w:rFonts w:hint="cs"/>
          <w:rtl/>
        </w:rPr>
        <w:t>/</w:t>
      </w:r>
      <w:r w:rsidR="00C10552" w:rsidRPr="006E490A">
        <w:rPr>
          <w:rtl/>
        </w:rPr>
        <w:t>تمديدات مدة البراءة</w:t>
      </w:r>
      <w:r w:rsidR="00623B58">
        <w:rPr>
          <w:rFonts w:hint="cs"/>
          <w:rtl/>
        </w:rPr>
        <w:t xml:space="preserve"> و</w:t>
      </w:r>
      <w:r w:rsidR="00623B58" w:rsidRPr="006E490A">
        <w:rPr>
          <w:rtl/>
        </w:rPr>
        <w:t>تسويات مدة البراءة</w:t>
      </w:r>
      <w:r w:rsidR="00623B58">
        <w:rPr>
          <w:rFonts w:hint="cs"/>
          <w:rtl/>
        </w:rPr>
        <w:t xml:space="preserve"> باعتبارها صكوكاً قانونية تستخدم في البلدان</w:t>
      </w:r>
      <w:r w:rsidR="00E94518">
        <w:rPr>
          <w:rFonts w:hint="cs"/>
          <w:rtl/>
        </w:rPr>
        <w:t xml:space="preserve">. وتتعلق </w:t>
      </w:r>
      <w:r w:rsidR="00E94518" w:rsidRPr="006E490A">
        <w:rPr>
          <w:rtl/>
        </w:rPr>
        <w:t>شهادات الحماية التكميلية</w:t>
      </w:r>
      <w:r w:rsidR="00E94518">
        <w:rPr>
          <w:rFonts w:hint="cs"/>
          <w:rtl/>
        </w:rPr>
        <w:t xml:space="preserve"> و</w:t>
      </w:r>
      <w:r w:rsidR="00E94518" w:rsidRPr="006E490A">
        <w:rPr>
          <w:rtl/>
        </w:rPr>
        <w:t>تمديدات مدة البراءة</w:t>
      </w:r>
      <w:r w:rsidR="00E94518">
        <w:rPr>
          <w:rFonts w:hint="cs"/>
          <w:rtl/>
        </w:rPr>
        <w:t xml:space="preserve"> بالتأجيلات في التسويق بسبب </w:t>
      </w:r>
      <w:r w:rsidR="00D5364E">
        <w:rPr>
          <w:rFonts w:hint="cs"/>
          <w:rtl/>
        </w:rPr>
        <w:t>إجراءات ا</w:t>
      </w:r>
      <w:r w:rsidR="00205247">
        <w:rPr>
          <w:rFonts w:hint="cs"/>
          <w:rtl/>
        </w:rPr>
        <w:t>لاعتماد</w:t>
      </w:r>
      <w:r w:rsidR="00D5364E">
        <w:rPr>
          <w:rFonts w:hint="cs"/>
          <w:rtl/>
        </w:rPr>
        <w:t xml:space="preserve"> الحكومية التي تقوم بها هيئات أخرى غير مكاتب الملكية الفكرية</w:t>
      </w:r>
      <w:r w:rsidR="00FF2B97" w:rsidRPr="00FF2B97">
        <w:rPr>
          <w:rFonts w:hint="cs"/>
          <w:rtl/>
        </w:rPr>
        <w:t xml:space="preserve"> </w:t>
      </w:r>
      <w:r w:rsidR="00FF2B97">
        <w:rPr>
          <w:rFonts w:hint="cs"/>
          <w:rtl/>
        </w:rPr>
        <w:t>بصفة عامة</w:t>
      </w:r>
      <w:r w:rsidR="00D5364E">
        <w:rPr>
          <w:rFonts w:hint="cs"/>
          <w:rtl/>
        </w:rPr>
        <w:t xml:space="preserve">، فيما يستخدم مصطلح </w:t>
      </w:r>
      <w:r w:rsidR="00D5364E" w:rsidRPr="006E490A">
        <w:rPr>
          <w:rtl/>
        </w:rPr>
        <w:t>شهادات الحماية التكميلية</w:t>
      </w:r>
      <w:r w:rsidR="00E94518">
        <w:rPr>
          <w:rFonts w:hint="cs"/>
          <w:rtl/>
        </w:rPr>
        <w:t xml:space="preserve"> </w:t>
      </w:r>
      <w:r w:rsidR="00E73CA3">
        <w:rPr>
          <w:rFonts w:hint="cs"/>
          <w:rtl/>
        </w:rPr>
        <w:t xml:space="preserve">في المجال الاقتصادي الأوروبي، ويستخدم مصطلح </w:t>
      </w:r>
      <w:r w:rsidR="00E73CA3" w:rsidRPr="006E490A">
        <w:rPr>
          <w:rtl/>
        </w:rPr>
        <w:t>تمديدات مدة البراءة</w:t>
      </w:r>
      <w:r w:rsidR="00E73CA3">
        <w:rPr>
          <w:rFonts w:hint="cs"/>
          <w:rtl/>
        </w:rPr>
        <w:t>، إلى حد ما، في</w:t>
      </w:r>
      <w:r w:rsidR="00AE21C1">
        <w:rPr>
          <w:rFonts w:hint="cs"/>
          <w:rtl/>
        </w:rPr>
        <w:t xml:space="preserve"> بلدان أخرى من قبيل اليابان وجمهورية كوريا</w:t>
      </w:r>
      <w:r w:rsidR="00E73CA3">
        <w:rPr>
          <w:rFonts w:hint="cs"/>
          <w:rtl/>
        </w:rPr>
        <w:t xml:space="preserve"> والولايات المتحدة الأمريكية. </w:t>
      </w:r>
      <w:r w:rsidR="006933EB">
        <w:rPr>
          <w:rFonts w:hint="cs"/>
          <w:rtl/>
        </w:rPr>
        <w:t xml:space="preserve">غير أن مصطلح </w:t>
      </w:r>
      <w:r w:rsidR="006933EB" w:rsidRPr="006E490A">
        <w:rPr>
          <w:rtl/>
        </w:rPr>
        <w:t>تسويات مدة البراءة</w:t>
      </w:r>
      <w:r w:rsidR="006933EB">
        <w:rPr>
          <w:rFonts w:hint="cs"/>
          <w:rtl/>
        </w:rPr>
        <w:t xml:space="preserve"> يتصل بالتأخيرا</w:t>
      </w:r>
      <w:r w:rsidR="00C059E0">
        <w:rPr>
          <w:rFonts w:hint="cs"/>
          <w:rtl/>
        </w:rPr>
        <w:t>ت في الإجراءات الإدارية نتيجة لعملية الفحص و</w:t>
      </w:r>
      <w:r w:rsidR="003937DF">
        <w:rPr>
          <w:rFonts w:hint="cs"/>
          <w:rtl/>
        </w:rPr>
        <w:t>ال</w:t>
      </w:r>
      <w:r w:rsidR="00C059E0">
        <w:rPr>
          <w:rFonts w:hint="cs"/>
          <w:rtl/>
        </w:rPr>
        <w:t>منح في مكتب الملكية الفكرية.</w:t>
      </w:r>
    </w:p>
    <w:p w:rsidR="00944263" w:rsidRDefault="00CC0E22" w:rsidP="002B3176">
      <w:pPr>
        <w:pStyle w:val="ONUMA"/>
        <w:jc w:val="both"/>
      </w:pPr>
      <w:r>
        <w:rPr>
          <w:rFonts w:hint="cs"/>
          <w:rtl/>
        </w:rPr>
        <w:t xml:space="preserve">ورأت فرقة العمل في أول الأمر تقسيم الأسئلة إلى جزأين، الجزء الأول </w:t>
      </w:r>
      <w:r>
        <w:rPr>
          <w:rtl/>
        </w:rPr>
        <w:t>–</w:t>
      </w:r>
      <w:r>
        <w:rPr>
          <w:rFonts w:hint="cs"/>
          <w:rtl/>
        </w:rPr>
        <w:t xml:space="preserve"> أسئلة تتعلق </w:t>
      </w:r>
      <w:r w:rsidR="00975424">
        <w:rPr>
          <w:rFonts w:hint="cs"/>
          <w:rtl/>
        </w:rPr>
        <w:t>ب</w:t>
      </w:r>
      <w:r w:rsidRPr="006E490A">
        <w:rPr>
          <w:rtl/>
        </w:rPr>
        <w:t>شهادات الحماية التكميلية</w:t>
      </w:r>
      <w:r>
        <w:rPr>
          <w:rFonts w:hint="cs"/>
          <w:rtl/>
        </w:rPr>
        <w:t xml:space="preserve"> و</w:t>
      </w:r>
      <w:r w:rsidRPr="006E490A">
        <w:rPr>
          <w:rtl/>
        </w:rPr>
        <w:t>تمديدات مدة البراءة</w:t>
      </w:r>
      <w:r>
        <w:rPr>
          <w:rFonts w:hint="cs"/>
          <w:rtl/>
        </w:rPr>
        <w:t>؛ والجزء الثاني</w:t>
      </w:r>
      <w:r w:rsidR="007616EE">
        <w:rPr>
          <w:rFonts w:hint="cs"/>
          <w:rtl/>
        </w:rPr>
        <w:t xml:space="preserve"> </w:t>
      </w:r>
      <w:r w:rsidR="007616EE">
        <w:rPr>
          <w:rtl/>
        </w:rPr>
        <w:t>–</w:t>
      </w:r>
      <w:r w:rsidR="007616EE">
        <w:rPr>
          <w:rFonts w:hint="cs"/>
          <w:rtl/>
        </w:rPr>
        <w:t xml:space="preserve"> أسئلة تتعلق ب</w:t>
      </w:r>
      <w:r w:rsidR="007616EE" w:rsidRPr="006E490A">
        <w:rPr>
          <w:rtl/>
        </w:rPr>
        <w:t>تسويات مدة البراءة</w:t>
      </w:r>
      <w:r w:rsidR="007616EE">
        <w:rPr>
          <w:rFonts w:hint="cs"/>
          <w:rtl/>
        </w:rPr>
        <w:t xml:space="preserve">. ومع مراعاة الاختلاف </w:t>
      </w:r>
      <w:r w:rsidR="005707D3">
        <w:rPr>
          <w:rFonts w:hint="cs"/>
          <w:rtl/>
        </w:rPr>
        <w:t xml:space="preserve">في </w:t>
      </w:r>
      <w:r w:rsidR="00975424">
        <w:rPr>
          <w:rFonts w:hint="cs"/>
          <w:rtl/>
        </w:rPr>
        <w:t>الطبيعة</w:t>
      </w:r>
      <w:r w:rsidR="005707D3" w:rsidRPr="005707D3">
        <w:rPr>
          <w:rFonts w:hint="cs"/>
          <w:rtl/>
        </w:rPr>
        <w:t xml:space="preserve"> </w:t>
      </w:r>
      <w:r w:rsidR="005707D3">
        <w:rPr>
          <w:rFonts w:hint="cs"/>
          <w:rtl/>
        </w:rPr>
        <w:t>بين المجموعتين</w:t>
      </w:r>
      <w:r w:rsidR="00975424">
        <w:rPr>
          <w:rFonts w:hint="cs"/>
          <w:rtl/>
        </w:rPr>
        <w:t xml:space="preserve"> ونطاق الجزء 7.7 من </w:t>
      </w:r>
      <w:r w:rsidR="005707D3">
        <w:rPr>
          <w:rFonts w:hint="cs"/>
          <w:rtl/>
        </w:rPr>
        <w:t xml:space="preserve">دليل الويبو، وافقت فرقة العمل على </w:t>
      </w:r>
      <w:r w:rsidR="00E44464">
        <w:rPr>
          <w:rFonts w:hint="cs"/>
          <w:rtl/>
        </w:rPr>
        <w:t>الاحتفاظ</w:t>
      </w:r>
      <w:r w:rsidR="005707D3">
        <w:rPr>
          <w:rFonts w:hint="cs"/>
          <w:rtl/>
        </w:rPr>
        <w:t xml:space="preserve"> </w:t>
      </w:r>
      <w:r w:rsidR="00E44464">
        <w:rPr>
          <w:rFonts w:hint="cs"/>
          <w:rtl/>
        </w:rPr>
        <w:t>ب</w:t>
      </w:r>
      <w:r w:rsidR="005707D3">
        <w:rPr>
          <w:rFonts w:hint="cs"/>
          <w:rtl/>
        </w:rPr>
        <w:t>الأسئلة المتعلقة ب</w:t>
      </w:r>
      <w:r w:rsidR="005707D3" w:rsidRPr="006E490A">
        <w:rPr>
          <w:rtl/>
        </w:rPr>
        <w:t>شهادات الحماية التكميلية</w:t>
      </w:r>
      <w:r w:rsidR="005707D3">
        <w:rPr>
          <w:rFonts w:hint="cs"/>
          <w:rtl/>
        </w:rPr>
        <w:t xml:space="preserve"> و</w:t>
      </w:r>
      <w:r w:rsidR="005707D3" w:rsidRPr="006E490A">
        <w:rPr>
          <w:rtl/>
        </w:rPr>
        <w:t>تمديدات مدة البراءة</w:t>
      </w:r>
      <w:r w:rsidR="005707D3">
        <w:rPr>
          <w:rFonts w:hint="cs"/>
          <w:rtl/>
        </w:rPr>
        <w:t xml:space="preserve"> فقط</w:t>
      </w:r>
      <w:r w:rsidR="00534C9E">
        <w:rPr>
          <w:rFonts w:hint="cs"/>
          <w:rtl/>
        </w:rPr>
        <w:t xml:space="preserve">. وإذا اقتضت الضرورة في المستقبل، سيتعين إعداد استبيان جديد بشأن </w:t>
      </w:r>
      <w:r w:rsidR="00534C9E" w:rsidRPr="006E490A">
        <w:rPr>
          <w:rtl/>
        </w:rPr>
        <w:t>تسويات مدة البراءة</w:t>
      </w:r>
      <w:r w:rsidR="00534C9E">
        <w:rPr>
          <w:rFonts w:hint="cs"/>
          <w:rtl/>
        </w:rPr>
        <w:t>. و</w:t>
      </w:r>
      <w:r w:rsidR="00E44464">
        <w:rPr>
          <w:rFonts w:hint="cs"/>
          <w:rtl/>
        </w:rPr>
        <w:t>عليه</w:t>
      </w:r>
      <w:r w:rsidR="00534C9E">
        <w:rPr>
          <w:rFonts w:hint="cs"/>
          <w:rtl/>
        </w:rPr>
        <w:t xml:space="preserve">، يحتوي مشروع الاستبيان النهائي المرفق إلى هذه الوثيقة </w:t>
      </w:r>
      <w:r w:rsidR="00167A0C">
        <w:rPr>
          <w:rFonts w:hint="cs"/>
          <w:rtl/>
        </w:rPr>
        <w:t>الأسئلة المتعلقة ب</w:t>
      </w:r>
      <w:r w:rsidR="00167A0C" w:rsidRPr="006E490A">
        <w:rPr>
          <w:rtl/>
        </w:rPr>
        <w:t>شهادات الحماية التكميلية</w:t>
      </w:r>
      <w:r w:rsidR="00167A0C">
        <w:rPr>
          <w:rFonts w:hint="cs"/>
          <w:rtl/>
        </w:rPr>
        <w:t xml:space="preserve"> و</w:t>
      </w:r>
      <w:r w:rsidR="00167A0C" w:rsidRPr="006E490A">
        <w:rPr>
          <w:rtl/>
        </w:rPr>
        <w:t>تمديدات مدة البراءة</w:t>
      </w:r>
      <w:r w:rsidR="00167A0C">
        <w:rPr>
          <w:rFonts w:hint="cs"/>
          <w:rtl/>
        </w:rPr>
        <w:t xml:space="preserve"> فقط.</w:t>
      </w:r>
    </w:p>
    <w:p w:rsidR="0086528D" w:rsidRDefault="0086528D" w:rsidP="002B3176">
      <w:pPr>
        <w:pStyle w:val="Decision"/>
        <w:jc w:val="both"/>
      </w:pPr>
      <w:r>
        <w:rPr>
          <w:rFonts w:hint="cs"/>
          <w:rtl/>
        </w:rPr>
        <w:lastRenderedPageBreak/>
        <w:t>إن لجنة المعايير مدعوة للقيام بما يلي:</w:t>
      </w:r>
    </w:p>
    <w:p w:rsidR="0086528D" w:rsidRDefault="005107E7" w:rsidP="00FA0291">
      <w:pPr>
        <w:pStyle w:val="Decision"/>
        <w:numPr>
          <w:ilvl w:val="0"/>
          <w:numId w:val="50"/>
        </w:numPr>
        <w:ind w:left="5534" w:firstLine="567"/>
      </w:pPr>
      <w:r>
        <w:rPr>
          <w:rFonts w:hint="cs"/>
          <w:rtl/>
        </w:rPr>
        <w:t>ا</w:t>
      </w:r>
      <w:r w:rsidRPr="005107E7">
        <w:rPr>
          <w:rtl/>
        </w:rPr>
        <w:t>لإحاطة علما بمضمون هذه</w:t>
      </w:r>
      <w:r w:rsidR="00FA0291">
        <w:rPr>
          <w:rFonts w:hint="cs"/>
          <w:rtl/>
        </w:rPr>
        <w:t> </w:t>
      </w:r>
      <w:r w:rsidRPr="005107E7">
        <w:rPr>
          <w:rtl/>
        </w:rPr>
        <w:t>الوثيقة</w:t>
      </w:r>
      <w:r>
        <w:rPr>
          <w:rFonts w:hint="cs"/>
          <w:rtl/>
        </w:rPr>
        <w:t>؛</w:t>
      </w:r>
    </w:p>
    <w:p w:rsidR="005107E7" w:rsidRDefault="007E42E6" w:rsidP="00FA0291">
      <w:pPr>
        <w:pStyle w:val="Decision"/>
        <w:numPr>
          <w:ilvl w:val="0"/>
          <w:numId w:val="50"/>
        </w:numPr>
        <w:ind w:left="5534" w:firstLine="567"/>
      </w:pPr>
      <w:r>
        <w:rPr>
          <w:rFonts w:hint="cs"/>
          <w:rtl/>
        </w:rPr>
        <w:t>والنظر في مشروع الاستبيان والموافقة عليه، على النحو الوارد في المرفق؛</w:t>
      </w:r>
    </w:p>
    <w:p w:rsidR="007E42E6" w:rsidRDefault="003C04BC" w:rsidP="00FA0291">
      <w:pPr>
        <w:pStyle w:val="Decision"/>
        <w:numPr>
          <w:ilvl w:val="0"/>
          <w:numId w:val="50"/>
        </w:numPr>
        <w:ind w:left="5534" w:firstLine="567"/>
      </w:pPr>
      <w:r>
        <w:rPr>
          <w:rFonts w:hint="cs"/>
          <w:rtl/>
        </w:rPr>
        <w:t>والالتماس</w:t>
      </w:r>
      <w:r w:rsidR="007E42E6">
        <w:rPr>
          <w:rFonts w:hint="cs"/>
          <w:rtl/>
        </w:rPr>
        <w:t xml:space="preserve"> </w:t>
      </w:r>
      <w:r w:rsidR="001A62F1">
        <w:rPr>
          <w:rFonts w:hint="cs"/>
          <w:rtl/>
        </w:rPr>
        <w:t xml:space="preserve">من </w:t>
      </w:r>
      <w:r w:rsidR="007E42E6">
        <w:rPr>
          <w:rFonts w:hint="cs"/>
          <w:rtl/>
        </w:rPr>
        <w:t>الأمان</w:t>
      </w:r>
      <w:r w:rsidR="007E42E6">
        <w:rPr>
          <w:rtl/>
        </w:rPr>
        <w:t>ة</w:t>
      </w:r>
      <w:r w:rsidR="001A62F1">
        <w:rPr>
          <w:rFonts w:hint="cs"/>
          <w:rtl/>
        </w:rPr>
        <w:t xml:space="preserve"> بأن تصدر</w:t>
      </w:r>
      <w:r w:rsidR="007E42E6">
        <w:rPr>
          <w:rFonts w:hint="cs"/>
          <w:rtl/>
        </w:rPr>
        <w:t xml:space="preserve"> تعميماً يدعو مكاتب الملكية الفكرية إلى المشاركة </w:t>
      </w:r>
      <w:r w:rsidR="009C08F9">
        <w:rPr>
          <w:rFonts w:hint="cs"/>
          <w:rtl/>
        </w:rPr>
        <w:t xml:space="preserve">في الدراسة الاستقصائية </w:t>
      </w:r>
      <w:r w:rsidR="009C08F9" w:rsidRPr="009C08F9">
        <w:rPr>
          <w:rtl/>
        </w:rPr>
        <w:t>بشأن منح ونشر شهادات الحماية التكميلية</w:t>
      </w:r>
      <w:r w:rsidR="009C08F9">
        <w:rPr>
          <w:rFonts w:hint="cs"/>
          <w:rtl/>
        </w:rPr>
        <w:t xml:space="preserve"> وتمديدات مدة البراءة، </w:t>
      </w:r>
      <w:r w:rsidR="00681A06">
        <w:rPr>
          <w:rFonts w:hint="cs"/>
          <w:rtl/>
        </w:rPr>
        <w:t>على النحو المشار إليه في الفقرة 6</w:t>
      </w:r>
      <w:r w:rsidR="009C08F9">
        <w:rPr>
          <w:rFonts w:hint="cs"/>
          <w:rtl/>
        </w:rPr>
        <w:t xml:space="preserve"> أعلاه.</w:t>
      </w:r>
    </w:p>
    <w:p w:rsidR="009C08F9" w:rsidRDefault="009C08F9" w:rsidP="00FA0291">
      <w:pPr>
        <w:pStyle w:val="Decision"/>
        <w:numPr>
          <w:ilvl w:val="0"/>
          <w:numId w:val="50"/>
        </w:numPr>
        <w:ind w:left="5534" w:firstLine="567"/>
      </w:pPr>
      <w:r>
        <w:rPr>
          <w:rFonts w:hint="cs"/>
          <w:rtl/>
        </w:rPr>
        <w:t>و</w:t>
      </w:r>
      <w:r w:rsidR="003C04BC">
        <w:rPr>
          <w:rFonts w:hint="cs"/>
          <w:rtl/>
        </w:rPr>
        <w:t>ال</w:t>
      </w:r>
      <w:r>
        <w:rPr>
          <w:rFonts w:hint="cs"/>
          <w:rtl/>
        </w:rPr>
        <w:t>التماس</w:t>
      </w:r>
      <w:r w:rsidR="00813BAC">
        <w:rPr>
          <w:rFonts w:hint="cs"/>
          <w:rtl/>
        </w:rPr>
        <w:t xml:space="preserve"> من</w:t>
      </w:r>
      <w:r>
        <w:rPr>
          <w:rFonts w:hint="cs"/>
          <w:rtl/>
        </w:rPr>
        <w:t xml:space="preserve"> المكتب الدولي </w:t>
      </w:r>
      <w:r w:rsidR="001A62F1">
        <w:rPr>
          <w:rFonts w:hint="cs"/>
          <w:rtl/>
        </w:rPr>
        <w:t xml:space="preserve">بأن يعد </w:t>
      </w:r>
      <w:r>
        <w:rPr>
          <w:rFonts w:hint="cs"/>
          <w:rtl/>
        </w:rPr>
        <w:t xml:space="preserve">الجزء 7.2.4 </w:t>
      </w:r>
      <w:r w:rsidR="00425770">
        <w:rPr>
          <w:rFonts w:hint="cs"/>
          <w:rtl/>
        </w:rPr>
        <w:t xml:space="preserve">المحدث </w:t>
      </w:r>
      <w:r>
        <w:rPr>
          <w:rFonts w:hint="cs"/>
          <w:rtl/>
        </w:rPr>
        <w:t>ويقوم بنشره، على النحو المشار إليه في الفقرة 6 أعلاه.</w:t>
      </w:r>
    </w:p>
    <w:p w:rsidR="009C08F9" w:rsidRDefault="002A4044" w:rsidP="00FA0291">
      <w:pPr>
        <w:pStyle w:val="Decision"/>
        <w:numPr>
          <w:ilvl w:val="0"/>
          <w:numId w:val="50"/>
        </w:numPr>
        <w:ind w:left="5534" w:firstLine="567"/>
        <w:rPr>
          <w:rtl/>
        </w:rPr>
      </w:pPr>
      <w:r>
        <w:rPr>
          <w:rFonts w:hint="cs"/>
          <w:rtl/>
        </w:rPr>
        <w:t>و</w:t>
      </w:r>
      <w:r w:rsidR="003C04BC">
        <w:rPr>
          <w:rFonts w:hint="cs"/>
          <w:rtl/>
        </w:rPr>
        <w:t>ال</w:t>
      </w:r>
      <w:r>
        <w:rPr>
          <w:rtl/>
        </w:rPr>
        <w:t>التم</w:t>
      </w:r>
      <w:r>
        <w:rPr>
          <w:rFonts w:hint="cs"/>
          <w:rtl/>
        </w:rPr>
        <w:t>ا</w:t>
      </w:r>
      <w:r>
        <w:rPr>
          <w:rtl/>
        </w:rPr>
        <w:t>س</w:t>
      </w:r>
      <w:r w:rsidRPr="002A4044">
        <w:rPr>
          <w:rtl/>
        </w:rPr>
        <w:t xml:space="preserve"> من فرقة العمل المعنية بالجزء 7 أن تعد استبياناً مقترحاً بشأن ترقيم الوثائق المنشورة والحقوق المسجلة</w:t>
      </w:r>
      <w:r w:rsidR="00AD1BAE">
        <w:rPr>
          <w:rFonts w:hint="cs"/>
          <w:rtl/>
        </w:rPr>
        <w:t xml:space="preserve"> وعرض الاقتراح لتنظر فيه في دورتها السادسة، على النحو المشار إليه في الفقرة 8 أعلاه.</w:t>
      </w:r>
    </w:p>
    <w:p w:rsidR="00AD1BAE" w:rsidRPr="00AD1BAE" w:rsidRDefault="00AD1BAE" w:rsidP="002B3176">
      <w:pPr>
        <w:pStyle w:val="Endofdocument-Annex"/>
        <w:jc w:val="both"/>
        <w:rPr>
          <w:rtl/>
        </w:rPr>
      </w:pPr>
      <w:r>
        <w:rPr>
          <w:rtl/>
        </w:rPr>
        <w:t>[</w:t>
      </w:r>
      <w:r>
        <w:rPr>
          <w:rFonts w:hint="cs"/>
          <w:rtl/>
        </w:rPr>
        <w:t>يلي ذلك المرفق</w:t>
      </w:r>
      <w:r>
        <w:rPr>
          <w:rtl/>
        </w:rPr>
        <w:t>]</w:t>
      </w:r>
    </w:p>
    <w:sectPr w:rsidR="00AD1BAE" w:rsidRPr="00AD1BAE"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FEB" w:rsidRDefault="00EC1FEB">
      <w:r>
        <w:separator/>
      </w:r>
    </w:p>
  </w:endnote>
  <w:endnote w:type="continuationSeparator" w:id="0">
    <w:p w:rsidR="00EC1FEB" w:rsidRDefault="00EC1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Times New Roman"/>
    <w:charset w:val="00"/>
    <w:family w:val="script"/>
    <w:pitch w:val="variable"/>
    <w:sig w:usb0="00000000"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FEB" w:rsidRDefault="00EC1FEB" w:rsidP="009622BF">
      <w:bookmarkStart w:id="0" w:name="OLE_LINK1"/>
      <w:bookmarkStart w:id="1" w:name="OLE_LINK2"/>
      <w:r>
        <w:separator/>
      </w:r>
      <w:bookmarkEnd w:id="0"/>
      <w:bookmarkEnd w:id="1"/>
    </w:p>
  </w:footnote>
  <w:footnote w:type="continuationSeparator" w:id="0">
    <w:p w:rsidR="00EC1FEB" w:rsidRDefault="00EC1FEB"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E25" w:rsidRDefault="00F23E25" w:rsidP="0023693F">
    <w:pPr>
      <w:bidi w:val="0"/>
      <w:rPr>
        <w:rFonts w:ascii="Arial" w:hAnsi="Arial" w:cs="Arial"/>
        <w:sz w:val="22"/>
        <w:szCs w:val="22"/>
      </w:rPr>
    </w:pPr>
    <w:bookmarkStart w:id="4" w:name="Code3"/>
    <w:bookmarkEnd w:id="4"/>
    <w:r>
      <w:rPr>
        <w:rFonts w:ascii="Arial" w:hAnsi="Arial" w:cs="Arial"/>
        <w:sz w:val="22"/>
        <w:szCs w:val="22"/>
      </w:rPr>
      <w:t>CWS/6/24</w:t>
    </w:r>
    <w:r w:rsidR="00394265">
      <w:rPr>
        <w:rFonts w:ascii="Arial" w:hAnsi="Arial" w:cs="Arial"/>
        <w:sz w:val="22"/>
        <w:szCs w:val="22"/>
      </w:rPr>
      <w:t xml:space="preserve"> Rev.2</w:t>
    </w:r>
  </w:p>
  <w:p w:rsidR="00975D1F"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8176F6">
      <w:rPr>
        <w:rFonts w:ascii="Arial" w:hAnsi="Arial" w:cs="Arial"/>
        <w:noProof/>
        <w:sz w:val="22"/>
        <w:szCs w:val="22"/>
        <w:lang w:bidi="ar-EG"/>
      </w:rPr>
      <w:t>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DC4902"/>
    <w:multiLevelType w:val="hybridMultilevel"/>
    <w:tmpl w:val="68F84D42"/>
    <w:lvl w:ilvl="0" w:tplc="ACEC70CA">
      <w:start w:val="1"/>
      <w:numFmt w:val="arabicAbjad"/>
      <w:lvlText w:val="(%1)"/>
      <w:lvlJc w:val="left"/>
      <w:pPr>
        <w:ind w:left="6254" w:hanging="360"/>
      </w:pPr>
      <w:rPr>
        <w:rFonts w:hint="default"/>
      </w:r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8"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0"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1" w15:restartNumberingAfterBreak="0">
    <w:nsid w:val="2B552666"/>
    <w:multiLevelType w:val="hybridMultilevel"/>
    <w:tmpl w:val="BFB2AFFE"/>
    <w:lvl w:ilvl="0" w:tplc="ACEC70C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3"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4" w15:restartNumberingAfterBreak="0">
    <w:nsid w:val="2D9C7420"/>
    <w:multiLevelType w:val="hybridMultilevel"/>
    <w:tmpl w:val="64163AFE"/>
    <w:lvl w:ilvl="0" w:tplc="ACEC70CA">
      <w:start w:val="1"/>
      <w:numFmt w:val="arabicAbjad"/>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25"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9"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0"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2"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3" w15:restartNumberingAfterBreak="0">
    <w:nsid w:val="5C950DE4"/>
    <w:multiLevelType w:val="multilevel"/>
    <w:tmpl w:val="87761C82"/>
    <w:lvl w:ilvl="0">
      <w:start w:val="1"/>
      <w:numFmt w:val="decimal"/>
      <w:pStyle w:val="indent1"/>
      <w:lvlText w:val="&quot;%1&quot;"/>
      <w:lvlJc w:val="left"/>
      <w:pPr>
        <w:tabs>
          <w:tab w:val="num" w:pos="5534"/>
        </w:tabs>
        <w:ind w:left="5534" w:firstLine="0"/>
      </w:pPr>
      <w:rPr>
        <w:rFonts w:ascii="Arabic Typesetting" w:hAnsi="Arabic Typesetting" w:cs="Arabic Typesetting" w:hint="default"/>
        <w:sz w:val="36"/>
        <w:szCs w:val="36"/>
      </w:rPr>
    </w:lvl>
    <w:lvl w:ilvl="1">
      <w:start w:val="1"/>
      <w:numFmt w:val="arabicAbjad"/>
      <w:lvlText w:val="(%2)"/>
      <w:lvlJc w:val="left"/>
      <w:pPr>
        <w:tabs>
          <w:tab w:val="num" w:pos="6101"/>
        </w:tabs>
        <w:ind w:left="6101" w:firstLine="0"/>
      </w:pPr>
      <w:rPr>
        <w:rFonts w:ascii="Arabic Typesetting" w:hAnsi="Arabic Typesetting" w:cs="Arabic Typesetting" w:hint="default"/>
        <w:sz w:val="36"/>
        <w:szCs w:val="36"/>
      </w:rPr>
    </w:lvl>
    <w:lvl w:ilvl="2">
      <w:start w:val="1"/>
      <w:numFmt w:val="bullet"/>
      <w:lvlText w:val=""/>
      <w:lvlJc w:val="left"/>
      <w:pPr>
        <w:tabs>
          <w:tab w:val="num" w:pos="6668"/>
        </w:tabs>
        <w:ind w:left="6668" w:firstLine="0"/>
      </w:pPr>
      <w:rPr>
        <w:rFonts w:ascii="Symbol" w:hAnsi="Symbol" w:cs="Symbol" w:hint="default"/>
        <w:sz w:val="24"/>
        <w:szCs w:val="24"/>
      </w:rPr>
    </w:lvl>
    <w:lvl w:ilvl="3">
      <w:start w:val="1"/>
      <w:numFmt w:val="bullet"/>
      <w:lvlText w:val="○"/>
      <w:lvlJc w:val="left"/>
      <w:pPr>
        <w:tabs>
          <w:tab w:val="num" w:pos="7235"/>
        </w:tabs>
        <w:ind w:left="7235" w:firstLine="0"/>
      </w:pPr>
      <w:rPr>
        <w:rFonts w:ascii="Courier New" w:hAnsi="Courier New" w:cs="Courier New" w:hint="default"/>
        <w:sz w:val="24"/>
        <w:szCs w:val="24"/>
      </w:rPr>
    </w:lvl>
    <w:lvl w:ilvl="4">
      <w:start w:val="1"/>
      <w:numFmt w:val="bullet"/>
      <w:lvlText w:val=""/>
      <w:lvlJc w:val="left"/>
      <w:pPr>
        <w:tabs>
          <w:tab w:val="num" w:pos="7802"/>
        </w:tabs>
        <w:ind w:left="7802" w:firstLine="0"/>
      </w:pPr>
      <w:rPr>
        <w:rFonts w:ascii="Wingdings" w:hAnsi="Wingdings" w:cs="Wingdings" w:hint="default"/>
        <w:sz w:val="24"/>
        <w:szCs w:val="24"/>
      </w:rPr>
    </w:lvl>
    <w:lvl w:ilvl="5">
      <w:start w:val="1"/>
      <w:numFmt w:val="none"/>
      <w:lvlText w:val="%6"/>
      <w:lvlJc w:val="left"/>
      <w:pPr>
        <w:tabs>
          <w:tab w:val="num" w:pos="8369"/>
        </w:tabs>
        <w:ind w:left="8369" w:firstLine="0"/>
      </w:pPr>
      <w:rPr>
        <w:rFonts w:hint="default"/>
      </w:rPr>
    </w:lvl>
    <w:lvl w:ilvl="6">
      <w:start w:val="1"/>
      <w:numFmt w:val="none"/>
      <w:lvlText w:val=""/>
      <w:lvlJc w:val="left"/>
      <w:pPr>
        <w:tabs>
          <w:tab w:val="num" w:pos="8936"/>
        </w:tabs>
        <w:ind w:left="8936" w:firstLine="0"/>
      </w:pPr>
      <w:rPr>
        <w:rFonts w:hint="default"/>
      </w:rPr>
    </w:lvl>
    <w:lvl w:ilvl="7">
      <w:start w:val="1"/>
      <w:numFmt w:val="none"/>
      <w:lvlText w:val=""/>
      <w:lvlJc w:val="left"/>
      <w:pPr>
        <w:tabs>
          <w:tab w:val="num" w:pos="9503"/>
        </w:tabs>
        <w:ind w:left="9503" w:firstLine="0"/>
      </w:pPr>
      <w:rPr>
        <w:rFonts w:hint="default"/>
      </w:rPr>
    </w:lvl>
    <w:lvl w:ilvl="8">
      <w:start w:val="1"/>
      <w:numFmt w:val="none"/>
      <w:lvlText w:val=""/>
      <w:lvlJc w:val="left"/>
      <w:pPr>
        <w:tabs>
          <w:tab w:val="num" w:pos="10070"/>
        </w:tabs>
        <w:ind w:left="10070" w:firstLine="0"/>
      </w:pPr>
      <w:rPr>
        <w:rFonts w:hint="default"/>
      </w:rPr>
    </w:lvl>
  </w:abstractNum>
  <w:abstractNum w:abstractNumId="34"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6"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7"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8"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9" w15:restartNumberingAfterBreak="0">
    <w:nsid w:val="6A7A24F7"/>
    <w:multiLevelType w:val="hybridMultilevel"/>
    <w:tmpl w:val="02467C30"/>
    <w:lvl w:ilvl="0" w:tplc="ACEC70CA">
      <w:start w:val="1"/>
      <w:numFmt w:val="arabicAbjad"/>
      <w:lvlText w:val="(%1)"/>
      <w:lvlJc w:val="left"/>
      <w:pPr>
        <w:ind w:left="5823" w:hanging="360"/>
      </w:pPr>
      <w:rPr>
        <w:rFonts w:hint="default"/>
      </w:rPr>
    </w:lvl>
    <w:lvl w:ilvl="1" w:tplc="04090019" w:tentative="1">
      <w:start w:val="1"/>
      <w:numFmt w:val="lowerLetter"/>
      <w:lvlText w:val="%2."/>
      <w:lvlJc w:val="left"/>
      <w:pPr>
        <w:ind w:left="6543" w:hanging="360"/>
      </w:pPr>
    </w:lvl>
    <w:lvl w:ilvl="2" w:tplc="0409001B" w:tentative="1">
      <w:start w:val="1"/>
      <w:numFmt w:val="lowerRoman"/>
      <w:lvlText w:val="%3."/>
      <w:lvlJc w:val="right"/>
      <w:pPr>
        <w:ind w:left="7263" w:hanging="180"/>
      </w:pPr>
    </w:lvl>
    <w:lvl w:ilvl="3" w:tplc="0409000F" w:tentative="1">
      <w:start w:val="1"/>
      <w:numFmt w:val="decimal"/>
      <w:lvlText w:val="%4."/>
      <w:lvlJc w:val="left"/>
      <w:pPr>
        <w:ind w:left="7983" w:hanging="360"/>
      </w:pPr>
    </w:lvl>
    <w:lvl w:ilvl="4" w:tplc="04090019" w:tentative="1">
      <w:start w:val="1"/>
      <w:numFmt w:val="lowerLetter"/>
      <w:lvlText w:val="%5."/>
      <w:lvlJc w:val="left"/>
      <w:pPr>
        <w:ind w:left="8703" w:hanging="360"/>
      </w:pPr>
    </w:lvl>
    <w:lvl w:ilvl="5" w:tplc="0409001B" w:tentative="1">
      <w:start w:val="1"/>
      <w:numFmt w:val="lowerRoman"/>
      <w:lvlText w:val="%6."/>
      <w:lvlJc w:val="right"/>
      <w:pPr>
        <w:ind w:left="9423" w:hanging="180"/>
      </w:pPr>
    </w:lvl>
    <w:lvl w:ilvl="6" w:tplc="0409000F" w:tentative="1">
      <w:start w:val="1"/>
      <w:numFmt w:val="decimal"/>
      <w:lvlText w:val="%7."/>
      <w:lvlJc w:val="left"/>
      <w:pPr>
        <w:ind w:left="10143" w:hanging="360"/>
      </w:pPr>
    </w:lvl>
    <w:lvl w:ilvl="7" w:tplc="04090019" w:tentative="1">
      <w:start w:val="1"/>
      <w:numFmt w:val="lowerLetter"/>
      <w:lvlText w:val="%8."/>
      <w:lvlJc w:val="left"/>
      <w:pPr>
        <w:ind w:left="10863" w:hanging="360"/>
      </w:pPr>
    </w:lvl>
    <w:lvl w:ilvl="8" w:tplc="0409001B" w:tentative="1">
      <w:start w:val="1"/>
      <w:numFmt w:val="lowerRoman"/>
      <w:lvlText w:val="%9."/>
      <w:lvlJc w:val="right"/>
      <w:pPr>
        <w:ind w:left="11583" w:hanging="180"/>
      </w:pPr>
    </w:lvl>
  </w:abstractNum>
  <w:abstractNum w:abstractNumId="40"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1"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42"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7"/>
  </w:num>
  <w:num w:numId="3">
    <w:abstractNumId w:val="14"/>
  </w:num>
  <w:num w:numId="4">
    <w:abstractNumId w:val="40"/>
  </w:num>
  <w:num w:numId="5">
    <w:abstractNumId w:val="8"/>
  </w:num>
  <w:num w:numId="6">
    <w:abstractNumId w:val="41"/>
  </w:num>
  <w:num w:numId="7">
    <w:abstractNumId w:val="22"/>
  </w:num>
  <w:num w:numId="8">
    <w:abstractNumId w:val="38"/>
  </w:num>
  <w:num w:numId="9">
    <w:abstractNumId w:val="34"/>
  </w:num>
  <w:num w:numId="10">
    <w:abstractNumId w:val="42"/>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6"/>
  </w:num>
  <w:num w:numId="22">
    <w:abstractNumId w:val="26"/>
  </w:num>
  <w:num w:numId="23">
    <w:abstractNumId w:val="12"/>
  </w:num>
  <w:num w:numId="24">
    <w:abstractNumId w:val="11"/>
  </w:num>
  <w:num w:numId="25">
    <w:abstractNumId w:val="11"/>
  </w:num>
  <w:num w:numId="26">
    <w:abstractNumId w:val="11"/>
  </w:num>
  <w:num w:numId="27">
    <w:abstractNumId w:val="11"/>
  </w:num>
  <w:num w:numId="28">
    <w:abstractNumId w:val="18"/>
  </w:num>
  <w:num w:numId="29">
    <w:abstractNumId w:val="11"/>
  </w:num>
  <w:num w:numId="30">
    <w:abstractNumId w:val="32"/>
  </w:num>
  <w:num w:numId="31">
    <w:abstractNumId w:val="23"/>
  </w:num>
  <w:num w:numId="32">
    <w:abstractNumId w:val="29"/>
  </w:num>
  <w:num w:numId="33">
    <w:abstractNumId w:val="37"/>
  </w:num>
  <w:num w:numId="34">
    <w:abstractNumId w:val="13"/>
  </w:num>
  <w:num w:numId="35">
    <w:abstractNumId w:val="36"/>
  </w:num>
  <w:num w:numId="36">
    <w:abstractNumId w:val="28"/>
  </w:num>
  <w:num w:numId="37">
    <w:abstractNumId w:val="35"/>
  </w:num>
  <w:num w:numId="38">
    <w:abstractNumId w:val="16"/>
  </w:num>
  <w:num w:numId="39">
    <w:abstractNumId w:val="31"/>
  </w:num>
  <w:num w:numId="40">
    <w:abstractNumId w:val="30"/>
  </w:num>
  <w:num w:numId="41">
    <w:abstractNumId w:val="19"/>
  </w:num>
  <w:num w:numId="42">
    <w:abstractNumId w:val="10"/>
  </w:num>
  <w:num w:numId="43">
    <w:abstractNumId w:val="25"/>
  </w:num>
  <w:num w:numId="44">
    <w:abstractNumId w:val="33"/>
  </w:num>
  <w:num w:numId="45">
    <w:abstractNumId w:val="21"/>
  </w:num>
  <w:num w:numId="46">
    <w:abstractNumId w:val="24"/>
  </w:num>
  <w:num w:numId="47">
    <w:abstractNumId w:val="39"/>
  </w:num>
  <w:num w:numId="48">
    <w:abstractNumId w:val="11"/>
  </w:num>
  <w:num w:numId="49">
    <w:abstractNumId w:val="11"/>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E25"/>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1B64"/>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2F11"/>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03A"/>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022"/>
    <w:rsid w:val="00114141"/>
    <w:rsid w:val="00114827"/>
    <w:rsid w:val="00115266"/>
    <w:rsid w:val="001154FB"/>
    <w:rsid w:val="00115B51"/>
    <w:rsid w:val="001171EF"/>
    <w:rsid w:val="001173C5"/>
    <w:rsid w:val="00121092"/>
    <w:rsid w:val="001218E9"/>
    <w:rsid w:val="00121AA0"/>
    <w:rsid w:val="00121FE6"/>
    <w:rsid w:val="00123F16"/>
    <w:rsid w:val="0012405D"/>
    <w:rsid w:val="00125160"/>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A0C"/>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2F1"/>
    <w:rsid w:val="001A6B88"/>
    <w:rsid w:val="001A6C33"/>
    <w:rsid w:val="001A6E68"/>
    <w:rsid w:val="001B3131"/>
    <w:rsid w:val="001B4B2F"/>
    <w:rsid w:val="001B5CAA"/>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247"/>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4044"/>
    <w:rsid w:val="002A5403"/>
    <w:rsid w:val="002A6C9F"/>
    <w:rsid w:val="002A77F3"/>
    <w:rsid w:val="002B14F0"/>
    <w:rsid w:val="002B17FD"/>
    <w:rsid w:val="002B1F0F"/>
    <w:rsid w:val="002B3176"/>
    <w:rsid w:val="002B53D3"/>
    <w:rsid w:val="002B6202"/>
    <w:rsid w:val="002B7433"/>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389F"/>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6D45"/>
    <w:rsid w:val="00337265"/>
    <w:rsid w:val="00337388"/>
    <w:rsid w:val="0034007D"/>
    <w:rsid w:val="0034030D"/>
    <w:rsid w:val="00343339"/>
    <w:rsid w:val="003433E5"/>
    <w:rsid w:val="00344082"/>
    <w:rsid w:val="003446A4"/>
    <w:rsid w:val="0034582C"/>
    <w:rsid w:val="00345916"/>
    <w:rsid w:val="00345CAC"/>
    <w:rsid w:val="0034789E"/>
    <w:rsid w:val="00347929"/>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573B"/>
    <w:rsid w:val="00387542"/>
    <w:rsid w:val="00387C6B"/>
    <w:rsid w:val="00390FC0"/>
    <w:rsid w:val="003911B2"/>
    <w:rsid w:val="00391AFE"/>
    <w:rsid w:val="00392705"/>
    <w:rsid w:val="003937DF"/>
    <w:rsid w:val="00393A79"/>
    <w:rsid w:val="0039419C"/>
    <w:rsid w:val="00394265"/>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04BC"/>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770"/>
    <w:rsid w:val="004258CD"/>
    <w:rsid w:val="004261D2"/>
    <w:rsid w:val="004303D1"/>
    <w:rsid w:val="00430D6E"/>
    <w:rsid w:val="004314CA"/>
    <w:rsid w:val="00433C0A"/>
    <w:rsid w:val="00433FEE"/>
    <w:rsid w:val="004349FA"/>
    <w:rsid w:val="004406BD"/>
    <w:rsid w:val="00442FBE"/>
    <w:rsid w:val="004433B1"/>
    <w:rsid w:val="00443571"/>
    <w:rsid w:val="004444E3"/>
    <w:rsid w:val="004447FD"/>
    <w:rsid w:val="00445032"/>
    <w:rsid w:val="004450CB"/>
    <w:rsid w:val="00445C22"/>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9749C"/>
    <w:rsid w:val="004A076F"/>
    <w:rsid w:val="004A1DC1"/>
    <w:rsid w:val="004A31A2"/>
    <w:rsid w:val="004A48A7"/>
    <w:rsid w:val="004A620A"/>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9A4"/>
    <w:rsid w:val="004E6C8C"/>
    <w:rsid w:val="004E6CC7"/>
    <w:rsid w:val="004E776F"/>
    <w:rsid w:val="004F111D"/>
    <w:rsid w:val="004F1843"/>
    <w:rsid w:val="004F1EEC"/>
    <w:rsid w:val="004F24C8"/>
    <w:rsid w:val="004F30D6"/>
    <w:rsid w:val="004F34A5"/>
    <w:rsid w:val="004F3C1C"/>
    <w:rsid w:val="004F40D6"/>
    <w:rsid w:val="004F6925"/>
    <w:rsid w:val="004F722B"/>
    <w:rsid w:val="00503AE1"/>
    <w:rsid w:val="00503CA6"/>
    <w:rsid w:val="00503FAE"/>
    <w:rsid w:val="00504DC1"/>
    <w:rsid w:val="00505332"/>
    <w:rsid w:val="00505A57"/>
    <w:rsid w:val="00505D37"/>
    <w:rsid w:val="005104E8"/>
    <w:rsid w:val="005107DB"/>
    <w:rsid w:val="005107E7"/>
    <w:rsid w:val="00510DB0"/>
    <w:rsid w:val="005119F6"/>
    <w:rsid w:val="00511B7D"/>
    <w:rsid w:val="00511D00"/>
    <w:rsid w:val="005137E7"/>
    <w:rsid w:val="00516256"/>
    <w:rsid w:val="005162CF"/>
    <w:rsid w:val="00517A63"/>
    <w:rsid w:val="00517C8D"/>
    <w:rsid w:val="00517FD1"/>
    <w:rsid w:val="00521552"/>
    <w:rsid w:val="005219E6"/>
    <w:rsid w:val="00521B4A"/>
    <w:rsid w:val="0052212E"/>
    <w:rsid w:val="00522E91"/>
    <w:rsid w:val="0052302D"/>
    <w:rsid w:val="005236A5"/>
    <w:rsid w:val="005247B8"/>
    <w:rsid w:val="005266BD"/>
    <w:rsid w:val="0052772D"/>
    <w:rsid w:val="00530442"/>
    <w:rsid w:val="00534AF0"/>
    <w:rsid w:val="00534C9E"/>
    <w:rsid w:val="00535060"/>
    <w:rsid w:val="00535738"/>
    <w:rsid w:val="005363C1"/>
    <w:rsid w:val="005409EB"/>
    <w:rsid w:val="00540B47"/>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1BC4"/>
    <w:rsid w:val="0056248F"/>
    <w:rsid w:val="00564985"/>
    <w:rsid w:val="00565379"/>
    <w:rsid w:val="0056579D"/>
    <w:rsid w:val="005674C3"/>
    <w:rsid w:val="00567990"/>
    <w:rsid w:val="00567C4C"/>
    <w:rsid w:val="005707D3"/>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21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3B58"/>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1CC8"/>
    <w:rsid w:val="00653149"/>
    <w:rsid w:val="006531E4"/>
    <w:rsid w:val="00654505"/>
    <w:rsid w:val="006575ED"/>
    <w:rsid w:val="006578FD"/>
    <w:rsid w:val="00660060"/>
    <w:rsid w:val="006609AA"/>
    <w:rsid w:val="00662EDE"/>
    <w:rsid w:val="00664C9F"/>
    <w:rsid w:val="00666548"/>
    <w:rsid w:val="006667B5"/>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A06"/>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33EB"/>
    <w:rsid w:val="00694487"/>
    <w:rsid w:val="00695815"/>
    <w:rsid w:val="0069581B"/>
    <w:rsid w:val="00696412"/>
    <w:rsid w:val="00696601"/>
    <w:rsid w:val="006977FA"/>
    <w:rsid w:val="006A0075"/>
    <w:rsid w:val="006A010D"/>
    <w:rsid w:val="006A20FB"/>
    <w:rsid w:val="006A339D"/>
    <w:rsid w:val="006A4462"/>
    <w:rsid w:val="006A5A47"/>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A"/>
    <w:rsid w:val="006C480B"/>
    <w:rsid w:val="006C570B"/>
    <w:rsid w:val="006C572E"/>
    <w:rsid w:val="006C5997"/>
    <w:rsid w:val="006C5CD2"/>
    <w:rsid w:val="006D0636"/>
    <w:rsid w:val="006D06DC"/>
    <w:rsid w:val="006D12C9"/>
    <w:rsid w:val="006D6E46"/>
    <w:rsid w:val="006D7FA8"/>
    <w:rsid w:val="006E4601"/>
    <w:rsid w:val="006E490A"/>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4A75"/>
    <w:rsid w:val="00715129"/>
    <w:rsid w:val="007154CE"/>
    <w:rsid w:val="00715B25"/>
    <w:rsid w:val="00716020"/>
    <w:rsid w:val="00720860"/>
    <w:rsid w:val="00721087"/>
    <w:rsid w:val="00721530"/>
    <w:rsid w:val="00723422"/>
    <w:rsid w:val="007260FE"/>
    <w:rsid w:val="00726DD6"/>
    <w:rsid w:val="00727F48"/>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16EE"/>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96F33"/>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1E03"/>
    <w:rsid w:val="007C25E9"/>
    <w:rsid w:val="007C2F78"/>
    <w:rsid w:val="007C34C5"/>
    <w:rsid w:val="007C4079"/>
    <w:rsid w:val="007C4827"/>
    <w:rsid w:val="007C4A20"/>
    <w:rsid w:val="007D0B7F"/>
    <w:rsid w:val="007D0E21"/>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42E6"/>
    <w:rsid w:val="007E66CF"/>
    <w:rsid w:val="007E7997"/>
    <w:rsid w:val="007E7B47"/>
    <w:rsid w:val="007F04EF"/>
    <w:rsid w:val="007F342F"/>
    <w:rsid w:val="007F38D1"/>
    <w:rsid w:val="007F56BB"/>
    <w:rsid w:val="007F63CE"/>
    <w:rsid w:val="007F6EA4"/>
    <w:rsid w:val="007F766D"/>
    <w:rsid w:val="008002A5"/>
    <w:rsid w:val="00800372"/>
    <w:rsid w:val="0080050E"/>
    <w:rsid w:val="00801329"/>
    <w:rsid w:val="00801424"/>
    <w:rsid w:val="00801AA4"/>
    <w:rsid w:val="00801B7E"/>
    <w:rsid w:val="008021B9"/>
    <w:rsid w:val="00806E68"/>
    <w:rsid w:val="00807D55"/>
    <w:rsid w:val="00807FC3"/>
    <w:rsid w:val="00810034"/>
    <w:rsid w:val="008114CF"/>
    <w:rsid w:val="008117CC"/>
    <w:rsid w:val="00811AB3"/>
    <w:rsid w:val="00813BAC"/>
    <w:rsid w:val="0081421D"/>
    <w:rsid w:val="00814ADB"/>
    <w:rsid w:val="00815C5D"/>
    <w:rsid w:val="0081618F"/>
    <w:rsid w:val="008174D1"/>
    <w:rsid w:val="008176F6"/>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43B"/>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6528D"/>
    <w:rsid w:val="0087049C"/>
    <w:rsid w:val="0087074C"/>
    <w:rsid w:val="00870AAD"/>
    <w:rsid w:val="00870EDE"/>
    <w:rsid w:val="00871DA0"/>
    <w:rsid w:val="00872030"/>
    <w:rsid w:val="00873973"/>
    <w:rsid w:val="00874721"/>
    <w:rsid w:val="0087564A"/>
    <w:rsid w:val="00875C28"/>
    <w:rsid w:val="00875E75"/>
    <w:rsid w:val="00876090"/>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40D9"/>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959"/>
    <w:rsid w:val="00902F06"/>
    <w:rsid w:val="009035DB"/>
    <w:rsid w:val="00904671"/>
    <w:rsid w:val="00904FDD"/>
    <w:rsid w:val="00905BC5"/>
    <w:rsid w:val="009064AA"/>
    <w:rsid w:val="00912257"/>
    <w:rsid w:val="00913495"/>
    <w:rsid w:val="00913874"/>
    <w:rsid w:val="00913ABA"/>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263"/>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424"/>
    <w:rsid w:val="00975896"/>
    <w:rsid w:val="00975D1F"/>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6A"/>
    <w:rsid w:val="009A27C7"/>
    <w:rsid w:val="009A2961"/>
    <w:rsid w:val="009A344A"/>
    <w:rsid w:val="009A41C7"/>
    <w:rsid w:val="009A4F5A"/>
    <w:rsid w:val="009A5C82"/>
    <w:rsid w:val="009B010D"/>
    <w:rsid w:val="009B0AAB"/>
    <w:rsid w:val="009B0D3E"/>
    <w:rsid w:val="009B2AD1"/>
    <w:rsid w:val="009B3224"/>
    <w:rsid w:val="009B32B4"/>
    <w:rsid w:val="009B3A61"/>
    <w:rsid w:val="009B528E"/>
    <w:rsid w:val="009B54FE"/>
    <w:rsid w:val="009B7572"/>
    <w:rsid w:val="009B77DD"/>
    <w:rsid w:val="009C08F9"/>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5F93"/>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CC7"/>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C694C"/>
    <w:rsid w:val="00AD03D8"/>
    <w:rsid w:val="00AD0D5F"/>
    <w:rsid w:val="00AD1BAE"/>
    <w:rsid w:val="00AD34CF"/>
    <w:rsid w:val="00AD36C8"/>
    <w:rsid w:val="00AD37C9"/>
    <w:rsid w:val="00AD47D3"/>
    <w:rsid w:val="00AD652F"/>
    <w:rsid w:val="00AD7D05"/>
    <w:rsid w:val="00AE01F6"/>
    <w:rsid w:val="00AE16F0"/>
    <w:rsid w:val="00AE21C1"/>
    <w:rsid w:val="00AE2924"/>
    <w:rsid w:val="00AE29F9"/>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29EC"/>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1B2E"/>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2632"/>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4C41"/>
    <w:rsid w:val="00B851D5"/>
    <w:rsid w:val="00B85B06"/>
    <w:rsid w:val="00B90558"/>
    <w:rsid w:val="00B92958"/>
    <w:rsid w:val="00B93957"/>
    <w:rsid w:val="00B9404A"/>
    <w:rsid w:val="00B94877"/>
    <w:rsid w:val="00B9491F"/>
    <w:rsid w:val="00B95184"/>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4E26"/>
    <w:rsid w:val="00BB5E2C"/>
    <w:rsid w:val="00BB6440"/>
    <w:rsid w:val="00BB7D9E"/>
    <w:rsid w:val="00BC16AC"/>
    <w:rsid w:val="00BC2B7B"/>
    <w:rsid w:val="00BC3290"/>
    <w:rsid w:val="00BC3AE8"/>
    <w:rsid w:val="00BC3AF4"/>
    <w:rsid w:val="00BC43A8"/>
    <w:rsid w:val="00BC5825"/>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2BA1"/>
    <w:rsid w:val="00BF44F5"/>
    <w:rsid w:val="00BF4D03"/>
    <w:rsid w:val="00BF4E85"/>
    <w:rsid w:val="00BF54BD"/>
    <w:rsid w:val="00BF5892"/>
    <w:rsid w:val="00BF63A3"/>
    <w:rsid w:val="00C01804"/>
    <w:rsid w:val="00C026BC"/>
    <w:rsid w:val="00C02AD4"/>
    <w:rsid w:val="00C03869"/>
    <w:rsid w:val="00C059E0"/>
    <w:rsid w:val="00C07988"/>
    <w:rsid w:val="00C07C5E"/>
    <w:rsid w:val="00C10068"/>
    <w:rsid w:val="00C10552"/>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2F97"/>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77324"/>
    <w:rsid w:val="00C83A4C"/>
    <w:rsid w:val="00C83B75"/>
    <w:rsid w:val="00C8533B"/>
    <w:rsid w:val="00C858BA"/>
    <w:rsid w:val="00C86977"/>
    <w:rsid w:val="00C916C8"/>
    <w:rsid w:val="00C93163"/>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A7FE7"/>
    <w:rsid w:val="00CB2575"/>
    <w:rsid w:val="00CB3677"/>
    <w:rsid w:val="00CB368F"/>
    <w:rsid w:val="00CB4C42"/>
    <w:rsid w:val="00CB4DFA"/>
    <w:rsid w:val="00CB6B20"/>
    <w:rsid w:val="00CB7BD7"/>
    <w:rsid w:val="00CC0707"/>
    <w:rsid w:val="00CC0E22"/>
    <w:rsid w:val="00CC4CB6"/>
    <w:rsid w:val="00CC4DB0"/>
    <w:rsid w:val="00CC5038"/>
    <w:rsid w:val="00CC5326"/>
    <w:rsid w:val="00CC7426"/>
    <w:rsid w:val="00CC7602"/>
    <w:rsid w:val="00CC7910"/>
    <w:rsid w:val="00CC7E04"/>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195"/>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77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28EB"/>
    <w:rsid w:val="00D23557"/>
    <w:rsid w:val="00D2427F"/>
    <w:rsid w:val="00D24BB7"/>
    <w:rsid w:val="00D2506D"/>
    <w:rsid w:val="00D263AE"/>
    <w:rsid w:val="00D27855"/>
    <w:rsid w:val="00D27E5A"/>
    <w:rsid w:val="00D31021"/>
    <w:rsid w:val="00D329B9"/>
    <w:rsid w:val="00D33412"/>
    <w:rsid w:val="00D3482C"/>
    <w:rsid w:val="00D3664C"/>
    <w:rsid w:val="00D3683A"/>
    <w:rsid w:val="00D3738B"/>
    <w:rsid w:val="00D379C5"/>
    <w:rsid w:val="00D37C36"/>
    <w:rsid w:val="00D404F8"/>
    <w:rsid w:val="00D40559"/>
    <w:rsid w:val="00D405B8"/>
    <w:rsid w:val="00D41493"/>
    <w:rsid w:val="00D4200A"/>
    <w:rsid w:val="00D4267F"/>
    <w:rsid w:val="00D42B7B"/>
    <w:rsid w:val="00D441E9"/>
    <w:rsid w:val="00D44425"/>
    <w:rsid w:val="00D44FC8"/>
    <w:rsid w:val="00D45D4D"/>
    <w:rsid w:val="00D45D8F"/>
    <w:rsid w:val="00D47077"/>
    <w:rsid w:val="00D47B96"/>
    <w:rsid w:val="00D50332"/>
    <w:rsid w:val="00D52B95"/>
    <w:rsid w:val="00D5362B"/>
    <w:rsid w:val="00D5364E"/>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0CB4"/>
    <w:rsid w:val="00D71463"/>
    <w:rsid w:val="00D7194A"/>
    <w:rsid w:val="00D725D4"/>
    <w:rsid w:val="00D72AE4"/>
    <w:rsid w:val="00D73026"/>
    <w:rsid w:val="00D73FA1"/>
    <w:rsid w:val="00D7469D"/>
    <w:rsid w:val="00D7550B"/>
    <w:rsid w:val="00D75EEB"/>
    <w:rsid w:val="00D75F1E"/>
    <w:rsid w:val="00D76210"/>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C776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464"/>
    <w:rsid w:val="00E445C9"/>
    <w:rsid w:val="00E447C5"/>
    <w:rsid w:val="00E450C1"/>
    <w:rsid w:val="00E4547F"/>
    <w:rsid w:val="00E4574F"/>
    <w:rsid w:val="00E46B7D"/>
    <w:rsid w:val="00E47D56"/>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3CA3"/>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51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A1D"/>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1FEB"/>
    <w:rsid w:val="00EC2D7D"/>
    <w:rsid w:val="00EC36AD"/>
    <w:rsid w:val="00EC3BCF"/>
    <w:rsid w:val="00EC56B1"/>
    <w:rsid w:val="00EC664F"/>
    <w:rsid w:val="00EC6749"/>
    <w:rsid w:val="00EC72F5"/>
    <w:rsid w:val="00EC7334"/>
    <w:rsid w:val="00ED1877"/>
    <w:rsid w:val="00ED2171"/>
    <w:rsid w:val="00ED247F"/>
    <w:rsid w:val="00ED27E4"/>
    <w:rsid w:val="00ED27FF"/>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3E25"/>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291"/>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2B97"/>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361D4376-2991-476A-9DB8-C537784AA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2FA8F-A7A9-4A75-9AFB-FE2E01969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4</Pages>
  <Words>921</Words>
  <Characters>4817</Characters>
  <Application>Microsoft Office Word</Application>
  <DocSecurity>0</DocSecurity>
  <Lines>218</Lines>
  <Paragraphs>122</Paragraphs>
  <ScaleCrop>false</ScaleCrop>
  <HeadingPairs>
    <vt:vector size="2" baseType="variant">
      <vt:variant>
        <vt:lpstr>Title</vt:lpstr>
      </vt:variant>
      <vt:variant>
        <vt:i4>1</vt:i4>
      </vt:variant>
    </vt:vector>
  </HeadingPairs>
  <TitlesOfParts>
    <vt:vector size="1" baseType="lpstr">
      <vt:lpstr>CWS/6/24 REV.2 (in Arabic)</vt:lpstr>
    </vt:vector>
  </TitlesOfParts>
  <Company>World Intellectual Property Organization</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CWS/6/24 REV.2 (in Arabic)</dc:title>
  <dc:subject>تقرير فرقة العمل المعنية بالجزء 7 عن المهمة رقم 50</dc:subject>
  <dc:creator>WIPO</dc:creator>
  <cp:keywords>CWS</cp:keywords>
  <cp:lastModifiedBy>DRAKE Sophie</cp:lastModifiedBy>
  <cp:revision>43</cp:revision>
  <cp:lastPrinted>2018-09-28T08:45:00Z</cp:lastPrinted>
  <dcterms:created xsi:type="dcterms:W3CDTF">2018-09-20T07:22:00Z</dcterms:created>
  <dcterms:modified xsi:type="dcterms:W3CDTF">2018-10-02T13:19:00Z</dcterms:modified>
  <cp:category>CWS (in Arabic)</cp:category>
</cp:coreProperties>
</file>