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D161F0">
        <w:rPr>
          <w:rFonts w:ascii="Arial Black" w:eastAsia="SimSun" w:hAnsi="Arial Black" w:cs="Arial"/>
          <w:b/>
          <w:caps/>
          <w:noProof/>
          <w:sz w:val="16"/>
          <w:szCs w:val="16"/>
          <w:lang w:eastAsia="zh-CN"/>
        </w:rPr>
        <w:t>23</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161F0">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161F0">
        <w:rPr>
          <w:b/>
          <w:bCs/>
          <w:sz w:val="30"/>
          <w:szCs w:val="30"/>
          <w:rtl/>
        </w:rPr>
        <w:t>12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C922E7" w:rsidP="00874721">
      <w:pPr>
        <w:rPr>
          <w:rFonts w:ascii="Arial Black" w:hAnsi="Arial Black" w:cs="PT Bold Heading"/>
          <w:sz w:val="26"/>
          <w:szCs w:val="26"/>
          <w:rtl/>
          <w:lang w:bidi="ar-EG"/>
        </w:rPr>
      </w:pPr>
      <w:bookmarkStart w:id="3" w:name="_GoBack"/>
      <w:r>
        <w:rPr>
          <w:rFonts w:ascii="Arial Black" w:hAnsi="Arial Black" w:cs="PT Bold Heading" w:hint="cs"/>
          <w:sz w:val="26"/>
          <w:szCs w:val="26"/>
          <w:rtl/>
          <w:lang w:bidi="ar-EG"/>
        </w:rPr>
        <w:t>اقتراح إنشاء مهمة لتحديث معايير الويبو القائمة بشأن نشر المعلومات عن حقوق الملكية الفكرية والأحداث المتعلقة بالوضع القانوني</w:t>
      </w:r>
    </w:p>
    <w:bookmarkEnd w:id="3"/>
    <w:p w:rsidR="003F7284" w:rsidRPr="00BB6440" w:rsidRDefault="00D161F0"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3A2FE7" w:rsidRDefault="003A2FE7" w:rsidP="003A2FE7">
      <w:pPr>
        <w:pStyle w:val="Heading2"/>
      </w:pPr>
      <w:r>
        <w:rPr>
          <w:rFonts w:hint="cs"/>
          <w:rtl/>
        </w:rPr>
        <w:t>المقدمة</w:t>
      </w:r>
    </w:p>
    <w:p w:rsidR="00E3612C" w:rsidRDefault="00061893" w:rsidP="00061893">
      <w:pPr>
        <w:pStyle w:val="ONUMA"/>
      </w:pPr>
      <w:r>
        <w:rPr>
          <w:rFonts w:hint="cs"/>
          <w:rtl/>
          <w:lang w:bidi="ar-EG"/>
        </w:rPr>
        <w:t>قدَّم وفد الاتحاد الروسي اقتراحاً لإنشاء مهمة لتحديث معايير الويبو القائمة بشأن نشر المعلومات عن حقوق الملكية الفكرية والأحداث المتعلقة بالوضع القانوني إلى اللجنة المعنية بمعايير الويبو (لجنة المعايير) كي تنظر فيه إبّان دورتها السادسة. ويرد ذلك الاقتراح في مرفق هذه الوثيقة.</w:t>
      </w:r>
    </w:p>
    <w:p w:rsidR="00061893" w:rsidRDefault="00061893" w:rsidP="00061893">
      <w:pPr>
        <w:pStyle w:val="ONUMA"/>
      </w:pPr>
      <w:r>
        <w:rPr>
          <w:rFonts w:hint="cs"/>
          <w:rtl/>
          <w:lang w:bidi="ar-EG"/>
        </w:rPr>
        <w:t>ويقترح و</w:t>
      </w:r>
      <w:r w:rsidR="003A2FE7">
        <w:rPr>
          <w:rFonts w:hint="cs"/>
          <w:rtl/>
          <w:lang w:bidi="ar-EG"/>
        </w:rPr>
        <w:t>ف</w:t>
      </w:r>
      <w:r>
        <w:rPr>
          <w:rFonts w:hint="cs"/>
          <w:rtl/>
          <w:lang w:bidi="ar-EG"/>
        </w:rPr>
        <w:t>د الاتحاد الروسي ما يلي:</w:t>
      </w:r>
    </w:p>
    <w:p w:rsidR="00061893" w:rsidRDefault="00061893" w:rsidP="003A2FE7">
      <w:pPr>
        <w:pStyle w:val="ONUMA"/>
        <w:numPr>
          <w:ilvl w:val="2"/>
          <w:numId w:val="24"/>
        </w:numPr>
        <w:ind w:hanging="567"/>
      </w:pPr>
      <w:r>
        <w:rPr>
          <w:rFonts w:hint="cs"/>
          <w:rtl/>
          <w:lang w:bidi="ar-EG"/>
        </w:rPr>
        <w:t xml:space="preserve">إنشاء مهمة جديدة </w:t>
      </w:r>
      <w:r w:rsidR="003A2FE7">
        <w:rPr>
          <w:rFonts w:hint="cs"/>
          <w:rtl/>
          <w:lang w:bidi="ar-EG"/>
        </w:rPr>
        <w:t>لاستعراض</w:t>
      </w:r>
      <w:r>
        <w:rPr>
          <w:rFonts w:hint="cs"/>
          <w:rtl/>
          <w:lang w:bidi="ar-EG"/>
        </w:rPr>
        <w:t xml:space="preserve"> معايير الويبو التالية المتعلقة بنشر المعلومات عن حقوق الملكية الفكرية </w:t>
      </w:r>
      <w:r>
        <w:rPr>
          <w:rFonts w:hint="cs"/>
          <w:rtl/>
          <w:lang w:bidi="ar-EG"/>
        </w:rPr>
        <w:lastRenderedPageBreak/>
        <w:t xml:space="preserve">والأحداث المتعلقة بالوضع القانوني: </w:t>
      </w:r>
      <w:r>
        <w:rPr>
          <w:lang w:bidi="ar-EG"/>
        </w:rPr>
        <w:t>ST.6</w:t>
      </w:r>
      <w:r>
        <w:rPr>
          <w:rFonts w:hint="cs"/>
          <w:rtl/>
          <w:lang w:bidi="ar-EG"/>
        </w:rPr>
        <w:t xml:space="preserve"> و</w:t>
      </w:r>
      <w:r>
        <w:rPr>
          <w:lang w:bidi="ar-EG"/>
        </w:rPr>
        <w:t>ST.8</w:t>
      </w:r>
      <w:r>
        <w:rPr>
          <w:rFonts w:hint="cs"/>
          <w:rtl/>
          <w:lang w:bidi="ar-EG"/>
        </w:rPr>
        <w:t xml:space="preserve"> و</w:t>
      </w:r>
      <w:r>
        <w:rPr>
          <w:lang w:bidi="ar-EG"/>
        </w:rPr>
        <w:t>ST.10</w:t>
      </w:r>
      <w:r>
        <w:rPr>
          <w:rFonts w:hint="cs"/>
          <w:rtl/>
          <w:lang w:bidi="ar-EG"/>
        </w:rPr>
        <w:t xml:space="preserve"> و</w:t>
      </w:r>
      <w:r>
        <w:rPr>
          <w:lang w:bidi="ar-EG"/>
        </w:rPr>
        <w:t>ST.11</w:t>
      </w:r>
      <w:r>
        <w:rPr>
          <w:rFonts w:hint="cs"/>
          <w:rtl/>
          <w:lang w:bidi="ar-EG"/>
        </w:rPr>
        <w:t xml:space="preserve"> و</w:t>
      </w:r>
      <w:r>
        <w:rPr>
          <w:lang w:bidi="ar-EG"/>
        </w:rPr>
        <w:t>ST.15</w:t>
      </w:r>
      <w:r>
        <w:rPr>
          <w:rFonts w:hint="cs"/>
          <w:rtl/>
          <w:lang w:bidi="ar-EG"/>
        </w:rPr>
        <w:t xml:space="preserve"> و</w:t>
      </w:r>
      <w:r>
        <w:rPr>
          <w:lang w:bidi="ar-EG"/>
        </w:rPr>
        <w:t>ST.17</w:t>
      </w:r>
      <w:r>
        <w:rPr>
          <w:rFonts w:hint="cs"/>
          <w:rtl/>
          <w:lang w:bidi="ar-EG"/>
        </w:rPr>
        <w:t xml:space="preserve"> و</w:t>
      </w:r>
      <w:r>
        <w:rPr>
          <w:lang w:bidi="ar-EG"/>
        </w:rPr>
        <w:t>ST.18</w:t>
      </w:r>
      <w:r>
        <w:rPr>
          <w:rFonts w:hint="cs"/>
          <w:rtl/>
          <w:lang w:bidi="ar-EG"/>
        </w:rPr>
        <w:t xml:space="preserve"> و</w:t>
      </w:r>
      <w:r>
        <w:rPr>
          <w:lang w:bidi="ar-EG"/>
        </w:rPr>
        <w:t>ST.63</w:t>
      </w:r>
      <w:r>
        <w:rPr>
          <w:rFonts w:hint="cs"/>
          <w:rtl/>
          <w:lang w:bidi="ar-EG"/>
        </w:rPr>
        <w:t xml:space="preserve"> و</w:t>
      </w:r>
      <w:r>
        <w:rPr>
          <w:lang w:bidi="ar-EG"/>
        </w:rPr>
        <w:t>ST.81</w:t>
      </w:r>
      <w:r>
        <w:rPr>
          <w:rFonts w:hint="cs"/>
          <w:rtl/>
          <w:lang w:bidi="ar-EG"/>
        </w:rPr>
        <w:t>؛</w:t>
      </w:r>
    </w:p>
    <w:p w:rsidR="00061893" w:rsidRDefault="00061893" w:rsidP="003A2FE7">
      <w:pPr>
        <w:pStyle w:val="ONUMA"/>
        <w:numPr>
          <w:ilvl w:val="2"/>
          <w:numId w:val="24"/>
        </w:numPr>
        <w:ind w:hanging="567"/>
      </w:pPr>
      <w:r>
        <w:rPr>
          <w:rFonts w:hint="cs"/>
          <w:rtl/>
        </w:rPr>
        <w:t xml:space="preserve">وتوسيع نطاق معيار الويبو </w:t>
      </w:r>
      <w:r>
        <w:t>ST.96</w:t>
      </w:r>
      <w:r>
        <w:rPr>
          <w:rFonts w:hint="cs"/>
          <w:rtl/>
          <w:lang w:bidi="ar-EG"/>
        </w:rPr>
        <w:t xml:space="preserve"> بإضافة نموذج (تحويل لغة </w:t>
      </w:r>
      <w:r w:rsidRPr="00061893">
        <w:rPr>
          <w:rtl/>
          <w:lang w:bidi="ar-EG"/>
        </w:rPr>
        <w:t>صفحات الأنماط الموسعة</w:t>
      </w:r>
      <w:r>
        <w:rPr>
          <w:rFonts w:hint="cs"/>
          <w:rtl/>
          <w:lang w:bidi="ar-EG"/>
        </w:rPr>
        <w:t xml:space="preserve"> (</w:t>
      </w:r>
      <w:r>
        <w:rPr>
          <w:lang w:bidi="ar-EG"/>
        </w:rPr>
        <w:t>XSLT</w:t>
      </w:r>
      <w:r>
        <w:rPr>
          <w:rFonts w:hint="cs"/>
          <w:rtl/>
          <w:lang w:bidi="ar-EG"/>
        </w:rPr>
        <w:t>)) لمعالجة البيانات الواردة بلغة</w:t>
      </w:r>
      <w:r w:rsidR="003A2FE7">
        <w:rPr>
          <w:rFonts w:hint="cs"/>
          <w:rtl/>
          <w:lang w:bidi="ar-EG"/>
        </w:rPr>
        <w:t xml:space="preserve"> الرموز الموسعة (</w:t>
      </w:r>
      <w:r>
        <w:rPr>
          <w:lang w:bidi="ar-EG"/>
        </w:rPr>
        <w:t>XML</w:t>
      </w:r>
      <w:r w:rsidR="003A2FE7">
        <w:rPr>
          <w:rFonts w:hint="cs"/>
          <w:rtl/>
          <w:lang w:bidi="ar-EG"/>
        </w:rPr>
        <w:t>)</w:t>
      </w:r>
      <w:r>
        <w:rPr>
          <w:rFonts w:hint="cs"/>
          <w:rtl/>
          <w:lang w:bidi="ar-EG"/>
        </w:rPr>
        <w:t xml:space="preserve"> بطريقة موحدة أكثر.</w:t>
      </w:r>
    </w:p>
    <w:p w:rsidR="00061893" w:rsidRDefault="00061893" w:rsidP="003A2FE7">
      <w:pPr>
        <w:pStyle w:val="ONUMA"/>
      </w:pPr>
      <w:r>
        <w:rPr>
          <w:rFonts w:hint="cs"/>
          <w:rtl/>
        </w:rPr>
        <w:t xml:space="preserve">ووفقاً للردود على الاستبيان بشأن استخدام معايير الويبو، </w:t>
      </w:r>
      <w:r>
        <w:rPr>
          <w:rtl/>
        </w:rPr>
        <w:t>أفادت مكاتب الملكية الفكرية</w:t>
      </w:r>
      <w:r>
        <w:rPr>
          <w:rFonts w:hint="cs"/>
          <w:rtl/>
        </w:rPr>
        <w:t xml:space="preserve"> بأنها لا تستخدم بعض معايير الويبو لأن التوصيات المدرجة في تلك المعايير أصبحت متقادمة. ولذلك، قررت لجنة المعايير، في دورتها الخامسة، حفظ عدد من معايير الويبو (انظر الفقرات 13 إلى 18 من الوثيقة </w:t>
      </w:r>
      <w:r>
        <w:t>CWS/5/22</w:t>
      </w:r>
      <w:r>
        <w:rPr>
          <w:rFonts w:hint="cs"/>
          <w:rtl/>
          <w:lang w:bidi="ar-EG"/>
        </w:rPr>
        <w:t>).</w:t>
      </w:r>
    </w:p>
    <w:p w:rsidR="00061893" w:rsidRDefault="00C360FF" w:rsidP="00061893">
      <w:pPr>
        <w:pStyle w:val="ONUMA"/>
      </w:pPr>
      <w:r>
        <w:rPr>
          <w:rFonts w:hint="cs"/>
          <w:rtl/>
        </w:rPr>
        <w:t xml:space="preserve">وتبادل أعضاء فرقة عمل </w:t>
      </w:r>
      <w:r>
        <w:t>XML4IP</w:t>
      </w:r>
      <w:r>
        <w:rPr>
          <w:rFonts w:hint="cs"/>
          <w:rtl/>
          <w:lang w:bidi="ar-EG"/>
        </w:rPr>
        <w:t xml:space="preserve"> تجاربهم وخبراتهم خلال الاجتماع المعقود في موسكو خلال شهر مايو 2018 بشأن تصوير بيانات المعيار </w:t>
      </w:r>
      <w:r>
        <w:rPr>
          <w:lang w:bidi="ar-EG"/>
        </w:rPr>
        <w:t>ST.96</w:t>
      </w:r>
      <w:r>
        <w:rPr>
          <w:rFonts w:hint="cs"/>
          <w:rtl/>
          <w:lang w:bidi="ar-EG"/>
        </w:rPr>
        <w:t xml:space="preserve"> لأغراض النشر.</w:t>
      </w:r>
    </w:p>
    <w:p w:rsidR="00C360FF" w:rsidRDefault="00C360FF" w:rsidP="00C360FF">
      <w:pPr>
        <w:pStyle w:val="Decision"/>
      </w:pPr>
      <w:r>
        <w:rPr>
          <w:rFonts w:hint="cs"/>
          <w:rtl/>
          <w:lang w:bidi="ar-EG"/>
        </w:rPr>
        <w:t>إن لجنة المعايير مدعوة إلى القيام بما يلي:</w:t>
      </w:r>
    </w:p>
    <w:p w:rsidR="00C360FF" w:rsidRPr="00C360FF" w:rsidRDefault="00C360FF" w:rsidP="00C360FF">
      <w:pPr>
        <w:pStyle w:val="ONUMA"/>
        <w:numPr>
          <w:ilvl w:val="2"/>
          <w:numId w:val="24"/>
        </w:numPr>
        <w:ind w:left="5534" w:firstLine="567"/>
        <w:rPr>
          <w:i/>
          <w:iCs/>
        </w:rPr>
      </w:pPr>
      <w:r w:rsidRPr="00C360FF">
        <w:rPr>
          <w:i/>
          <w:iCs/>
          <w:rtl/>
          <w:lang w:bidi="ar-EG"/>
        </w:rPr>
        <w:t xml:space="preserve">أن تحيط علماً بمضمون </w:t>
      </w:r>
      <w:r w:rsidRPr="00C360FF">
        <w:rPr>
          <w:rFonts w:hint="cs"/>
          <w:i/>
          <w:iCs/>
          <w:rtl/>
          <w:lang w:bidi="ar-EG"/>
        </w:rPr>
        <w:t>اقتراح وفد الاتحاد الروسي</w:t>
      </w:r>
      <w:r w:rsidRPr="00C360FF">
        <w:rPr>
          <w:i/>
          <w:iCs/>
          <w:rtl/>
          <w:lang w:bidi="ar-EG"/>
        </w:rPr>
        <w:t>، كما يرد في مرفق هذه الوثيقة؛</w:t>
      </w:r>
    </w:p>
    <w:p w:rsidR="00C360FF" w:rsidRPr="00C360FF" w:rsidRDefault="00C360FF" w:rsidP="00C360FF">
      <w:pPr>
        <w:pStyle w:val="ONUMA"/>
        <w:numPr>
          <w:ilvl w:val="2"/>
          <w:numId w:val="24"/>
        </w:numPr>
        <w:ind w:left="5534" w:firstLine="567"/>
        <w:rPr>
          <w:i/>
          <w:iCs/>
          <w:rtl/>
        </w:rPr>
      </w:pPr>
      <w:r w:rsidRPr="00C360FF">
        <w:rPr>
          <w:i/>
          <w:iCs/>
          <w:rtl/>
          <w:lang w:bidi="ar-EG"/>
        </w:rPr>
        <w:lastRenderedPageBreak/>
        <w:t>وأن تنظر في إنشاء مهمة وصفها "</w:t>
      </w:r>
      <w:r w:rsidRPr="00C360FF">
        <w:rPr>
          <w:rFonts w:hint="cs"/>
          <w:i/>
          <w:iCs/>
          <w:rtl/>
          <w:lang w:bidi="ar-EG"/>
        </w:rPr>
        <w:t xml:space="preserve">استعراض معايير الويبو </w:t>
      </w:r>
      <w:r w:rsidRPr="00C360FF">
        <w:rPr>
          <w:i/>
          <w:iCs/>
          <w:lang w:bidi="ar-EG"/>
        </w:rPr>
        <w:t>ST.6</w:t>
      </w:r>
      <w:r w:rsidRPr="00C360FF">
        <w:rPr>
          <w:i/>
          <w:iCs/>
          <w:rtl/>
          <w:lang w:bidi="ar-EG"/>
        </w:rPr>
        <w:t xml:space="preserve"> و</w:t>
      </w:r>
      <w:r w:rsidRPr="00C360FF">
        <w:rPr>
          <w:i/>
          <w:iCs/>
          <w:lang w:bidi="ar-EG"/>
        </w:rPr>
        <w:t>ST.8</w:t>
      </w:r>
      <w:r w:rsidRPr="00C360FF">
        <w:rPr>
          <w:i/>
          <w:iCs/>
          <w:rtl/>
          <w:lang w:bidi="ar-EG"/>
        </w:rPr>
        <w:t xml:space="preserve"> و</w:t>
      </w:r>
      <w:r w:rsidRPr="00C360FF">
        <w:rPr>
          <w:i/>
          <w:iCs/>
          <w:lang w:bidi="ar-EG"/>
        </w:rPr>
        <w:t>ST.10</w:t>
      </w:r>
      <w:r w:rsidRPr="00C360FF">
        <w:rPr>
          <w:i/>
          <w:iCs/>
          <w:rtl/>
          <w:lang w:bidi="ar-EG"/>
        </w:rPr>
        <w:t xml:space="preserve"> و</w:t>
      </w:r>
      <w:r w:rsidRPr="00C360FF">
        <w:rPr>
          <w:i/>
          <w:iCs/>
          <w:lang w:bidi="ar-EG"/>
        </w:rPr>
        <w:t>ST.11</w:t>
      </w:r>
      <w:r w:rsidRPr="00C360FF">
        <w:rPr>
          <w:i/>
          <w:iCs/>
          <w:rtl/>
          <w:lang w:bidi="ar-EG"/>
        </w:rPr>
        <w:t xml:space="preserve"> و</w:t>
      </w:r>
      <w:r w:rsidRPr="00C360FF">
        <w:rPr>
          <w:i/>
          <w:iCs/>
          <w:lang w:bidi="ar-EG"/>
        </w:rPr>
        <w:t>ST.15</w:t>
      </w:r>
      <w:r w:rsidRPr="00C360FF">
        <w:rPr>
          <w:i/>
          <w:iCs/>
          <w:rtl/>
          <w:lang w:bidi="ar-EG"/>
        </w:rPr>
        <w:t xml:space="preserve"> و</w:t>
      </w:r>
      <w:r w:rsidRPr="00C360FF">
        <w:rPr>
          <w:i/>
          <w:iCs/>
          <w:lang w:bidi="ar-EG"/>
        </w:rPr>
        <w:t>ST.17</w:t>
      </w:r>
      <w:r w:rsidRPr="00C360FF">
        <w:rPr>
          <w:i/>
          <w:iCs/>
          <w:rtl/>
          <w:lang w:bidi="ar-EG"/>
        </w:rPr>
        <w:t xml:space="preserve"> و</w:t>
      </w:r>
      <w:r w:rsidRPr="00C360FF">
        <w:rPr>
          <w:i/>
          <w:iCs/>
          <w:lang w:bidi="ar-EG"/>
        </w:rPr>
        <w:t>ST.18</w:t>
      </w:r>
      <w:r w:rsidRPr="00C360FF">
        <w:rPr>
          <w:i/>
          <w:iCs/>
          <w:rtl/>
          <w:lang w:bidi="ar-EG"/>
        </w:rPr>
        <w:t xml:space="preserve"> و</w:t>
      </w:r>
      <w:r w:rsidRPr="00C360FF">
        <w:rPr>
          <w:i/>
          <w:iCs/>
          <w:lang w:bidi="ar-EG"/>
        </w:rPr>
        <w:t>ST.63</w:t>
      </w:r>
      <w:r w:rsidRPr="00C360FF">
        <w:rPr>
          <w:i/>
          <w:iCs/>
          <w:rtl/>
          <w:lang w:bidi="ar-EG"/>
        </w:rPr>
        <w:t xml:space="preserve"> و</w:t>
      </w:r>
      <w:r w:rsidRPr="00C360FF">
        <w:rPr>
          <w:i/>
          <w:iCs/>
          <w:lang w:bidi="ar-EG"/>
        </w:rPr>
        <w:t>ST.81</w:t>
      </w:r>
      <w:r w:rsidRPr="00C360FF">
        <w:rPr>
          <w:rFonts w:hint="cs"/>
          <w:i/>
          <w:iCs/>
          <w:rtl/>
          <w:lang w:bidi="ar-EG"/>
        </w:rPr>
        <w:t xml:space="preserve"> لأغراض النشر الإلكتروني لوثائق الملكية الفكرية، واقتراح تعديلات على تلك المعايير عند الاقتضاء</w:t>
      </w:r>
      <w:r w:rsidRPr="00C360FF">
        <w:rPr>
          <w:i/>
          <w:iCs/>
          <w:rtl/>
          <w:lang w:bidi="ar-EG"/>
        </w:rPr>
        <w:t>"</w:t>
      </w:r>
      <w:r w:rsidRPr="00C360FF">
        <w:rPr>
          <w:rFonts w:hint="cs"/>
          <w:i/>
          <w:iCs/>
          <w:rtl/>
          <w:lang w:bidi="ar-EG"/>
        </w:rPr>
        <w:t>، وفقاً لما ورد في الفقرة 2 من هذه الوثيقة ومرفق هذه الوثيقة؛</w:t>
      </w:r>
    </w:p>
    <w:p w:rsidR="00C360FF" w:rsidRPr="00C360FF" w:rsidRDefault="00C360FF" w:rsidP="00C360FF">
      <w:pPr>
        <w:pStyle w:val="ONUMA"/>
        <w:numPr>
          <w:ilvl w:val="2"/>
          <w:numId w:val="24"/>
        </w:numPr>
        <w:ind w:left="5534" w:firstLine="567"/>
        <w:rPr>
          <w:i/>
          <w:iCs/>
          <w:rtl/>
        </w:rPr>
      </w:pPr>
      <w:r w:rsidRPr="00C360FF">
        <w:rPr>
          <w:i/>
          <w:iCs/>
          <w:rtl/>
          <w:lang w:bidi="ar-EG"/>
        </w:rPr>
        <w:t>وأن تنشئ فرقة العمل المعنية وتعيِّن مشرفاً عليها؛</w:t>
      </w:r>
    </w:p>
    <w:p w:rsidR="00C360FF" w:rsidRPr="00C360FF" w:rsidRDefault="00C360FF" w:rsidP="00C360FF">
      <w:pPr>
        <w:pStyle w:val="ONUMA"/>
        <w:numPr>
          <w:ilvl w:val="2"/>
          <w:numId w:val="24"/>
        </w:numPr>
        <w:ind w:left="5534" w:firstLine="567"/>
        <w:rPr>
          <w:i/>
          <w:iCs/>
          <w:rtl/>
        </w:rPr>
      </w:pPr>
      <w:r w:rsidRPr="00C360FF">
        <w:rPr>
          <w:i/>
          <w:iCs/>
          <w:rtl/>
          <w:lang w:bidi="ar-EG"/>
        </w:rPr>
        <w:t>وأن تطلب من الأمانة إصدار تعميم تدعو فيه مكاتب الملكية الفكرية إلى ترشيح خبرائها إلى فرقة العمل؛</w:t>
      </w:r>
    </w:p>
    <w:p w:rsidR="00C41AE0" w:rsidRPr="00C360FF" w:rsidRDefault="00C360FF" w:rsidP="00C360FF">
      <w:pPr>
        <w:pStyle w:val="ONUMA"/>
        <w:numPr>
          <w:ilvl w:val="2"/>
          <w:numId w:val="24"/>
        </w:numPr>
        <w:ind w:left="5534" w:firstLine="567"/>
        <w:rPr>
          <w:i/>
          <w:iCs/>
        </w:rPr>
      </w:pPr>
      <w:r w:rsidRPr="00C360FF">
        <w:rPr>
          <w:i/>
          <w:iCs/>
          <w:rtl/>
          <w:lang w:bidi="ar-EG"/>
        </w:rPr>
        <w:t xml:space="preserve">وأن تطلب من فرقة العمل موافاتها، إبّان دورتها السابعة، </w:t>
      </w:r>
      <w:r w:rsidRPr="00C360FF">
        <w:rPr>
          <w:i/>
          <w:iCs/>
          <w:rtl/>
          <w:lang w:bidi="ar-EG"/>
        </w:rPr>
        <w:lastRenderedPageBreak/>
        <w:t>بتقرير عن التقدم المحرز في هذا الشأن</w:t>
      </w:r>
      <w:r w:rsidRPr="00C360FF">
        <w:rPr>
          <w:rFonts w:hint="cs"/>
          <w:i/>
          <w:iCs/>
          <w:rtl/>
          <w:lang w:bidi="ar-EG"/>
        </w:rPr>
        <w:t>؛</w:t>
      </w:r>
    </w:p>
    <w:p w:rsidR="00C360FF" w:rsidRPr="003A2FE7" w:rsidRDefault="00C360FF" w:rsidP="00C360FF">
      <w:pPr>
        <w:pStyle w:val="ONUMA"/>
        <w:numPr>
          <w:ilvl w:val="2"/>
          <w:numId w:val="24"/>
        </w:numPr>
        <w:ind w:left="5534" w:firstLine="567"/>
        <w:rPr>
          <w:i/>
          <w:iCs/>
          <w:rtl/>
        </w:rPr>
      </w:pPr>
      <w:r w:rsidRPr="003A2FE7">
        <w:rPr>
          <w:rFonts w:hint="cs"/>
          <w:i/>
          <w:iCs/>
          <w:rtl/>
        </w:rPr>
        <w:t>وأن تنظر في مزايا وضرورة إضافة نموذج تحويل لغة صفحات الأنماط الموسعة (</w:t>
      </w:r>
      <w:r w:rsidRPr="003A2FE7">
        <w:rPr>
          <w:i/>
          <w:iCs/>
        </w:rPr>
        <w:t>XSLT</w:t>
      </w:r>
      <w:r w:rsidRPr="003A2FE7">
        <w:rPr>
          <w:rFonts w:hint="cs"/>
          <w:i/>
          <w:iCs/>
          <w:rtl/>
          <w:lang w:bidi="ar-EG"/>
        </w:rPr>
        <w:t xml:space="preserve">) إلى معيار الويبو </w:t>
      </w:r>
      <w:r w:rsidRPr="003A2FE7">
        <w:rPr>
          <w:i/>
          <w:iCs/>
          <w:lang w:bidi="ar-EG"/>
        </w:rPr>
        <w:t>ST.96</w:t>
      </w:r>
      <w:r w:rsidRPr="003A2FE7">
        <w:rPr>
          <w:rFonts w:hint="cs"/>
          <w:i/>
          <w:iCs/>
          <w:rtl/>
          <w:lang w:bidi="ar-EG"/>
        </w:rPr>
        <w:t xml:space="preserve">، وأن تطلب من فرقة عمل </w:t>
      </w:r>
      <w:r w:rsidRPr="003A2FE7">
        <w:rPr>
          <w:i/>
          <w:iCs/>
          <w:lang w:bidi="ar-EG"/>
        </w:rPr>
        <w:t>XML4IP</w:t>
      </w:r>
      <w:r w:rsidRPr="003A2FE7">
        <w:rPr>
          <w:rFonts w:hint="cs"/>
          <w:i/>
          <w:iCs/>
          <w:rtl/>
          <w:lang w:bidi="ar-EG"/>
        </w:rPr>
        <w:t xml:space="preserve"> أن تضع نماذج لتحويل لغة صفحات الأنماط الموسعة وتدمجها في المعيار </w:t>
      </w:r>
      <w:r w:rsidRPr="003A2FE7">
        <w:rPr>
          <w:i/>
          <w:iCs/>
          <w:lang w:bidi="ar-EG"/>
        </w:rPr>
        <w:t>ST.96</w:t>
      </w:r>
      <w:r w:rsidRPr="003A2FE7">
        <w:rPr>
          <w:rFonts w:hint="cs"/>
          <w:i/>
          <w:iCs/>
          <w:rtl/>
          <w:lang w:bidi="ar-EG"/>
        </w:rPr>
        <w:t>، وفقاً لما ورد في الفقرة 4 من هذه</w:t>
      </w:r>
      <w:r w:rsidRPr="003A2FE7">
        <w:rPr>
          <w:rFonts w:hint="eastAsia"/>
          <w:i/>
          <w:iCs/>
          <w:rtl/>
          <w:lang w:bidi="ar-EG"/>
        </w:rPr>
        <w:t> </w:t>
      </w:r>
      <w:r w:rsidRPr="003A2FE7">
        <w:rPr>
          <w:rFonts w:hint="cs"/>
          <w:i/>
          <w:iCs/>
          <w:rtl/>
          <w:lang w:bidi="ar-EG"/>
        </w:rPr>
        <w:t>الوثيقة.</w:t>
      </w:r>
    </w:p>
    <w:p w:rsidR="00D161F0" w:rsidRDefault="00C360FF" w:rsidP="00DD3A88">
      <w:pPr>
        <w:pStyle w:val="Endofdocument-Annex"/>
        <w:spacing w:before="160"/>
        <w:rPr>
          <w:rtl/>
        </w:rPr>
      </w:pPr>
      <w:r>
        <w:rPr>
          <w:rFonts w:hint="cs"/>
          <w:rtl/>
        </w:rPr>
        <w:t>[يلي ذلك المرفق]</w:t>
      </w:r>
    </w:p>
    <w:sectPr w:rsidR="00D161F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CF8" w:rsidRDefault="008E6CF8">
      <w:r>
        <w:separator/>
      </w:r>
    </w:p>
  </w:endnote>
  <w:endnote w:type="continuationSeparator" w:id="0">
    <w:p w:rsidR="008E6CF8" w:rsidRDefault="008E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CF8" w:rsidRDefault="008E6CF8" w:rsidP="009622BF">
      <w:bookmarkStart w:id="0" w:name="OLE_LINK1"/>
      <w:bookmarkStart w:id="1" w:name="OLE_LINK2"/>
      <w:r>
        <w:separator/>
      </w:r>
      <w:bookmarkEnd w:id="0"/>
      <w:bookmarkEnd w:id="1"/>
    </w:p>
  </w:footnote>
  <w:footnote w:type="continuationSeparator" w:id="0">
    <w:p w:rsidR="008E6CF8" w:rsidRDefault="008E6CF8"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A88" w:rsidRDefault="00DD3A88" w:rsidP="00DD3A88">
    <w:pPr>
      <w:bidi w:val="0"/>
      <w:rPr>
        <w:rFonts w:ascii="Arial" w:hAnsi="Arial" w:cs="Arial"/>
        <w:sz w:val="22"/>
        <w:szCs w:val="22"/>
      </w:rPr>
    </w:pPr>
    <w:bookmarkStart w:id="4" w:name="Code3"/>
    <w:bookmarkEnd w:id="4"/>
    <w:r>
      <w:rPr>
        <w:rFonts w:ascii="Arial" w:hAnsi="Arial" w:cs="Arial"/>
        <w:sz w:val="22"/>
        <w:szCs w:val="22"/>
      </w:rPr>
      <w:t>CWS/6/23</w:t>
    </w:r>
  </w:p>
  <w:p w:rsidR="00DD3A88" w:rsidRPr="00C50A61" w:rsidRDefault="00DD3A88" w:rsidP="00DD3A8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20873">
      <w:rPr>
        <w:rFonts w:ascii="Arial" w:hAnsi="Arial" w:cs="Arial"/>
        <w:noProof/>
        <w:sz w:val="22"/>
        <w:szCs w:val="22"/>
        <w:lang w:bidi="ar-EG"/>
      </w:rPr>
      <w:t>2</w:t>
    </w:r>
    <w:r w:rsidRPr="00C50A61">
      <w:rPr>
        <w:rFonts w:ascii="Arial" w:hAnsi="Arial" w:cs="Arial"/>
        <w:sz w:val="22"/>
        <w:szCs w:val="22"/>
      </w:rPr>
      <w:fldChar w:fldCharType="end"/>
    </w:r>
  </w:p>
  <w:p w:rsidR="00DD3A88" w:rsidRPr="00C50A61" w:rsidRDefault="00DD3A88" w:rsidP="00DD3A88">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016279D6"/>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hint="default"/>
        <w:i w:val="0"/>
        <w:iCs w:val="0"/>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D161F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893"/>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C8A"/>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B25"/>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8E7"/>
    <w:rsid w:val="00395987"/>
    <w:rsid w:val="00396375"/>
    <w:rsid w:val="00396801"/>
    <w:rsid w:val="00396E82"/>
    <w:rsid w:val="003A07FF"/>
    <w:rsid w:val="003A0DEF"/>
    <w:rsid w:val="003A146E"/>
    <w:rsid w:val="003A26CD"/>
    <w:rsid w:val="003A2FE7"/>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0F63"/>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CF8"/>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0873"/>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254"/>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0FF"/>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22E7"/>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1F0"/>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3A88"/>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4F7E30D-97F0-47A3-84A1-3875072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ONUME">
    <w:name w:val="ONUM E"/>
    <w:basedOn w:val="BodyText"/>
    <w:link w:val="ONUMEChar"/>
    <w:rsid w:val="00D161F0"/>
    <w:pPr>
      <w:tabs>
        <w:tab w:val="num" w:pos="567"/>
      </w:tabs>
      <w:bidi w:val="0"/>
      <w:spacing w:before="0" w:after="220"/>
    </w:pPr>
    <w:rPr>
      <w:rFonts w:ascii="Arial" w:eastAsia="SimSun" w:hAnsi="Arial" w:cs="Arial"/>
      <w:sz w:val="22"/>
      <w:szCs w:val="20"/>
      <w:lang w:eastAsia="zh-CN" w:bidi="ar-SA"/>
    </w:rPr>
  </w:style>
  <w:style w:type="paragraph" w:styleId="NoSpacing">
    <w:name w:val="No Spacing"/>
    <w:uiPriority w:val="1"/>
    <w:qFormat/>
    <w:rsid w:val="00D161F0"/>
    <w:rPr>
      <w:rFonts w:asciiTheme="minorHAnsi" w:eastAsiaTheme="minorHAnsi" w:hAnsiTheme="minorHAnsi" w:cstheme="minorBidi"/>
      <w:sz w:val="22"/>
      <w:szCs w:val="22"/>
      <w:lang w:val="ru-RU"/>
    </w:rPr>
  </w:style>
  <w:style w:type="character" w:customStyle="1" w:styleId="ONUMEChar">
    <w:name w:val="ONUM E Char"/>
    <w:link w:val="ONUME"/>
    <w:rsid w:val="00D161F0"/>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2C25-2B4A-47E6-AB42-4EAED72A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CWS/6/23 (in Arabic)</vt:lpstr>
    </vt:vector>
  </TitlesOfParts>
  <Company>WIPO</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CWS/6/23 (in Arabic)</dc:title>
  <dc:subject>اقتراح إنشاء مهمة لتحديث معايير الويبو القائمة بشأن نشر المعلومات عن حقوق الملكية الفكرية والأحداث المتعلقة بالوضع القانوني</dc:subject>
  <dc:creator>WIPO</dc:creator>
  <cp:keywords>CWS</cp:keywords>
  <cp:lastModifiedBy>DRAKE Sophie</cp:lastModifiedBy>
  <cp:revision>11</cp:revision>
  <cp:lastPrinted>2018-06-12T09:05:00Z</cp:lastPrinted>
  <dcterms:created xsi:type="dcterms:W3CDTF">2018-09-17T12:14:00Z</dcterms:created>
  <dcterms:modified xsi:type="dcterms:W3CDTF">2018-09-24T08:32:00Z</dcterms:modified>
  <cp:category>CWSC (in Arabic)</cp:category>
</cp:coreProperties>
</file>