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E0" w:rsidRDefault="00074456" w:rsidP="00074456">
      <w:pPr>
        <w:pStyle w:val="Heading1"/>
        <w:rPr>
          <w:rtl/>
        </w:rPr>
      </w:pPr>
      <w:bookmarkStart w:id="2" w:name="_GoBack"/>
      <w:bookmarkEnd w:id="2"/>
      <w:r>
        <w:rPr>
          <w:rFonts w:hint="cs"/>
          <w:rtl/>
        </w:rPr>
        <w:t xml:space="preserve">اقتراح لمراجعة معيار الويبو </w:t>
      </w:r>
      <w:r w:rsidRPr="00074456">
        <w:t>ST.60</w:t>
      </w:r>
    </w:p>
    <w:p w:rsidR="000D7E81" w:rsidRPr="00074456" w:rsidRDefault="00074456" w:rsidP="000D7E81">
      <w:pPr>
        <w:pStyle w:val="BodyText"/>
        <w:rPr>
          <w:i/>
          <w:iCs/>
        </w:rPr>
      </w:pPr>
      <w:r w:rsidRPr="00074456">
        <w:rPr>
          <w:rFonts w:hint="cs"/>
          <w:i/>
          <w:iCs/>
          <w:rtl/>
        </w:rPr>
        <w:t>وثيقة من إعداد مكتب الاتحاد الأوروبي للملكية الفكرية</w:t>
      </w:r>
    </w:p>
    <w:p w:rsidR="009956FD" w:rsidRPr="000D7E81" w:rsidRDefault="00074456" w:rsidP="00074456">
      <w:pPr>
        <w:pStyle w:val="Heading2"/>
        <w:rPr>
          <w:rtl/>
        </w:rPr>
      </w:pPr>
      <w:r>
        <w:rPr>
          <w:rFonts w:hint="cs"/>
          <w:rtl/>
        </w:rPr>
        <w:t>معلومات أساسية</w:t>
      </w:r>
    </w:p>
    <w:p w:rsidR="00C50A61" w:rsidRPr="00074456" w:rsidRDefault="00074456" w:rsidP="00074456">
      <w:pPr>
        <w:pStyle w:val="ONUMA"/>
        <w:rPr>
          <w:rStyle w:val="Hyperlink"/>
          <w:color w:val="auto"/>
          <w:u w:val="none"/>
        </w:rPr>
      </w:pPr>
      <w:r w:rsidRPr="00074456">
        <w:rPr>
          <w:rFonts w:hint="cs"/>
          <w:rtl/>
        </w:rPr>
        <w:t xml:space="preserve">يشير هذا الاقتراح إلى </w:t>
      </w:r>
      <w:r w:rsidRPr="00074456">
        <w:rPr>
          <w:rtl/>
        </w:rPr>
        <w:t xml:space="preserve">معيار </w:t>
      </w:r>
      <w:r w:rsidRPr="00074456">
        <w:rPr>
          <w:rFonts w:hint="cs"/>
          <w:rtl/>
        </w:rPr>
        <w:t xml:space="preserve">الويبو </w:t>
      </w:r>
      <w:r w:rsidRPr="00074456">
        <w:t>ST.60</w:t>
      </w:r>
      <w:r w:rsidRPr="00074456">
        <w:rPr>
          <w:rtl/>
        </w:rPr>
        <w:t xml:space="preserve"> "التوصية بشأن البيانات الببليوغرافية المتعلقة بالعلامات"</w:t>
      </w:r>
      <w:r w:rsidRPr="00074456">
        <w:rPr>
          <w:rFonts w:hint="cs"/>
          <w:rtl/>
        </w:rPr>
        <w:t xml:space="preserve">، الذي يمكن الاطلاع عليه على الرابط: </w:t>
      </w:r>
      <w:hyperlink r:id="rId8" w:history="1">
        <w:r w:rsidRPr="00074456">
          <w:rPr>
            <w:rStyle w:val="Hyperlink"/>
            <w:color w:val="auto"/>
            <w:u w:val="none"/>
          </w:rPr>
          <w:t>http://www.wipo.int/export/sites/www/standards/en/pdf/03-60-01.pdf</w:t>
        </w:r>
      </w:hyperlink>
      <w:r w:rsidRPr="00074456">
        <w:rPr>
          <w:rStyle w:val="Hyperlink"/>
          <w:rFonts w:hint="cs"/>
          <w:color w:val="auto"/>
          <w:u w:val="none"/>
          <w:rtl/>
        </w:rPr>
        <w:t>.</w:t>
      </w:r>
    </w:p>
    <w:p w:rsidR="00464EEA" w:rsidRDefault="00464EEA" w:rsidP="00821578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يتعلق الاقتراح بتحديث </w:t>
      </w:r>
      <w:r w:rsidRPr="008A53CB">
        <w:rPr>
          <w:rtl/>
        </w:rPr>
        <w:t xml:space="preserve">الأرقام المتفق عليها دوليا في تحديد </w:t>
      </w:r>
      <w:r>
        <w:rPr>
          <w:rFonts w:hint="cs"/>
          <w:rtl/>
        </w:rPr>
        <w:t xml:space="preserve">رموز </w:t>
      </w:r>
      <w:r w:rsidRPr="008A53CB">
        <w:rPr>
          <w:rtl/>
        </w:rPr>
        <w:t>البيانات الببليوغرافية</w:t>
      </w:r>
      <w:r>
        <w:rPr>
          <w:rFonts w:hint="cs"/>
          <w:rtl/>
        </w:rPr>
        <w:t xml:space="preserve">، بهدف </w:t>
      </w:r>
      <w:r>
        <w:rPr>
          <w:rtl/>
        </w:rPr>
        <w:t>إظهار أنواع جديد</w:t>
      </w:r>
      <w:r w:rsidR="00821578">
        <w:rPr>
          <w:rtl/>
        </w:rPr>
        <w:t xml:space="preserve">ة من العلامات التجارية مع </w:t>
      </w:r>
      <w:r w:rsidR="00821578">
        <w:rPr>
          <w:rFonts w:hint="cs"/>
          <w:rtl/>
        </w:rPr>
        <w:t>ا</w:t>
      </w:r>
      <w:r>
        <w:rPr>
          <w:rtl/>
        </w:rPr>
        <w:t>قتر</w:t>
      </w:r>
      <w:r w:rsidR="00821578">
        <w:rPr>
          <w:rFonts w:hint="cs"/>
          <w:rtl/>
        </w:rPr>
        <w:t>ا</w:t>
      </w:r>
      <w:r>
        <w:rPr>
          <w:rtl/>
        </w:rPr>
        <w:t>حين</w:t>
      </w:r>
      <w:r w:rsidR="00821578">
        <w:rPr>
          <w:rFonts w:hint="cs"/>
          <w:rtl/>
        </w:rPr>
        <w:t xml:space="preserve"> وجيهين.</w:t>
      </w:r>
      <w:r w:rsidR="00821578">
        <w:rPr>
          <w:rtl/>
        </w:rPr>
        <w:t xml:space="preserve"> </w:t>
      </w:r>
      <w:r w:rsidR="00821578">
        <w:rPr>
          <w:rFonts w:hint="cs"/>
          <w:rtl/>
        </w:rPr>
        <w:t xml:space="preserve">ونقترح إمّا </w:t>
      </w:r>
      <w:r>
        <w:rPr>
          <w:rtl/>
        </w:rPr>
        <w:t>تحديث</w:t>
      </w:r>
      <w:r w:rsidR="00821578">
        <w:rPr>
          <w:rFonts w:hint="cs"/>
          <w:rtl/>
        </w:rPr>
        <w:t>ا</w:t>
      </w:r>
      <w:r>
        <w:rPr>
          <w:rtl/>
        </w:rPr>
        <w:t xml:space="preserve"> بسيط</w:t>
      </w:r>
      <w:r w:rsidR="00821578">
        <w:rPr>
          <w:rFonts w:hint="cs"/>
          <w:rtl/>
        </w:rPr>
        <w:t>ا</w:t>
      </w:r>
      <w:r>
        <w:rPr>
          <w:rtl/>
        </w:rPr>
        <w:t xml:space="preserve"> </w:t>
      </w:r>
      <w:r w:rsidR="00821578">
        <w:rPr>
          <w:rFonts w:hint="cs"/>
          <w:rtl/>
        </w:rPr>
        <w:t>(</w:t>
      </w:r>
      <w:r w:rsidR="00821578">
        <w:rPr>
          <w:rtl/>
        </w:rPr>
        <w:t xml:space="preserve">تعديل </w:t>
      </w:r>
      <w:r w:rsidR="00821578">
        <w:rPr>
          <w:rFonts w:hint="cs"/>
          <w:rtl/>
        </w:rPr>
        <w:t>رمز</w:t>
      </w:r>
      <w:r w:rsidR="00821578">
        <w:rPr>
          <w:rtl/>
        </w:rPr>
        <w:t xml:space="preserve"> وإضافة رمز جديد</w:t>
      </w:r>
      <w:r w:rsidR="00821578">
        <w:rPr>
          <w:rFonts w:hint="cs"/>
          <w:rtl/>
        </w:rPr>
        <w:t xml:space="preserve">) </w:t>
      </w:r>
      <w:r>
        <w:rPr>
          <w:rtl/>
        </w:rPr>
        <w:t>أو تغيير</w:t>
      </w:r>
      <w:r w:rsidR="00821578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>فص</w:t>
      </w:r>
      <w:r>
        <w:rPr>
          <w:rFonts w:hint="cs"/>
          <w:rtl/>
        </w:rPr>
        <w:t>ّ</w:t>
      </w:r>
      <w:r>
        <w:rPr>
          <w:rtl/>
        </w:rPr>
        <w:t>ل</w:t>
      </w:r>
      <w:r w:rsidR="00821578">
        <w:rPr>
          <w:rFonts w:hint="cs"/>
          <w:rtl/>
        </w:rPr>
        <w:t>ا</w:t>
      </w:r>
      <w:r>
        <w:rPr>
          <w:rtl/>
        </w:rPr>
        <w:t>.</w:t>
      </w:r>
    </w:p>
    <w:p w:rsidR="00074456" w:rsidRDefault="00821578" w:rsidP="00821578">
      <w:pPr>
        <w:pStyle w:val="Heading2"/>
        <w:rPr>
          <w:rtl/>
        </w:rPr>
      </w:pPr>
      <w:r>
        <w:rPr>
          <w:rFonts w:hint="cs"/>
          <w:rtl/>
        </w:rPr>
        <w:t>أنواع جديد من العلامات</w:t>
      </w:r>
    </w:p>
    <w:p w:rsidR="00821578" w:rsidRDefault="00821578" w:rsidP="00821578">
      <w:pPr>
        <w:pStyle w:val="Heading3"/>
        <w:rPr>
          <w:rtl/>
        </w:rPr>
      </w:pPr>
      <w:r>
        <w:rPr>
          <w:rFonts w:hint="cs"/>
          <w:rtl/>
        </w:rPr>
        <w:t>اقتراح مبسّط</w:t>
      </w:r>
    </w:p>
    <w:p w:rsidR="009A1BAE" w:rsidRDefault="00821578" w:rsidP="00B47C8F">
      <w:pPr>
        <w:pStyle w:val="ONUMA"/>
      </w:pPr>
      <w:r w:rsidRPr="00821578">
        <w:rPr>
          <w:rtl/>
        </w:rPr>
        <w:t>بعد المرحلة الثانية من الإصلاح التشريعي ل</w:t>
      </w:r>
      <w:r w:rsidR="00F630D2">
        <w:rPr>
          <w:rFonts w:hint="cs"/>
          <w:rtl/>
        </w:rPr>
        <w:t>ل</w:t>
      </w:r>
      <w:r w:rsidR="00F630D2">
        <w:rPr>
          <w:rtl/>
        </w:rPr>
        <w:t>علام</w:t>
      </w:r>
      <w:r w:rsidR="00CB06BE">
        <w:rPr>
          <w:rFonts w:hint="cs"/>
          <w:rtl/>
        </w:rPr>
        <w:t>ة</w:t>
      </w:r>
      <w:r w:rsidRPr="00821578">
        <w:rPr>
          <w:rtl/>
        </w:rPr>
        <w:t xml:space="preserve"> التجارة الأوروبية (</w:t>
      </w:r>
      <w:r w:rsidRPr="00821578">
        <w:t>EUTM</w:t>
      </w:r>
      <w:r w:rsidR="00F630D2">
        <w:rPr>
          <w:rtl/>
        </w:rPr>
        <w:t>)</w:t>
      </w:r>
      <w:r w:rsidRPr="00821578">
        <w:rPr>
          <w:rtl/>
        </w:rPr>
        <w:t xml:space="preserve">، </w:t>
      </w:r>
      <w:r w:rsidR="00CB06BE">
        <w:rPr>
          <w:rFonts w:hint="cs"/>
          <w:rtl/>
        </w:rPr>
        <w:t>ت</w:t>
      </w:r>
      <w:r w:rsidR="00F630D2">
        <w:rPr>
          <w:rFonts w:hint="cs"/>
          <w:rtl/>
        </w:rPr>
        <w:t>عترف</w:t>
      </w:r>
      <w:r w:rsidR="00F630D2">
        <w:rPr>
          <w:rtl/>
        </w:rPr>
        <w:t xml:space="preserve"> اللائحة التنفيذية </w:t>
      </w:r>
      <w:r w:rsidR="00CB06BE" w:rsidRPr="00821578">
        <w:rPr>
          <w:rtl/>
        </w:rPr>
        <w:t>ل</w:t>
      </w:r>
      <w:r w:rsidR="00CB06BE">
        <w:rPr>
          <w:rFonts w:hint="cs"/>
          <w:rtl/>
        </w:rPr>
        <w:t>ل</w:t>
      </w:r>
      <w:r w:rsidR="00CB06BE">
        <w:rPr>
          <w:rtl/>
        </w:rPr>
        <w:t>علام</w:t>
      </w:r>
      <w:r w:rsidR="00CB06BE">
        <w:rPr>
          <w:rFonts w:hint="cs"/>
          <w:rtl/>
        </w:rPr>
        <w:t>ة</w:t>
      </w:r>
      <w:r w:rsidR="00CB06BE" w:rsidRPr="00821578">
        <w:rPr>
          <w:rtl/>
        </w:rPr>
        <w:t xml:space="preserve"> التجارة الأوروبية </w:t>
      </w:r>
      <w:r w:rsidR="00CB06BE">
        <w:rPr>
          <w:rFonts w:hint="cs"/>
          <w:rtl/>
        </w:rPr>
        <w:t>(</w:t>
      </w:r>
      <w:r w:rsidR="00CB06BE" w:rsidRPr="00CB06BE">
        <w:rPr>
          <w:bCs/>
        </w:rPr>
        <w:t>EUTMIR</w:t>
      </w:r>
      <w:r w:rsidR="00CB06BE">
        <w:rPr>
          <w:rStyle w:val="FootnoteReference"/>
          <w:bCs/>
        </w:rPr>
        <w:footnoteReference w:id="1"/>
      </w:r>
      <w:r w:rsidR="00CB06BE">
        <w:rPr>
          <w:rFonts w:hint="cs"/>
          <w:rtl/>
        </w:rPr>
        <w:t>) منذ أكتوبر 2017 ب</w:t>
      </w:r>
      <w:r w:rsidRPr="00821578">
        <w:rPr>
          <w:rtl/>
        </w:rPr>
        <w:t xml:space="preserve">الأنواع التالية </w:t>
      </w:r>
      <w:r w:rsidRPr="00821578">
        <w:rPr>
          <w:rtl/>
        </w:rPr>
        <w:lastRenderedPageBreak/>
        <w:t>من العلامات التجارية: علامة</w:t>
      </w:r>
      <w:r w:rsidR="00CB06BE">
        <w:rPr>
          <w:rFonts w:hint="cs"/>
          <w:rtl/>
        </w:rPr>
        <w:t xml:space="preserve"> لفظية</w:t>
      </w:r>
      <w:r w:rsidRPr="00821578">
        <w:rPr>
          <w:rtl/>
        </w:rPr>
        <w:t>، علامة تصويرية</w:t>
      </w:r>
      <w:r w:rsidR="00CB06BE">
        <w:rPr>
          <w:rtl/>
        </w:rPr>
        <w:t>، علامة شكل</w:t>
      </w:r>
      <w:r w:rsidRPr="00821578">
        <w:rPr>
          <w:rtl/>
        </w:rPr>
        <w:t xml:space="preserve">، علامة </w:t>
      </w:r>
      <w:r w:rsidR="00CB06BE">
        <w:rPr>
          <w:rFonts w:hint="cs"/>
          <w:rtl/>
        </w:rPr>
        <w:t>مكان</w:t>
      </w:r>
      <w:r w:rsidR="00CB06BE">
        <w:rPr>
          <w:rtl/>
        </w:rPr>
        <w:t>، علامة نقش</w:t>
      </w:r>
      <w:r w:rsidRPr="00821578">
        <w:rPr>
          <w:rtl/>
        </w:rPr>
        <w:t xml:space="preserve">، علامة </w:t>
      </w:r>
      <w:r w:rsidR="00CB06BE">
        <w:rPr>
          <w:rFonts w:hint="cs"/>
          <w:rtl/>
        </w:rPr>
        <w:t>لون</w:t>
      </w:r>
      <w:r w:rsidR="00CB06BE">
        <w:rPr>
          <w:rtl/>
        </w:rPr>
        <w:t xml:space="preserve">، علامة </w:t>
      </w:r>
      <w:r w:rsidRPr="00821578">
        <w:rPr>
          <w:rtl/>
        </w:rPr>
        <w:t>صوت</w:t>
      </w:r>
      <w:r w:rsidR="009A1BAE">
        <w:rPr>
          <w:rFonts w:hint="cs"/>
          <w:rtl/>
        </w:rPr>
        <w:t>ية</w:t>
      </w:r>
      <w:r w:rsidR="009A1BAE">
        <w:rPr>
          <w:rtl/>
        </w:rPr>
        <w:t>، علامة حركة، علامة وسائط متعددة</w:t>
      </w:r>
      <w:r w:rsidRPr="00821578">
        <w:rPr>
          <w:rtl/>
        </w:rPr>
        <w:t>، علامة هولوغرام</w:t>
      </w:r>
      <w:r w:rsidR="009A1BAE">
        <w:rPr>
          <w:rFonts w:hint="cs"/>
          <w:rtl/>
        </w:rPr>
        <w:t>ية،</w:t>
      </w:r>
      <w:r w:rsidR="009A1BAE">
        <w:rPr>
          <w:rtl/>
        </w:rPr>
        <w:t xml:space="preserve"> </w:t>
      </w:r>
      <w:r w:rsidRPr="00821578">
        <w:rPr>
          <w:rtl/>
        </w:rPr>
        <w:t>إضافة إل</w:t>
      </w:r>
      <w:r w:rsidR="009A1BAE">
        <w:rPr>
          <w:rtl/>
        </w:rPr>
        <w:t>ى نوع آخر من العلامات (المادة 3(3) و</w:t>
      </w:r>
      <w:r w:rsidRPr="00821578">
        <w:rPr>
          <w:rtl/>
        </w:rPr>
        <w:t xml:space="preserve">(4) </w:t>
      </w:r>
      <w:r w:rsidR="009A1BAE">
        <w:rPr>
          <w:rFonts w:hint="cs"/>
          <w:rtl/>
        </w:rPr>
        <w:t>من اللائحة (</w:t>
      </w:r>
      <w:r w:rsidRPr="00821578">
        <w:t>EUTMIR</w:t>
      </w:r>
      <w:r w:rsidRPr="00821578">
        <w:rPr>
          <w:rtl/>
        </w:rPr>
        <w:t>)</w:t>
      </w:r>
      <w:r w:rsidR="009A1BAE">
        <w:rPr>
          <w:rFonts w:hint="cs"/>
          <w:rtl/>
        </w:rPr>
        <w:t>)</w:t>
      </w:r>
      <w:r w:rsidRPr="00821578">
        <w:rPr>
          <w:rtl/>
        </w:rPr>
        <w:t>.</w:t>
      </w:r>
    </w:p>
    <w:p w:rsidR="009A1BAE" w:rsidRDefault="009A1BAE" w:rsidP="009A1BAE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إضافة إلى </w:t>
      </w:r>
      <w:r>
        <w:rPr>
          <w:rFonts w:hint="cs"/>
          <w:rtl/>
        </w:rPr>
        <w:t>ما سبق،</w:t>
      </w:r>
      <w:r>
        <w:rPr>
          <w:rtl/>
        </w:rPr>
        <w:t xml:space="preserve"> فإن </w:t>
      </w:r>
      <w:r>
        <w:rPr>
          <w:rFonts w:hint="cs"/>
          <w:rtl/>
        </w:rPr>
        <w:t xml:space="preserve">وردت </w:t>
      </w:r>
      <w:r>
        <w:rPr>
          <w:rtl/>
        </w:rPr>
        <w:t xml:space="preserve">"أنواع جديدة من العلامات" </w:t>
      </w:r>
      <w:r>
        <w:rPr>
          <w:rFonts w:hint="cs"/>
          <w:rtl/>
        </w:rPr>
        <w:t>ك</w:t>
      </w:r>
      <w:r>
        <w:rPr>
          <w:rtl/>
        </w:rPr>
        <w:t>عنصر في جدول أعمال</w:t>
      </w:r>
      <w:r>
        <w:rPr>
          <w:rStyle w:val="FootnoteReference"/>
          <w:rtl/>
        </w:rPr>
        <w:footnoteReference w:id="2"/>
      </w:r>
      <w:r w:rsidRPr="009A1BAE"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>دورة السادسة عشرة</w:t>
      </w:r>
      <w:r w:rsidRPr="009A1BAE">
        <w:rPr>
          <w:rtl/>
        </w:rPr>
        <w:t xml:space="preserve"> للفريق العامل المعني بالتطوير</w:t>
      </w:r>
      <w:r>
        <w:rPr>
          <w:rtl/>
        </w:rPr>
        <w:t xml:space="preserve"> القانوني لنظام مدريد التي </w:t>
      </w:r>
      <w:r w:rsidRPr="009A1BAE">
        <w:rPr>
          <w:rtl/>
        </w:rPr>
        <w:t>عقد</w:t>
      </w:r>
      <w:r>
        <w:rPr>
          <w:rFonts w:hint="cs"/>
          <w:rtl/>
        </w:rPr>
        <w:t>ت</w:t>
      </w:r>
      <w:r w:rsidRPr="009A1BAE">
        <w:rPr>
          <w:rtl/>
        </w:rPr>
        <w:t xml:space="preserve"> </w:t>
      </w:r>
      <w:r>
        <w:rPr>
          <w:rFonts w:hint="cs"/>
          <w:rtl/>
        </w:rPr>
        <w:t xml:space="preserve">في </w:t>
      </w:r>
      <w:r w:rsidRPr="009A1BAE">
        <w:rPr>
          <w:rtl/>
        </w:rPr>
        <w:t>يوليو 2018.</w:t>
      </w:r>
    </w:p>
    <w:p w:rsidR="00502363" w:rsidRDefault="00502363" w:rsidP="00502363">
      <w:pPr>
        <w:pStyle w:val="ONUMA"/>
      </w:pPr>
      <w:r>
        <w:rPr>
          <w:rtl/>
        </w:rPr>
        <w:t>وب</w:t>
      </w:r>
      <w:r>
        <w:rPr>
          <w:rFonts w:hint="cs"/>
          <w:rtl/>
        </w:rPr>
        <w:t xml:space="preserve">ما أنّ </w:t>
      </w:r>
      <w:r>
        <w:rPr>
          <w:rtl/>
        </w:rPr>
        <w:t xml:space="preserve">مكتب الاتحاد الأوروبي للملكية الفكرية </w:t>
      </w:r>
      <w:r>
        <w:rPr>
          <w:rFonts w:hint="cs"/>
          <w:rtl/>
        </w:rPr>
        <w:t xml:space="preserve">هو أحد </w:t>
      </w:r>
      <w:r>
        <w:rPr>
          <w:rtl/>
        </w:rPr>
        <w:t>مستخد</w:t>
      </w:r>
      <w:r>
        <w:rPr>
          <w:rFonts w:hint="cs"/>
          <w:rtl/>
        </w:rPr>
        <w:t>مي</w:t>
      </w:r>
      <w:r>
        <w:rPr>
          <w:rtl/>
        </w:rPr>
        <w:t xml:space="preserve"> نظام رم</w:t>
      </w:r>
      <w:r>
        <w:rPr>
          <w:rFonts w:hint="cs"/>
          <w:rtl/>
        </w:rPr>
        <w:t>و</w:t>
      </w:r>
      <w:r>
        <w:rPr>
          <w:rtl/>
        </w:rPr>
        <w:t xml:space="preserve">ز معيار الويبو </w:t>
      </w:r>
      <w:r w:rsidRPr="00502363">
        <w:t>ST.60</w:t>
      </w:r>
      <w:r>
        <w:rPr>
          <w:rtl/>
        </w:rPr>
        <w:t>، يود</w:t>
      </w:r>
      <w:r>
        <w:rPr>
          <w:rFonts w:hint="cs"/>
          <w:rtl/>
        </w:rPr>
        <w:t>ّ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مكتب اقتراح </w:t>
      </w:r>
      <w:r>
        <w:rPr>
          <w:rFonts w:hint="cs"/>
          <w:rtl/>
        </w:rPr>
        <w:t>عدد من ال</w:t>
      </w:r>
      <w:r>
        <w:rPr>
          <w:rtl/>
        </w:rPr>
        <w:t xml:space="preserve">تعديلات على </w:t>
      </w:r>
      <w:r>
        <w:rPr>
          <w:rFonts w:hint="cs"/>
          <w:rtl/>
        </w:rPr>
        <w:t>هذه ال</w:t>
      </w:r>
      <w:r>
        <w:rPr>
          <w:rtl/>
        </w:rPr>
        <w:t xml:space="preserve">رموز </w:t>
      </w:r>
      <w:r>
        <w:rPr>
          <w:rFonts w:hint="cs"/>
          <w:rtl/>
        </w:rPr>
        <w:t>في</w:t>
      </w:r>
      <w:r>
        <w:rPr>
          <w:rtl/>
        </w:rPr>
        <w:t>ما يتعلق بأنواع العلامات التجارية.</w:t>
      </w:r>
    </w:p>
    <w:p w:rsidR="00502363" w:rsidRDefault="00502363" w:rsidP="00502363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يقترح </w:t>
      </w:r>
      <w:r>
        <w:rPr>
          <w:rFonts w:hint="cs"/>
          <w:rtl/>
        </w:rPr>
        <w:t>المكتب</w:t>
      </w:r>
      <w:r>
        <w:rPr>
          <w:rtl/>
        </w:rPr>
        <w:t xml:space="preserve"> إدخال </w:t>
      </w:r>
      <w:r>
        <w:rPr>
          <w:rFonts w:hint="cs"/>
          <w:rtl/>
        </w:rPr>
        <w:t>رمز</w:t>
      </w:r>
      <w:r>
        <w:rPr>
          <w:rtl/>
        </w:rPr>
        <w:t xml:space="preserve"> جديد </w:t>
      </w:r>
      <w:r>
        <w:rPr>
          <w:rFonts w:hint="cs"/>
          <w:rtl/>
        </w:rPr>
        <w:t>ي</w:t>
      </w:r>
      <w:r>
        <w:rPr>
          <w:rtl/>
        </w:rPr>
        <w:t xml:space="preserve">ضم إشارة صريحة لأنواع "أخرى" من العلامات التجارية. </w:t>
      </w:r>
      <w:r>
        <w:rPr>
          <w:rFonts w:hint="cs"/>
          <w:rtl/>
        </w:rPr>
        <w:t>و</w:t>
      </w:r>
      <w:r>
        <w:rPr>
          <w:rtl/>
        </w:rPr>
        <w:t>س</w:t>
      </w:r>
      <w:r>
        <w:rPr>
          <w:rFonts w:hint="cs"/>
          <w:rtl/>
        </w:rPr>
        <w:t>يغطي</w:t>
      </w:r>
      <w:r>
        <w:rPr>
          <w:rtl/>
        </w:rPr>
        <w:t xml:space="preserve"> هذ</w:t>
      </w:r>
      <w:r>
        <w:rPr>
          <w:rFonts w:hint="cs"/>
          <w:rtl/>
        </w:rPr>
        <w:t>ا</w:t>
      </w:r>
      <w:r>
        <w:rPr>
          <w:rtl/>
        </w:rPr>
        <w:t xml:space="preserve"> الرمز أنواع علامات تجارية غير مدرجة </w:t>
      </w:r>
      <w:r>
        <w:rPr>
          <w:rFonts w:hint="cs"/>
          <w:rtl/>
        </w:rPr>
        <w:t>ف</w:t>
      </w:r>
      <w:r>
        <w:rPr>
          <w:rtl/>
        </w:rPr>
        <w:t>ي ال</w:t>
      </w:r>
      <w:r>
        <w:rPr>
          <w:rFonts w:hint="cs"/>
          <w:rtl/>
        </w:rPr>
        <w:t>أ</w:t>
      </w:r>
      <w:r>
        <w:rPr>
          <w:rtl/>
        </w:rPr>
        <w:t>رق</w:t>
      </w:r>
      <w:r>
        <w:rPr>
          <w:rFonts w:hint="cs"/>
          <w:rtl/>
        </w:rPr>
        <w:t>ا</w:t>
      </w:r>
      <w:r>
        <w:rPr>
          <w:rtl/>
        </w:rPr>
        <w:t xml:space="preserve">م الحالي لمعيار الويبو </w:t>
      </w:r>
      <w:r>
        <w:t>ST.60</w:t>
      </w:r>
      <w:r>
        <w:rPr>
          <w:rtl/>
        </w:rPr>
        <w:t>:</w:t>
      </w:r>
    </w:p>
    <w:p w:rsidR="00502363" w:rsidRDefault="00502363" w:rsidP="00933E97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>(554) علامة ثلاثية الأبعاد</w:t>
      </w:r>
    </w:p>
    <w:p w:rsidR="00502363" w:rsidRDefault="00502363" w:rsidP="00933E97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>(555) علامة هولوغرامية</w:t>
      </w:r>
    </w:p>
    <w:p w:rsidR="00502363" w:rsidRDefault="00502363" w:rsidP="00933E97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 xml:space="preserve">(556) </w:t>
      </w:r>
      <w:r>
        <w:rPr>
          <w:rtl/>
        </w:rPr>
        <w:t xml:space="preserve">علامة </w:t>
      </w:r>
      <w:r w:rsidRPr="00821578">
        <w:rPr>
          <w:rtl/>
        </w:rPr>
        <w:t>صوت</w:t>
      </w:r>
      <w:r>
        <w:rPr>
          <w:rFonts w:hint="cs"/>
          <w:rtl/>
        </w:rPr>
        <w:t>ية، بما في ذلك خصائصها</w:t>
      </w:r>
    </w:p>
    <w:p w:rsidR="00502363" w:rsidRDefault="00502363" w:rsidP="00933E97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>(557) علامة الرائحة، بما في ذلك خصائصها</w:t>
      </w:r>
    </w:p>
    <w:p w:rsidR="00502363" w:rsidRDefault="00502363" w:rsidP="00933E97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 xml:space="preserve">(558) علامة </w:t>
      </w:r>
      <w:r w:rsidRPr="00502363">
        <w:rPr>
          <w:rtl/>
        </w:rPr>
        <w:t>مؤلفة حصرا من</w:t>
      </w:r>
      <w:r w:rsidR="00933E97">
        <w:rPr>
          <w:rFonts w:hint="cs"/>
          <w:rtl/>
        </w:rPr>
        <w:t xml:space="preserve"> لون واحد أو أكثر</w:t>
      </w:r>
    </w:p>
    <w:p w:rsidR="00933E97" w:rsidRDefault="00933E97" w:rsidP="00933E97">
      <w:pPr>
        <w:pStyle w:val="ONUMA"/>
      </w:pPr>
      <w:r>
        <w:rPr>
          <w:rFonts w:hint="cs"/>
          <w:rtl/>
        </w:rPr>
        <w:t xml:space="preserve">ويقترح المكتب إضافة </w:t>
      </w:r>
      <w:r w:rsidR="00B548EB">
        <w:rPr>
          <w:rFonts w:hint="cs"/>
          <w:rtl/>
        </w:rPr>
        <w:t>رمز جديد هو:</w:t>
      </w:r>
    </w:p>
    <w:p w:rsidR="00B548EB" w:rsidRDefault="00B548EB" w:rsidP="00B548EB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lastRenderedPageBreak/>
        <w:t>(559) نوع آخر للعلامة</w:t>
      </w:r>
    </w:p>
    <w:p w:rsidR="00B548EB" w:rsidRDefault="00B548EB" w:rsidP="00B548EB">
      <w:pPr>
        <w:pStyle w:val="ONUMA"/>
      </w:pPr>
      <w:r>
        <w:rPr>
          <w:rtl/>
        </w:rPr>
        <w:t>و</w:t>
      </w:r>
      <w:r>
        <w:rPr>
          <w:rFonts w:hint="cs"/>
          <w:rtl/>
        </w:rPr>
        <w:t xml:space="preserve">تعديل </w:t>
      </w:r>
      <w:r>
        <w:rPr>
          <w:rtl/>
        </w:rPr>
        <w:t>"العلامة ثلاثية الأبعاد" (</w:t>
      </w:r>
      <w:r>
        <w:rPr>
          <w:rFonts w:hint="cs"/>
          <w:rtl/>
        </w:rPr>
        <w:t>ال</w:t>
      </w:r>
      <w:r>
        <w:rPr>
          <w:rtl/>
        </w:rPr>
        <w:t>رمز</w:t>
      </w:r>
      <w:r>
        <w:rPr>
          <w:rFonts w:hint="cs"/>
          <w:rtl/>
        </w:rPr>
        <w:t xml:space="preserve"> 554</w:t>
      </w:r>
      <w:r>
        <w:rPr>
          <w:rtl/>
        </w:rPr>
        <w:t>) لتشمل "علامة الشكل" على النحو التالي (التعديل تحته خط):</w:t>
      </w:r>
    </w:p>
    <w:p w:rsidR="00B548EB" w:rsidRDefault="00B548EB" w:rsidP="00B548EB">
      <w:pPr>
        <w:pStyle w:val="ONUMA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 xml:space="preserve">(554) علامة ثلاثية الأبعاد أو </w:t>
      </w:r>
      <w:r w:rsidRPr="00B548EB">
        <w:rPr>
          <w:rFonts w:hint="cs"/>
          <w:u w:val="single"/>
          <w:rtl/>
        </w:rPr>
        <w:t>علامة شكل</w:t>
      </w:r>
    </w:p>
    <w:p w:rsidR="00B548EB" w:rsidRDefault="00B548EB" w:rsidP="00B548EB">
      <w:pPr>
        <w:pStyle w:val="ONUMA"/>
      </w:pPr>
      <w:r>
        <w:rPr>
          <w:rFonts w:hint="cs"/>
          <w:rtl/>
        </w:rPr>
        <w:t>وفي حال</w:t>
      </w:r>
      <w:r>
        <w:rPr>
          <w:rtl/>
        </w:rPr>
        <w:t xml:space="preserve"> قبول هذه ال</w:t>
      </w:r>
      <w:r>
        <w:rPr>
          <w:rFonts w:hint="cs"/>
          <w:rtl/>
        </w:rPr>
        <w:t>ا</w:t>
      </w:r>
      <w:r>
        <w:rPr>
          <w:rtl/>
        </w:rPr>
        <w:t>قتر</w:t>
      </w:r>
      <w:r>
        <w:rPr>
          <w:rFonts w:hint="cs"/>
          <w:rtl/>
        </w:rPr>
        <w:t>ا</w:t>
      </w:r>
      <w:r>
        <w:rPr>
          <w:rtl/>
        </w:rPr>
        <w:t xml:space="preserve">حات، يصبح نص </w:t>
      </w:r>
      <w:r>
        <w:rPr>
          <w:rFonts w:hint="cs"/>
          <w:rtl/>
        </w:rPr>
        <w:t>ال</w:t>
      </w:r>
      <w:r>
        <w:rPr>
          <w:rtl/>
        </w:rPr>
        <w:t xml:space="preserve">رموز </w:t>
      </w:r>
      <w:r>
        <w:rPr>
          <w:rFonts w:hint="cs"/>
          <w:rtl/>
        </w:rPr>
        <w:t xml:space="preserve">من </w:t>
      </w:r>
      <w:r>
        <w:rPr>
          <w:rtl/>
        </w:rPr>
        <w:t>554 إلى 559 كما يلي (التعديل تحته خط</w:t>
      </w:r>
      <w:r>
        <w:rPr>
          <w:rFonts w:hint="cs"/>
          <w:rtl/>
        </w:rPr>
        <w:t>):</w:t>
      </w:r>
    </w:p>
    <w:p w:rsidR="00B548EB" w:rsidRDefault="00B548EB" w:rsidP="00B548EB">
      <w:pPr>
        <w:pStyle w:val="ONUMA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 xml:space="preserve">(554) علامة ثلاثية الأبعاد أو </w:t>
      </w:r>
      <w:r w:rsidRPr="00B548EB">
        <w:rPr>
          <w:rFonts w:hint="cs"/>
          <w:u w:val="single"/>
          <w:rtl/>
        </w:rPr>
        <w:t>علامة شكل</w:t>
      </w:r>
    </w:p>
    <w:p w:rsidR="00B548EB" w:rsidRDefault="00B548EB" w:rsidP="00B548EB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>(555) علامة هولوغرامية</w:t>
      </w:r>
    </w:p>
    <w:p w:rsidR="00B548EB" w:rsidRDefault="00B548EB" w:rsidP="00B548EB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 xml:space="preserve">(556) </w:t>
      </w:r>
      <w:r>
        <w:rPr>
          <w:rtl/>
        </w:rPr>
        <w:t xml:space="preserve">علامة </w:t>
      </w:r>
      <w:r w:rsidRPr="00821578">
        <w:rPr>
          <w:rtl/>
        </w:rPr>
        <w:t>صوت</w:t>
      </w:r>
      <w:r>
        <w:rPr>
          <w:rFonts w:hint="cs"/>
          <w:rtl/>
        </w:rPr>
        <w:t>ية، بما في ذلك خصائصها</w:t>
      </w:r>
    </w:p>
    <w:p w:rsidR="00B548EB" w:rsidRDefault="00B548EB" w:rsidP="00B548EB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>(557) علامة الرائحة، بما في ذلك خصائصها</w:t>
      </w:r>
    </w:p>
    <w:p w:rsidR="00B548EB" w:rsidRDefault="00B548EB" w:rsidP="00B548EB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 xml:space="preserve">(558) علامة </w:t>
      </w:r>
      <w:r w:rsidRPr="00502363">
        <w:rPr>
          <w:rtl/>
        </w:rPr>
        <w:t>مؤلفة حصرا من</w:t>
      </w:r>
      <w:r>
        <w:rPr>
          <w:rFonts w:hint="cs"/>
          <w:rtl/>
        </w:rPr>
        <w:t xml:space="preserve"> لون واحد أو أكثر</w:t>
      </w:r>
    </w:p>
    <w:p w:rsidR="00B548EB" w:rsidRDefault="00B548EB" w:rsidP="00B548EB">
      <w:pPr>
        <w:pStyle w:val="ONUMA"/>
        <w:numPr>
          <w:ilvl w:val="0"/>
          <w:numId w:val="0"/>
        </w:numPr>
        <w:spacing w:before="0"/>
        <w:ind w:left="567"/>
        <w:rPr>
          <w:u w:val="single"/>
          <w:rtl/>
        </w:rPr>
      </w:pPr>
      <w:r>
        <w:rPr>
          <w:rFonts w:hint="cs"/>
          <w:rtl/>
        </w:rPr>
        <w:t xml:space="preserve">(559) </w:t>
      </w:r>
      <w:r w:rsidRPr="00B548EB">
        <w:rPr>
          <w:rFonts w:hint="cs"/>
          <w:u w:val="single"/>
          <w:rtl/>
        </w:rPr>
        <w:t>نوع آخر</w:t>
      </w:r>
      <w:r>
        <w:rPr>
          <w:rFonts w:hint="cs"/>
          <w:u w:val="single"/>
          <w:rtl/>
        </w:rPr>
        <w:t xml:space="preserve"> للعلامة</w:t>
      </w:r>
    </w:p>
    <w:p w:rsidR="00B548EB" w:rsidRDefault="00B47C8F" w:rsidP="00B47C8F">
      <w:pPr>
        <w:pStyle w:val="Heading3"/>
        <w:rPr>
          <w:rtl/>
        </w:rPr>
      </w:pPr>
      <w:r>
        <w:rPr>
          <w:rFonts w:hint="cs"/>
          <w:rtl/>
        </w:rPr>
        <w:t>اقتراح مثالي</w:t>
      </w:r>
    </w:p>
    <w:p w:rsidR="00B47C8F" w:rsidRDefault="00B47C8F" w:rsidP="00B47C8F">
      <w:pPr>
        <w:pStyle w:val="ONUMA"/>
      </w:pPr>
      <w:r>
        <w:rPr>
          <w:rtl/>
        </w:rPr>
        <w:t xml:space="preserve">إضافة إلى ما سبق، </w:t>
      </w:r>
      <w:r>
        <w:rPr>
          <w:rFonts w:hint="cs"/>
          <w:rtl/>
        </w:rPr>
        <w:t>يقدّم</w:t>
      </w:r>
      <w:r>
        <w:rPr>
          <w:rtl/>
        </w:rPr>
        <w:t xml:space="preserve"> </w:t>
      </w:r>
      <w:r>
        <w:rPr>
          <w:rFonts w:hint="cs"/>
          <w:rtl/>
        </w:rPr>
        <w:t xml:space="preserve">مكتب </w:t>
      </w:r>
      <w:r>
        <w:rPr>
          <w:rtl/>
        </w:rPr>
        <w:t>الاتحاد الأوروبي للملكية الفكرية</w:t>
      </w:r>
      <w:r>
        <w:rPr>
          <w:rFonts w:hint="cs"/>
          <w:rtl/>
        </w:rPr>
        <w:t xml:space="preserve"> ا</w:t>
      </w:r>
      <w:r>
        <w:rPr>
          <w:rtl/>
        </w:rPr>
        <w:t>قتراحًا أكثر تفصيلاً ورياد</w:t>
      </w:r>
      <w:r>
        <w:rPr>
          <w:rFonts w:hint="cs"/>
          <w:rtl/>
        </w:rPr>
        <w:t>ة</w:t>
      </w:r>
      <w:r>
        <w:rPr>
          <w:rtl/>
        </w:rPr>
        <w:t xml:space="preserve">، </w:t>
      </w:r>
      <w:r>
        <w:rPr>
          <w:rFonts w:hint="cs"/>
          <w:rtl/>
        </w:rPr>
        <w:t>و</w:t>
      </w:r>
      <w:r>
        <w:rPr>
          <w:rtl/>
        </w:rPr>
        <w:t xml:space="preserve">لن يؤثر على الرموز الحالية، ولكن </w:t>
      </w:r>
      <w:r>
        <w:rPr>
          <w:rFonts w:hint="cs"/>
          <w:rtl/>
        </w:rPr>
        <w:t>ي</w:t>
      </w:r>
      <w:r>
        <w:rPr>
          <w:rtl/>
        </w:rPr>
        <w:t>ضاف إل</w:t>
      </w:r>
      <w:r>
        <w:rPr>
          <w:rFonts w:hint="cs"/>
          <w:rtl/>
        </w:rPr>
        <w:t>يها</w:t>
      </w:r>
      <w:r>
        <w:rPr>
          <w:rtl/>
        </w:rPr>
        <w:t>.</w:t>
      </w:r>
    </w:p>
    <w:p w:rsidR="00B47C8F" w:rsidRDefault="00B47C8F" w:rsidP="00B47C8F">
      <w:pPr>
        <w:pStyle w:val="ONUMA"/>
      </w:pPr>
      <w:r>
        <w:rPr>
          <w:rtl/>
        </w:rPr>
        <w:t>و</w:t>
      </w:r>
      <w:r>
        <w:rPr>
          <w:rFonts w:hint="cs"/>
          <w:rtl/>
        </w:rPr>
        <w:t xml:space="preserve">يقترح المكتب، </w:t>
      </w:r>
      <w:r>
        <w:rPr>
          <w:rtl/>
        </w:rPr>
        <w:t xml:space="preserve">كجزء من </w:t>
      </w:r>
      <w:r>
        <w:rPr>
          <w:rFonts w:hint="cs"/>
          <w:rtl/>
        </w:rPr>
        <w:t>ال</w:t>
      </w:r>
      <w:r>
        <w:rPr>
          <w:rtl/>
        </w:rPr>
        <w:t>اقتراح المبسّط، إدراج إشارة محددة (أي رمز</w:t>
      </w:r>
      <w:r>
        <w:rPr>
          <w:rFonts w:hint="cs"/>
          <w:rtl/>
        </w:rPr>
        <w:t>ا</w:t>
      </w:r>
      <w:r>
        <w:rPr>
          <w:rtl/>
        </w:rPr>
        <w:t xml:space="preserve"> خاص</w:t>
      </w:r>
      <w:r>
        <w:rPr>
          <w:rFonts w:hint="cs"/>
          <w:rtl/>
        </w:rPr>
        <w:t>ا</w:t>
      </w:r>
      <w:r>
        <w:rPr>
          <w:rtl/>
        </w:rPr>
        <w:t>) لكل أنواع العلامات.</w:t>
      </w:r>
    </w:p>
    <w:p w:rsidR="00B47C8F" w:rsidRDefault="00B47C8F" w:rsidP="00B47C8F">
      <w:pPr>
        <w:pStyle w:val="ONUMA"/>
        <w:rPr>
          <w:rtl/>
        </w:rPr>
      </w:pPr>
      <w:r>
        <w:rPr>
          <w:rtl/>
        </w:rPr>
        <w:t xml:space="preserve">وفي بعض الحالات، يدمج </w:t>
      </w:r>
      <w:r>
        <w:rPr>
          <w:rFonts w:hint="cs"/>
          <w:rtl/>
        </w:rPr>
        <w:t>الا</w:t>
      </w:r>
      <w:r>
        <w:rPr>
          <w:rtl/>
        </w:rPr>
        <w:t>قتر</w:t>
      </w:r>
      <w:r>
        <w:rPr>
          <w:rFonts w:hint="cs"/>
          <w:rtl/>
        </w:rPr>
        <w:t>ا</w:t>
      </w:r>
      <w:r>
        <w:rPr>
          <w:rtl/>
        </w:rPr>
        <w:t xml:space="preserve">ح أنواع العلامات، ويرجع ذلك أساسا إلى محدودية أرقام </w:t>
      </w:r>
      <w:r>
        <w:rPr>
          <w:rFonts w:hint="cs"/>
          <w:rtl/>
        </w:rPr>
        <w:t>ال</w:t>
      </w:r>
      <w:r>
        <w:rPr>
          <w:rtl/>
        </w:rPr>
        <w:t xml:space="preserve">رموز غير المستخدمة في القسم المعني. </w:t>
      </w:r>
      <w:r>
        <w:rPr>
          <w:rFonts w:hint="cs"/>
          <w:rtl/>
        </w:rPr>
        <w:t>وي</w:t>
      </w:r>
      <w:r>
        <w:rPr>
          <w:rtl/>
        </w:rPr>
        <w:t xml:space="preserve">قترح </w:t>
      </w:r>
      <w:r>
        <w:rPr>
          <w:rFonts w:hint="cs"/>
          <w:rtl/>
        </w:rPr>
        <w:t xml:space="preserve">المكتب </w:t>
      </w:r>
      <w:r>
        <w:rPr>
          <w:rtl/>
        </w:rPr>
        <w:t>ما يلي (التعديل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 xml:space="preserve">الإضافية </w:t>
      </w:r>
      <w:r>
        <w:rPr>
          <w:rtl/>
        </w:rPr>
        <w:t>المقترح</w:t>
      </w:r>
      <w:r>
        <w:rPr>
          <w:rFonts w:hint="cs"/>
          <w:rtl/>
        </w:rPr>
        <w:t>ة</w:t>
      </w:r>
      <w:r>
        <w:rPr>
          <w:rtl/>
        </w:rPr>
        <w:t xml:space="preserve"> تحته</w:t>
      </w:r>
      <w:r>
        <w:rPr>
          <w:rFonts w:hint="cs"/>
          <w:rtl/>
        </w:rPr>
        <w:t>ا</w:t>
      </w:r>
      <w:r>
        <w:rPr>
          <w:rtl/>
        </w:rPr>
        <w:t xml:space="preserve"> خط و</w:t>
      </w:r>
      <w:r>
        <w:rPr>
          <w:rFonts w:hint="cs"/>
          <w:rtl/>
        </w:rPr>
        <w:t>بالخط ال</w:t>
      </w:r>
      <w:r>
        <w:rPr>
          <w:rtl/>
        </w:rPr>
        <w:t>مائل):</w:t>
      </w:r>
    </w:p>
    <w:p w:rsidR="00B47C8F" w:rsidRDefault="00B47C8F" w:rsidP="00B47C8F">
      <w:pPr>
        <w:pStyle w:val="ONUMA"/>
        <w:numPr>
          <w:ilvl w:val="0"/>
          <w:numId w:val="0"/>
        </w:numPr>
        <w:ind w:left="567"/>
        <w:rPr>
          <w:i/>
          <w:iCs/>
          <w:u w:val="single"/>
          <w:rtl/>
        </w:rPr>
      </w:pPr>
      <w:r w:rsidRPr="00B47C8F">
        <w:rPr>
          <w:rFonts w:hint="cs"/>
          <w:i/>
          <w:iCs/>
          <w:u w:val="single"/>
          <w:rtl/>
        </w:rPr>
        <w:lastRenderedPageBreak/>
        <w:t>(547) علامة لفظية</w:t>
      </w:r>
    </w:p>
    <w:p w:rsidR="00B47C8F" w:rsidRDefault="00B47C8F" w:rsidP="00B47C8F">
      <w:pPr>
        <w:pStyle w:val="ONUMA"/>
        <w:numPr>
          <w:ilvl w:val="0"/>
          <w:numId w:val="0"/>
        </w:numPr>
        <w:spacing w:before="0"/>
        <w:ind w:left="567"/>
        <w:rPr>
          <w:i/>
          <w:iCs/>
          <w:u w:val="single"/>
          <w:rtl/>
        </w:rPr>
      </w:pPr>
      <w:r>
        <w:rPr>
          <w:rFonts w:hint="cs"/>
          <w:i/>
          <w:iCs/>
          <w:u w:val="single"/>
          <w:rtl/>
        </w:rPr>
        <w:t>(548) علامة تصويرية</w:t>
      </w:r>
    </w:p>
    <w:p w:rsidR="00B47C8F" w:rsidRPr="00B47C8F" w:rsidRDefault="00B47C8F" w:rsidP="00B47C8F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 w:rsidRPr="00B47C8F">
        <w:rPr>
          <w:rFonts w:hint="cs"/>
          <w:rtl/>
        </w:rPr>
        <w:t>...</w:t>
      </w:r>
    </w:p>
    <w:p w:rsidR="00B47C8F" w:rsidRDefault="00B47C8F" w:rsidP="00B47C8F">
      <w:pPr>
        <w:pStyle w:val="ONUMA"/>
        <w:numPr>
          <w:ilvl w:val="0"/>
          <w:numId w:val="0"/>
        </w:numPr>
        <w:spacing w:before="0"/>
        <w:ind w:left="567"/>
        <w:rPr>
          <w:i/>
          <w:iCs/>
          <w:u w:val="single"/>
          <w:rtl/>
        </w:rPr>
      </w:pPr>
      <w:r w:rsidRPr="00B47C8F">
        <w:rPr>
          <w:rFonts w:hint="cs"/>
          <w:i/>
          <w:iCs/>
          <w:u w:val="single"/>
          <w:rtl/>
        </w:rPr>
        <w:t xml:space="preserve">(552) </w:t>
      </w:r>
      <w:r w:rsidRPr="00B47C8F">
        <w:rPr>
          <w:i/>
          <w:iCs/>
          <w:u w:val="single"/>
          <w:rtl/>
        </w:rPr>
        <w:t xml:space="preserve">علامة </w:t>
      </w:r>
      <w:r w:rsidRPr="00B47C8F">
        <w:rPr>
          <w:rFonts w:hint="cs"/>
          <w:i/>
          <w:iCs/>
          <w:u w:val="single"/>
          <w:rtl/>
        </w:rPr>
        <w:t>مكان</w:t>
      </w:r>
      <w:r w:rsidRPr="00B47C8F">
        <w:rPr>
          <w:i/>
          <w:iCs/>
          <w:u w:val="single"/>
          <w:rtl/>
        </w:rPr>
        <w:t xml:space="preserve"> </w:t>
      </w:r>
      <w:r w:rsidRPr="00B47C8F">
        <w:rPr>
          <w:rFonts w:hint="cs"/>
          <w:i/>
          <w:iCs/>
          <w:u w:val="single"/>
          <w:rtl/>
        </w:rPr>
        <w:t xml:space="preserve">أو </w:t>
      </w:r>
      <w:r w:rsidRPr="00B47C8F">
        <w:rPr>
          <w:i/>
          <w:iCs/>
          <w:u w:val="single"/>
          <w:rtl/>
        </w:rPr>
        <w:t>علامة نقش</w:t>
      </w:r>
    </w:p>
    <w:p w:rsidR="00B47C8F" w:rsidRPr="00B47C8F" w:rsidRDefault="00B47C8F" w:rsidP="00B47C8F">
      <w:pPr>
        <w:pStyle w:val="ONUMA"/>
        <w:numPr>
          <w:ilvl w:val="0"/>
          <w:numId w:val="0"/>
        </w:numPr>
        <w:spacing w:before="0"/>
        <w:ind w:left="567"/>
        <w:rPr>
          <w:i/>
          <w:iCs/>
          <w:u w:val="single"/>
          <w:rtl/>
        </w:rPr>
      </w:pPr>
      <w:r w:rsidRPr="00B47C8F">
        <w:rPr>
          <w:rFonts w:hint="cs"/>
          <w:i/>
          <w:iCs/>
          <w:u w:val="single"/>
          <w:rtl/>
        </w:rPr>
        <w:t xml:space="preserve">(553) </w:t>
      </w:r>
      <w:r w:rsidRPr="00B47C8F">
        <w:rPr>
          <w:i/>
          <w:iCs/>
          <w:u w:val="single"/>
          <w:rtl/>
        </w:rPr>
        <w:t>علامة حركة، علامة وسائط متعددة</w:t>
      </w:r>
    </w:p>
    <w:p w:rsidR="00B47C8F" w:rsidRDefault="00B47C8F" w:rsidP="00B47C8F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 xml:space="preserve">(554) علامة ثلاثية الأبعاد أو </w:t>
      </w:r>
      <w:r w:rsidRPr="00B548EB">
        <w:rPr>
          <w:rFonts w:hint="cs"/>
          <w:u w:val="single"/>
          <w:rtl/>
        </w:rPr>
        <w:t>علامة شكل</w:t>
      </w:r>
    </w:p>
    <w:p w:rsidR="00B47C8F" w:rsidRDefault="00B47C8F" w:rsidP="00B47C8F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>(555) علامة هولوغرامية</w:t>
      </w:r>
    </w:p>
    <w:p w:rsidR="00B47C8F" w:rsidRDefault="00B47C8F" w:rsidP="00B47C8F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 xml:space="preserve">(556) </w:t>
      </w:r>
      <w:r>
        <w:rPr>
          <w:rtl/>
        </w:rPr>
        <w:t xml:space="preserve">علامة </w:t>
      </w:r>
      <w:r w:rsidRPr="00821578">
        <w:rPr>
          <w:rtl/>
        </w:rPr>
        <w:t>صوت</w:t>
      </w:r>
      <w:r>
        <w:rPr>
          <w:rFonts w:hint="cs"/>
          <w:rtl/>
        </w:rPr>
        <w:t>ية، بما في ذلك خصائصها</w:t>
      </w:r>
    </w:p>
    <w:p w:rsidR="00B47C8F" w:rsidRDefault="00B47C8F" w:rsidP="00613BAE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>(557) علامة رائحة، بما في ذلك خصائصها</w:t>
      </w:r>
    </w:p>
    <w:p w:rsidR="00B47C8F" w:rsidRDefault="00B47C8F" w:rsidP="00B47C8F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 xml:space="preserve">(558) علامة </w:t>
      </w:r>
      <w:r w:rsidRPr="00502363">
        <w:rPr>
          <w:rtl/>
        </w:rPr>
        <w:t>مؤلفة حصرا من</w:t>
      </w:r>
      <w:r>
        <w:rPr>
          <w:rFonts w:hint="cs"/>
          <w:rtl/>
        </w:rPr>
        <w:t xml:space="preserve"> لون واحد أو أكثر</w:t>
      </w:r>
    </w:p>
    <w:p w:rsidR="00B47C8F" w:rsidRPr="00613BAE" w:rsidRDefault="00B47C8F" w:rsidP="00B47C8F">
      <w:pPr>
        <w:pStyle w:val="ONUMA"/>
        <w:numPr>
          <w:ilvl w:val="0"/>
          <w:numId w:val="0"/>
        </w:numPr>
        <w:spacing w:before="0"/>
        <w:ind w:left="567"/>
        <w:rPr>
          <w:u w:val="single"/>
          <w:rtl/>
        </w:rPr>
      </w:pPr>
      <w:r w:rsidRPr="00613BAE">
        <w:rPr>
          <w:rFonts w:hint="cs"/>
          <w:u w:val="single"/>
          <w:rtl/>
        </w:rPr>
        <w:t>(559) نوع آخر للعلامة</w:t>
      </w:r>
    </w:p>
    <w:p w:rsidR="00B47C8F" w:rsidRDefault="00613BAE" w:rsidP="00613BAE">
      <w:pPr>
        <w:pStyle w:val="ONUMA"/>
      </w:pPr>
      <w:r>
        <w:rPr>
          <w:rFonts w:hint="cs"/>
          <w:rtl/>
        </w:rPr>
        <w:t>و</w:t>
      </w:r>
      <w:r>
        <w:rPr>
          <w:rtl/>
        </w:rPr>
        <w:t>ي</w:t>
      </w:r>
      <w:r>
        <w:rPr>
          <w:rFonts w:hint="cs"/>
          <w:rtl/>
        </w:rPr>
        <w:t>ستند</w:t>
      </w:r>
      <w:r>
        <w:rPr>
          <w:rtl/>
        </w:rPr>
        <w:t xml:space="preserve"> الاقتراح </w:t>
      </w:r>
      <w:r>
        <w:rPr>
          <w:rFonts w:hint="cs"/>
          <w:rtl/>
        </w:rPr>
        <w:t>إ</w:t>
      </w:r>
      <w:r>
        <w:rPr>
          <w:rtl/>
        </w:rPr>
        <w:t xml:space="preserve">لى أنواع العلامات الموجودة في اللائحة التنفيذية </w:t>
      </w:r>
      <w:r w:rsidRPr="00821578">
        <w:rPr>
          <w:rtl/>
        </w:rPr>
        <w:t>ل</w:t>
      </w:r>
      <w:r>
        <w:rPr>
          <w:rFonts w:hint="cs"/>
          <w:rtl/>
        </w:rPr>
        <w:t>ل</w:t>
      </w:r>
      <w:r>
        <w:rPr>
          <w:rtl/>
        </w:rPr>
        <w:t>علام</w:t>
      </w:r>
      <w:r>
        <w:rPr>
          <w:rFonts w:hint="cs"/>
          <w:rtl/>
        </w:rPr>
        <w:t>ة</w:t>
      </w:r>
      <w:r w:rsidRPr="00821578">
        <w:rPr>
          <w:rtl/>
        </w:rPr>
        <w:t xml:space="preserve"> التجارة الأوروبية</w:t>
      </w:r>
      <w:r>
        <w:rPr>
          <w:rtl/>
        </w:rPr>
        <w:t xml:space="preserve"> (</w:t>
      </w:r>
      <w:r>
        <w:rPr>
          <w:rFonts w:hint="cs"/>
          <w:rtl/>
        </w:rPr>
        <w:t xml:space="preserve">مثلما </w:t>
      </w:r>
      <w:r>
        <w:rPr>
          <w:rtl/>
        </w:rPr>
        <w:t>اقت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أعلاه</w:t>
      </w:r>
      <w:r>
        <w:rPr>
          <w:rtl/>
        </w:rPr>
        <w:t>)، و</w:t>
      </w:r>
      <w:r>
        <w:rPr>
          <w:rFonts w:hint="cs"/>
          <w:rtl/>
        </w:rPr>
        <w:t xml:space="preserve">لكن </w:t>
      </w:r>
      <w:r>
        <w:rPr>
          <w:rtl/>
        </w:rPr>
        <w:t>يمكن إدراج أنواع أخرى من العلامات</w:t>
      </w:r>
      <w:r w:rsidRPr="00613BAE">
        <w:rPr>
          <w:rtl/>
        </w:rPr>
        <w:t xml:space="preserve"> </w:t>
      </w:r>
      <w:r>
        <w:rPr>
          <w:rtl/>
        </w:rPr>
        <w:t>أو تسجيل</w:t>
      </w:r>
      <w:r>
        <w:rPr>
          <w:rFonts w:hint="cs"/>
          <w:rtl/>
        </w:rPr>
        <w:t>ها</w:t>
      </w:r>
      <w:r>
        <w:rPr>
          <w:rtl/>
        </w:rPr>
        <w:t>.</w:t>
      </w:r>
    </w:p>
    <w:p w:rsidR="00613BAE" w:rsidRDefault="00613BAE" w:rsidP="008A4AC3">
      <w:pPr>
        <w:pStyle w:val="ONUMA"/>
      </w:pPr>
      <w:r>
        <w:rPr>
          <w:rFonts w:hint="cs"/>
          <w:rtl/>
        </w:rPr>
        <w:t>و</w:t>
      </w:r>
      <w:r w:rsidRPr="00613BAE">
        <w:rPr>
          <w:rtl/>
        </w:rPr>
        <w:t xml:space="preserve">لن يؤثر قبول الرموز الجديدة المذكورة أعلاه على المكاتب التي تستخدم حاليًا </w:t>
      </w:r>
      <w:r>
        <w:rPr>
          <w:rFonts w:hint="cs"/>
          <w:rtl/>
        </w:rPr>
        <w:t xml:space="preserve">الرمز (550) </w:t>
      </w:r>
      <w:r w:rsidRPr="00613BAE">
        <w:rPr>
          <w:rtl/>
        </w:rPr>
        <w:t>للإ</w:t>
      </w:r>
      <w:r>
        <w:rPr>
          <w:rtl/>
        </w:rPr>
        <w:t xml:space="preserve">شارة إلى طبيعة نوع العلامة </w:t>
      </w:r>
      <w:r>
        <w:rPr>
          <w:rFonts w:hint="cs"/>
          <w:rtl/>
        </w:rPr>
        <w:t>بال</w:t>
      </w:r>
      <w:r w:rsidRPr="00613BAE">
        <w:rPr>
          <w:rtl/>
        </w:rPr>
        <w:t xml:space="preserve">كلمات. </w:t>
      </w:r>
      <w:r>
        <w:rPr>
          <w:rFonts w:hint="cs"/>
          <w:rtl/>
        </w:rPr>
        <w:t>و</w:t>
      </w:r>
      <w:r w:rsidRPr="00613BAE">
        <w:rPr>
          <w:rtl/>
        </w:rPr>
        <w:t xml:space="preserve">بالنسبة للمكاتب التي تستخدم </w:t>
      </w:r>
      <w:r>
        <w:rPr>
          <w:rFonts w:hint="cs"/>
          <w:rtl/>
        </w:rPr>
        <w:t>ال</w:t>
      </w:r>
      <w:r w:rsidRPr="00613BAE">
        <w:rPr>
          <w:rtl/>
        </w:rPr>
        <w:t>رموز</w:t>
      </w:r>
      <w:r>
        <w:rPr>
          <w:rFonts w:hint="cs"/>
          <w:rtl/>
        </w:rPr>
        <w:t xml:space="preserve"> </w:t>
      </w:r>
      <w:r w:rsidRPr="00613BAE">
        <w:rPr>
          <w:rtl/>
        </w:rPr>
        <w:t xml:space="preserve">الحالية </w:t>
      </w:r>
      <w:r>
        <w:rPr>
          <w:rFonts w:hint="cs"/>
          <w:rtl/>
        </w:rPr>
        <w:t xml:space="preserve">من </w:t>
      </w:r>
      <w:r w:rsidRPr="00613BAE">
        <w:rPr>
          <w:rtl/>
        </w:rPr>
        <w:t>(554</w:t>
      </w:r>
      <w:r>
        <w:rPr>
          <w:rtl/>
        </w:rPr>
        <w:t>) إلى (558) مع إشارة "نعم - لا"، أو على سبيل المثال مؤشر صواب/</w:t>
      </w:r>
      <w:r w:rsidRPr="00613BAE">
        <w:rPr>
          <w:rtl/>
        </w:rPr>
        <w:t>خطأ منطقي (</w:t>
      </w:r>
      <w:r>
        <w:rPr>
          <w:rtl/>
        </w:rPr>
        <w:t xml:space="preserve">قيمة 0 </w:t>
      </w:r>
      <w:r w:rsidR="008A4AC3">
        <w:rPr>
          <w:rtl/>
        </w:rPr>
        <w:t>–</w:t>
      </w:r>
      <w:r>
        <w:rPr>
          <w:rtl/>
        </w:rPr>
        <w:t xml:space="preserve"> 1</w:t>
      </w:r>
      <w:r w:rsidR="008A4AC3">
        <w:rPr>
          <w:rFonts w:hint="cs"/>
          <w:rtl/>
        </w:rPr>
        <w:t>، مثلا</w:t>
      </w:r>
      <w:r>
        <w:rPr>
          <w:rtl/>
        </w:rPr>
        <w:t>)</w:t>
      </w:r>
      <w:r w:rsidRPr="00613BAE">
        <w:rPr>
          <w:rtl/>
        </w:rPr>
        <w:t>، فإن</w:t>
      </w:r>
      <w:r w:rsidR="008A4AC3">
        <w:rPr>
          <w:rFonts w:hint="cs"/>
          <w:rtl/>
        </w:rPr>
        <w:t>ّ</w:t>
      </w:r>
      <w:r w:rsidRPr="00613BAE">
        <w:rPr>
          <w:rtl/>
        </w:rPr>
        <w:t xml:space="preserve"> هذه الرموز المفصلة </w:t>
      </w:r>
      <w:r w:rsidR="008A4AC3">
        <w:rPr>
          <w:rFonts w:hint="cs"/>
          <w:rtl/>
        </w:rPr>
        <w:t>س</w:t>
      </w:r>
      <w:r w:rsidR="008A4AC3">
        <w:rPr>
          <w:rtl/>
        </w:rPr>
        <w:t>ت</w:t>
      </w:r>
      <w:r w:rsidR="008A4AC3">
        <w:rPr>
          <w:rFonts w:hint="cs"/>
          <w:rtl/>
        </w:rPr>
        <w:t>برز</w:t>
      </w:r>
      <w:r w:rsidRPr="00613BAE">
        <w:rPr>
          <w:rtl/>
        </w:rPr>
        <w:t xml:space="preserve"> جم</w:t>
      </w:r>
      <w:r w:rsidR="008A4AC3">
        <w:rPr>
          <w:rtl/>
        </w:rPr>
        <w:t>يع أنواع العلامات التجارية وتوف</w:t>
      </w:r>
      <w:r w:rsidR="008A4AC3">
        <w:rPr>
          <w:rFonts w:hint="cs"/>
          <w:rtl/>
        </w:rPr>
        <w:t>ّ</w:t>
      </w:r>
      <w:r w:rsidR="008A4AC3">
        <w:rPr>
          <w:rtl/>
        </w:rPr>
        <w:t>ر المزيد من</w:t>
      </w:r>
      <w:r w:rsidR="008A4AC3">
        <w:rPr>
          <w:rFonts w:hint="cs"/>
          <w:rtl/>
        </w:rPr>
        <w:t xml:space="preserve"> </w:t>
      </w:r>
      <w:r w:rsidR="008A4AC3">
        <w:rPr>
          <w:rtl/>
        </w:rPr>
        <w:t>المرونة والوضوح في المنشورات ومجالات ا</w:t>
      </w:r>
      <w:r w:rsidRPr="00613BAE">
        <w:rPr>
          <w:rtl/>
        </w:rPr>
        <w:t>ستخد</w:t>
      </w:r>
      <w:r w:rsidR="008A4AC3">
        <w:rPr>
          <w:rFonts w:hint="cs"/>
          <w:rtl/>
        </w:rPr>
        <w:t>ا</w:t>
      </w:r>
      <w:r w:rsidRPr="00613BAE">
        <w:rPr>
          <w:rtl/>
        </w:rPr>
        <w:t xml:space="preserve">م </w:t>
      </w:r>
      <w:r w:rsidR="008A4AC3">
        <w:rPr>
          <w:rFonts w:hint="cs"/>
          <w:rtl/>
        </w:rPr>
        <w:t>الرموز</w:t>
      </w:r>
      <w:r w:rsidRPr="00613BAE">
        <w:rPr>
          <w:rtl/>
        </w:rPr>
        <w:t>.</w:t>
      </w:r>
    </w:p>
    <w:p w:rsidR="008A4AC3" w:rsidRDefault="008A4AC3" w:rsidP="008A4AC3">
      <w:pPr>
        <w:pStyle w:val="ONUMA"/>
      </w:pPr>
      <w:r>
        <w:rPr>
          <w:rFonts w:hint="cs"/>
          <w:rtl/>
        </w:rPr>
        <w:t>و</w:t>
      </w:r>
      <w:r>
        <w:rPr>
          <w:rtl/>
        </w:rPr>
        <w:t>يتضمن هذا الاقتراح رمز</w:t>
      </w:r>
      <w:r>
        <w:rPr>
          <w:rFonts w:hint="cs"/>
          <w:rtl/>
        </w:rPr>
        <w:t>اً</w:t>
      </w:r>
      <w:r>
        <w:rPr>
          <w:rtl/>
        </w:rPr>
        <w:t xml:space="preserve"> محددًا جديدًا </w:t>
      </w:r>
      <w:r>
        <w:rPr>
          <w:rFonts w:hint="cs"/>
          <w:rtl/>
        </w:rPr>
        <w:t>بشأن</w:t>
      </w:r>
      <w:r>
        <w:rPr>
          <w:rtl/>
        </w:rPr>
        <w:t xml:space="preserve"> "</w:t>
      </w:r>
      <w:r>
        <w:rPr>
          <w:rFonts w:hint="cs"/>
          <w:rtl/>
        </w:rPr>
        <w:t>ال</w:t>
      </w:r>
      <w:r>
        <w:rPr>
          <w:rtl/>
        </w:rPr>
        <w:t xml:space="preserve">علامات </w:t>
      </w:r>
      <w:r>
        <w:rPr>
          <w:rFonts w:hint="cs"/>
          <w:rtl/>
        </w:rPr>
        <w:t>اللفظية</w:t>
      </w:r>
      <w:r>
        <w:rPr>
          <w:rtl/>
        </w:rPr>
        <w:t xml:space="preserve">" و"العلامات التصويرية"، لأنها أكثر أنواع العلامات التجارية </w:t>
      </w:r>
      <w:r>
        <w:rPr>
          <w:rFonts w:hint="cs"/>
          <w:rtl/>
        </w:rPr>
        <w:t xml:space="preserve">المستخدمة </w:t>
      </w:r>
      <w:r>
        <w:rPr>
          <w:rtl/>
        </w:rPr>
        <w:t>شيوعًا.</w:t>
      </w:r>
    </w:p>
    <w:p w:rsidR="008A4AC3" w:rsidRDefault="008A4AC3" w:rsidP="008A4AC3">
      <w:pPr>
        <w:pStyle w:val="ONUMA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يطلب </w:t>
      </w:r>
      <w:r>
        <w:rPr>
          <w:rFonts w:hint="cs"/>
          <w:rtl/>
        </w:rPr>
        <w:t xml:space="preserve">مكتب </w:t>
      </w:r>
      <w:r>
        <w:rPr>
          <w:rtl/>
        </w:rPr>
        <w:t xml:space="preserve">الاتحاد الأوروبي </w:t>
      </w:r>
      <w:r>
        <w:rPr>
          <w:rFonts w:hint="cs"/>
          <w:rtl/>
        </w:rPr>
        <w:t xml:space="preserve">للملكية الفكرية </w:t>
      </w:r>
      <w:r>
        <w:rPr>
          <w:rtl/>
        </w:rPr>
        <w:t>إلى اللجنة أن تنظر</w:t>
      </w:r>
      <w:r w:rsidR="004F1DF5">
        <w:rPr>
          <w:rtl/>
        </w:rPr>
        <w:t>، في دورتها السادسة في ال</w:t>
      </w:r>
      <w:r w:rsidR="004F1DF5">
        <w:rPr>
          <w:rFonts w:hint="cs"/>
          <w:rtl/>
        </w:rPr>
        <w:t>ا</w:t>
      </w:r>
      <w:r>
        <w:rPr>
          <w:rtl/>
        </w:rPr>
        <w:t>قتر</w:t>
      </w:r>
      <w:r w:rsidR="004F1DF5">
        <w:rPr>
          <w:rFonts w:hint="cs"/>
          <w:rtl/>
        </w:rPr>
        <w:t>ا</w:t>
      </w:r>
      <w:r w:rsidR="004F1DF5">
        <w:rPr>
          <w:rtl/>
        </w:rPr>
        <w:t xml:space="preserve">حات السابقة </w:t>
      </w:r>
      <w:r w:rsidR="004F1DF5">
        <w:rPr>
          <w:rFonts w:hint="cs"/>
          <w:rtl/>
        </w:rPr>
        <w:t xml:space="preserve">بشأن </w:t>
      </w:r>
      <w:r>
        <w:rPr>
          <w:rtl/>
        </w:rPr>
        <w:t xml:space="preserve">تعديل معيار الويبو </w:t>
      </w:r>
      <w:r>
        <w:t>ST.60</w:t>
      </w:r>
      <w:r>
        <w:rPr>
          <w:rtl/>
        </w:rPr>
        <w:t>.</w:t>
      </w:r>
    </w:p>
    <w:p w:rsidR="004F1DF5" w:rsidRPr="00B47C8F" w:rsidRDefault="004F1DF5" w:rsidP="004F1DF5">
      <w:pPr>
        <w:pStyle w:val="Endofdocument-Annex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4F1DF5" w:rsidRPr="00B47C8F" w:rsidSect="00EB7752"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456" w:rsidRDefault="00074456">
      <w:r>
        <w:separator/>
      </w:r>
    </w:p>
  </w:endnote>
  <w:endnote w:type="continuationSeparator" w:id="0">
    <w:p w:rsidR="00074456" w:rsidRDefault="0007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456" w:rsidRDefault="0007445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74456" w:rsidRDefault="00074456" w:rsidP="009622BF">
      <w:r>
        <w:separator/>
      </w:r>
    </w:p>
  </w:footnote>
  <w:footnote w:id="1">
    <w:p w:rsidR="00CB06BE" w:rsidRPr="00CB06BE" w:rsidRDefault="00CB06BE" w:rsidP="00CB06BE">
      <w:pPr>
        <w:pStyle w:val="FootnoteText"/>
        <w:rPr>
          <w:lang w:bidi="ar-SA"/>
        </w:rPr>
      </w:pPr>
      <w:r w:rsidRPr="00CB06BE">
        <w:rPr>
          <w:rStyle w:val="FootnoteReference"/>
        </w:rPr>
        <w:footnoteRef/>
      </w:r>
      <w:r w:rsidRPr="00CB06BE">
        <w:rPr>
          <w:rtl/>
        </w:rPr>
        <w:t xml:space="preserve"> اللائحة التنفيذية للمفوضية رقم</w:t>
      </w:r>
      <w:r w:rsidRPr="00CB06BE">
        <w:rPr>
          <w:rFonts w:hint="cs"/>
          <w:rtl/>
        </w:rPr>
        <w:t xml:space="preserve"> </w:t>
      </w:r>
      <w:r w:rsidRPr="00CB06BE">
        <w:t>2018/626</w:t>
      </w:r>
      <w:r w:rsidRPr="00CB06BE">
        <w:rPr>
          <w:rFonts w:hint="cs"/>
          <w:rtl/>
        </w:rPr>
        <w:t xml:space="preserve"> المؤرخة 5 مارس 2018 </w:t>
      </w:r>
      <w:r w:rsidRPr="00CB06BE">
        <w:rPr>
          <w:rtl/>
        </w:rPr>
        <w:t>التي تنص على قواعد مفصلة لتنفيذ</w:t>
      </w:r>
      <w:r w:rsidRPr="00CB06BE">
        <w:rPr>
          <w:rFonts w:hint="cs"/>
          <w:rtl/>
        </w:rPr>
        <w:t xml:space="preserve"> أحكام معينة من لائحة الاتحاد الأوروبي </w:t>
      </w:r>
      <w:r w:rsidRPr="00CB06BE">
        <w:t>2017/1001</w:t>
      </w:r>
      <w:r w:rsidRPr="00CB06BE">
        <w:rPr>
          <w:rFonts w:hint="cs"/>
          <w:rtl/>
        </w:rPr>
        <w:t xml:space="preserve"> الصادرة عن البرلمان الأوروبي والمجلس بشأن العلامة التجارية </w:t>
      </w:r>
      <w:r w:rsidRPr="00CB06BE">
        <w:rPr>
          <w:rtl/>
        </w:rPr>
        <w:t>الأوروبي</w:t>
      </w:r>
      <w:r w:rsidRPr="00CB06BE">
        <w:rPr>
          <w:rFonts w:hint="cs"/>
          <w:rtl/>
        </w:rPr>
        <w:t xml:space="preserve">ة وتلغي العمل باللائحة التنفيذية </w:t>
      </w:r>
      <w:r w:rsidRPr="00CB06BE">
        <w:t>2017/1431</w:t>
      </w:r>
      <w:r w:rsidRPr="00CB06BE">
        <w:rPr>
          <w:rFonts w:hint="cs"/>
          <w:rtl/>
        </w:rPr>
        <w:t>.</w:t>
      </w:r>
    </w:p>
  </w:footnote>
  <w:footnote w:id="2">
    <w:p w:rsidR="009A1BAE" w:rsidRDefault="009A1BAE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502363">
        <w:rPr>
          <w:rFonts w:hint="cs"/>
          <w:rtl/>
        </w:rPr>
        <w:t xml:space="preserve">متاح على الرابط: </w:t>
      </w:r>
      <w:r w:rsidR="00502363" w:rsidRPr="00502363">
        <w:t>http://www.wipo.int/edocs/mdocs/madrid/ar/mm_ld_wg_16/mm_ld_wg_16_1_prov.pdf</w:t>
      </w:r>
      <w:r w:rsidR="00502363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EB" w:rsidRDefault="00B548EB" w:rsidP="00B548EB">
    <w:pPr>
      <w:pStyle w:val="Header"/>
      <w:bidi w:val="0"/>
    </w:pPr>
    <w:r>
      <w:t>CWS/6/20</w:t>
    </w:r>
  </w:p>
  <w:p w:rsidR="00D70855" w:rsidRPr="00B548EB" w:rsidRDefault="00B548EB" w:rsidP="00B548EB">
    <w:pPr>
      <w:pStyle w:val="Header"/>
      <w:bidi w:val="0"/>
      <w:rPr>
        <w:rtl/>
      </w:rPr>
    </w:pPr>
    <w:r>
      <w:t>Annex</w:t>
    </w:r>
  </w:p>
  <w:p w:rsidR="004C495B" w:rsidRPr="00B548EB" w:rsidRDefault="004C495B" w:rsidP="00D70855">
    <w:pPr>
      <w:bidi w:val="0"/>
    </w:pPr>
    <w:r w:rsidRPr="00B548EB">
      <w:fldChar w:fldCharType="begin"/>
    </w:r>
    <w:r w:rsidRPr="00B548EB">
      <w:instrText xml:space="preserve"> PAGE  \* MERGEFORMAT </w:instrText>
    </w:r>
    <w:r w:rsidRPr="00B548EB">
      <w:fldChar w:fldCharType="separate"/>
    </w:r>
    <w:r w:rsidR="002972DE">
      <w:rPr>
        <w:noProof/>
        <w:lang w:bidi="ar-EG"/>
      </w:rPr>
      <w:t>3</w:t>
    </w:r>
    <w:r w:rsidRPr="00B548EB">
      <w:fldChar w:fldCharType="end"/>
    </w:r>
  </w:p>
  <w:p w:rsidR="00B548EB" w:rsidRPr="00B548EB" w:rsidRDefault="00B548EB" w:rsidP="00B548EB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56" w:rsidRDefault="00074456" w:rsidP="00074456">
    <w:pPr>
      <w:pStyle w:val="Header"/>
      <w:bidi w:val="0"/>
    </w:pPr>
    <w:r>
      <w:t>CWS/6/20</w:t>
    </w:r>
  </w:p>
  <w:p w:rsidR="00074456" w:rsidRDefault="00074456" w:rsidP="00074456">
    <w:pPr>
      <w:pStyle w:val="Header"/>
      <w:bidi w:val="0"/>
    </w:pPr>
    <w:r>
      <w:t>ANNEX</w:t>
    </w:r>
  </w:p>
  <w:p w:rsidR="00B548EB" w:rsidRDefault="00074456" w:rsidP="00B548EB">
    <w:pPr>
      <w:pStyle w:val="Header"/>
      <w:bidi w:val="0"/>
      <w:rPr>
        <w:lang w:val="fr-CH"/>
      </w:rPr>
    </w:pPr>
    <w:r>
      <w:rPr>
        <w:rFonts w:hint="cs"/>
        <w:rtl/>
        <w:lang w:val="fr-CH"/>
      </w:rPr>
      <w:t>المرفق</w:t>
    </w:r>
  </w:p>
  <w:p w:rsidR="00B548EB" w:rsidRPr="00074456" w:rsidRDefault="00B548EB" w:rsidP="00B548EB">
    <w:pPr>
      <w:pStyle w:val="Header"/>
      <w:bidi w:val="0"/>
      <w:rPr>
        <w:rtl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16FE4F7A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56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4456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2DE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797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4EEA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DF5"/>
    <w:rsid w:val="004F1EEC"/>
    <w:rsid w:val="004F24C8"/>
    <w:rsid w:val="004F30D6"/>
    <w:rsid w:val="004F34A5"/>
    <w:rsid w:val="004F40D6"/>
    <w:rsid w:val="004F6925"/>
    <w:rsid w:val="004F722B"/>
    <w:rsid w:val="00502363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1C43"/>
    <w:rsid w:val="00613A99"/>
    <w:rsid w:val="00613BAE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7C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933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0E61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578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AC3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3E97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6FD"/>
    <w:rsid w:val="00995CDC"/>
    <w:rsid w:val="009975CA"/>
    <w:rsid w:val="009A0C15"/>
    <w:rsid w:val="009A1088"/>
    <w:rsid w:val="009A14CB"/>
    <w:rsid w:val="009A1BAE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63D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47C8F"/>
    <w:rsid w:val="00B507ED"/>
    <w:rsid w:val="00B508A7"/>
    <w:rsid w:val="00B51B77"/>
    <w:rsid w:val="00B52081"/>
    <w:rsid w:val="00B52695"/>
    <w:rsid w:val="00B52A82"/>
    <w:rsid w:val="00B545AF"/>
    <w:rsid w:val="00B548EB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06BE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855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D7DD6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1F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D81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0D2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3A25E58-2E42-4951-AF41-2D71417D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51933"/>
    <w:pPr>
      <w:bidi/>
    </w:pPr>
  </w:style>
  <w:style w:type="paragraph" w:styleId="Heading1">
    <w:name w:val="heading 1"/>
    <w:basedOn w:val="Normal"/>
    <w:next w:val="BodyText"/>
    <w:link w:val="Heading1Char"/>
    <w:qFormat/>
    <w:rsid w:val="00751933"/>
    <w:pPr>
      <w:spacing w:line="360" w:lineRule="auto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qFormat/>
    <w:rsid w:val="00751933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751933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751933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751933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751933"/>
    <w:rPr>
      <w:b/>
      <w:bCs/>
      <w:sz w:val="44"/>
      <w:szCs w:val="4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751933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751933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751933"/>
    <w:rPr>
      <w:u w:val="single"/>
    </w:rPr>
  </w:style>
  <w:style w:type="character" w:customStyle="1" w:styleId="Heading5Char">
    <w:name w:val="Heading 5 Char"/>
    <w:basedOn w:val="DefaultParagraphFont"/>
    <w:link w:val="Heading5"/>
    <w:rsid w:val="00751933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xport/sites/www/standards/en/pdf/03-60-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CC2B-5531-4193-B356-B2143FAB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CWS/6/20 (in Arabic)</vt:lpstr>
    </vt:vector>
  </TitlesOfParts>
  <Company>WIPO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CWS/6/20 (in Arabic)</dc:title>
  <dc:subject>Revision of WIPO Standard ST.60</dc:subject>
  <dc:creator>WIPO</dc:creator>
  <cp:keywords>CWS</cp:keywords>
  <cp:lastModifiedBy>DRAKE Sophie</cp:lastModifiedBy>
  <cp:revision>4</cp:revision>
  <cp:lastPrinted>2018-08-14T13:53:00Z</cp:lastPrinted>
  <dcterms:created xsi:type="dcterms:W3CDTF">2018-08-14T08:00:00Z</dcterms:created>
  <dcterms:modified xsi:type="dcterms:W3CDTF">2018-09-06T12:48:00Z</dcterms:modified>
  <cp:category>CWS </cp:category>
</cp:coreProperties>
</file>