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4C4E46" w:rsidTr="004F5B45">
        <w:tc>
          <w:tcPr>
            <w:tcW w:w="4843" w:type="dxa"/>
            <w:tcBorders>
              <w:bottom w:val="single" w:sz="4" w:space="0" w:color="auto"/>
            </w:tcBorders>
          </w:tcPr>
          <w:p w:rsidR="004C4E46" w:rsidRDefault="004C4E46" w:rsidP="004F5B45">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4C4E46" w:rsidRDefault="004C4E46" w:rsidP="004F5B45">
            <w:pPr>
              <w:bidi/>
              <w:spacing w:after="20"/>
              <w:rPr>
                <w:rFonts w:ascii="Arabic Typesetting" w:hAnsi="Arabic Typesetting" w:cs="Arabic Typesetting"/>
                <w:sz w:val="36"/>
                <w:szCs w:val="36"/>
                <w:rtl/>
              </w:rPr>
            </w:pPr>
            <w:r>
              <w:rPr>
                <w:noProof/>
              </w:rPr>
              <w:drawing>
                <wp:inline distT="0" distB="0" distL="0" distR="0" wp14:anchorId="4510909E" wp14:editId="2788DD0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4C4E46" w:rsidRPr="001667B6" w:rsidRDefault="004C4E46" w:rsidP="004F5B45">
            <w:pPr>
              <w:rPr>
                <w:b/>
                <w:bCs/>
                <w:sz w:val="40"/>
                <w:szCs w:val="40"/>
              </w:rPr>
            </w:pPr>
            <w:r>
              <w:rPr>
                <w:b/>
                <w:bCs/>
                <w:sz w:val="40"/>
                <w:szCs w:val="40"/>
              </w:rPr>
              <w:t>A</w:t>
            </w:r>
          </w:p>
        </w:tc>
      </w:tr>
      <w:tr w:rsidR="004C4E46" w:rsidTr="004F5B45">
        <w:trPr>
          <w:trHeight w:val="333"/>
        </w:trPr>
        <w:tc>
          <w:tcPr>
            <w:tcW w:w="9571" w:type="dxa"/>
            <w:gridSpan w:val="3"/>
            <w:tcBorders>
              <w:top w:val="single" w:sz="4" w:space="0" w:color="auto"/>
            </w:tcBorders>
            <w:vAlign w:val="bottom"/>
          </w:tcPr>
          <w:p w:rsidR="004C4E46" w:rsidRPr="00B6101C" w:rsidRDefault="004C4E46" w:rsidP="004F5B45">
            <w:pPr>
              <w:pStyle w:val="DocumentCodeAR"/>
              <w:bidi/>
              <w:rPr>
                <w:rtl/>
              </w:rPr>
            </w:pPr>
            <w:r w:rsidRPr="00404708">
              <w:t>CLIM/CE/2</w:t>
            </w:r>
            <w:r>
              <w:t>8</w:t>
            </w:r>
            <w:r w:rsidR="004F5B45">
              <w:t>/2</w:t>
            </w:r>
          </w:p>
        </w:tc>
      </w:tr>
      <w:tr w:rsidR="004C4E46" w:rsidTr="004F5B45">
        <w:tc>
          <w:tcPr>
            <w:tcW w:w="9571" w:type="dxa"/>
            <w:gridSpan w:val="3"/>
          </w:tcPr>
          <w:p w:rsidR="004C4E46" w:rsidRPr="00B6101C" w:rsidRDefault="004F5B45" w:rsidP="004F5B45">
            <w:pPr>
              <w:pStyle w:val="DocumentLanguageAR"/>
              <w:bidi/>
              <w:rPr>
                <w:rtl/>
                <w:lang w:bidi="ar-EG"/>
              </w:rPr>
            </w:pPr>
            <w:r>
              <w:rPr>
                <w:rFonts w:hint="cs"/>
                <w:rtl/>
              </w:rPr>
              <w:t xml:space="preserve">الأصل: </w:t>
            </w:r>
            <w:r>
              <w:rPr>
                <w:rFonts w:hint="cs"/>
                <w:rtl/>
                <w:lang w:bidi="ar-EG"/>
              </w:rPr>
              <w:t>بالإنكليزية</w:t>
            </w:r>
          </w:p>
        </w:tc>
      </w:tr>
      <w:tr w:rsidR="004C4E46" w:rsidTr="004F5B45">
        <w:tc>
          <w:tcPr>
            <w:tcW w:w="9571" w:type="dxa"/>
            <w:gridSpan w:val="3"/>
          </w:tcPr>
          <w:p w:rsidR="004C4E46" w:rsidRPr="00B6101C" w:rsidRDefault="004C4E46" w:rsidP="004F5B45">
            <w:pPr>
              <w:pStyle w:val="DocumentDateAR"/>
              <w:bidi/>
              <w:rPr>
                <w:rtl/>
              </w:rPr>
            </w:pPr>
            <w:r w:rsidRPr="00B6101C">
              <w:rPr>
                <w:rFonts w:hint="cs"/>
                <w:rtl/>
              </w:rPr>
              <w:t xml:space="preserve">التاريخ: </w:t>
            </w:r>
            <w:r w:rsidR="004F5B45">
              <w:rPr>
                <w:rFonts w:hint="cs"/>
                <w:rtl/>
              </w:rPr>
              <w:t>4 يونيو</w:t>
            </w:r>
            <w:r w:rsidRPr="00B6101C">
              <w:rPr>
                <w:rFonts w:hint="cs"/>
                <w:rtl/>
              </w:rPr>
              <w:t xml:space="preserve"> </w:t>
            </w:r>
            <w:r>
              <w:rPr>
                <w:rFonts w:hint="cs"/>
                <w:rtl/>
              </w:rPr>
              <w:t>2018</w:t>
            </w:r>
          </w:p>
        </w:tc>
      </w:tr>
    </w:tbl>
    <w:p w:rsidR="004C4E46" w:rsidRDefault="004C4E46" w:rsidP="004C4E46">
      <w:pPr>
        <w:bidi/>
        <w:spacing w:line="360" w:lineRule="exact"/>
        <w:rPr>
          <w:rFonts w:ascii="Arabic Typesetting" w:hAnsi="Arabic Typesetting" w:cs="Arabic Typesetting"/>
          <w:sz w:val="36"/>
          <w:szCs w:val="36"/>
          <w:rtl/>
        </w:rPr>
      </w:pPr>
    </w:p>
    <w:p w:rsidR="004C4E46" w:rsidRDefault="004C4E46" w:rsidP="004C4E46">
      <w:pPr>
        <w:bidi/>
        <w:spacing w:line="360" w:lineRule="exact"/>
        <w:rPr>
          <w:rFonts w:ascii="Arabic Typesetting" w:hAnsi="Arabic Typesetting" w:cs="Arabic Typesetting"/>
          <w:sz w:val="36"/>
          <w:szCs w:val="36"/>
          <w:rtl/>
        </w:rPr>
      </w:pPr>
    </w:p>
    <w:p w:rsidR="004C4E46" w:rsidRDefault="004C4E46" w:rsidP="004C4E46">
      <w:pPr>
        <w:bidi/>
        <w:spacing w:line="360" w:lineRule="exact"/>
        <w:rPr>
          <w:rFonts w:ascii="Arabic Typesetting" w:hAnsi="Arabic Typesetting" w:cs="Arabic Typesetting"/>
          <w:sz w:val="36"/>
          <w:szCs w:val="36"/>
          <w:rtl/>
        </w:rPr>
      </w:pPr>
    </w:p>
    <w:p w:rsidR="004C4E46" w:rsidRDefault="004C4E46" w:rsidP="004C4E46">
      <w:pPr>
        <w:pStyle w:val="MeetingTitleAR"/>
        <w:bidi/>
        <w:ind w:right="550"/>
      </w:pPr>
      <w:r w:rsidRPr="00404708">
        <w:rPr>
          <w:rtl/>
        </w:rPr>
        <w:t>الاتحاد الخاص للتصنيف الدولي للسلع والخدمات لأغراض تسجيل العلامات (اتحاد نيس)</w:t>
      </w:r>
    </w:p>
    <w:p w:rsidR="004C4E46" w:rsidRPr="00404708" w:rsidRDefault="004C4E46" w:rsidP="004C4E46">
      <w:pPr>
        <w:pStyle w:val="NormalParaAR"/>
      </w:pPr>
    </w:p>
    <w:p w:rsidR="004C4E46" w:rsidRPr="00AB54AE" w:rsidRDefault="004C4E46" w:rsidP="004C4E46">
      <w:pPr>
        <w:pStyle w:val="MeetingTitleAR"/>
        <w:bidi/>
        <w:ind w:right="550"/>
        <w:rPr>
          <w:rtl/>
        </w:rPr>
      </w:pPr>
      <w:r>
        <w:rPr>
          <w:rFonts w:hint="cs"/>
          <w:rtl/>
        </w:rPr>
        <w:t>لجنة الخبراء</w:t>
      </w:r>
    </w:p>
    <w:p w:rsidR="004C4E46" w:rsidRDefault="004C4E46" w:rsidP="004C4E46">
      <w:pPr>
        <w:bidi/>
        <w:spacing w:line="360" w:lineRule="exact"/>
        <w:rPr>
          <w:rFonts w:ascii="Arabic Typesetting" w:hAnsi="Arabic Typesetting" w:cs="Arabic Typesetting"/>
          <w:sz w:val="36"/>
          <w:szCs w:val="36"/>
          <w:rtl/>
        </w:rPr>
      </w:pPr>
    </w:p>
    <w:p w:rsidR="004C4E46" w:rsidRPr="00783D11" w:rsidRDefault="004C4E46" w:rsidP="004C4E46">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والعشرون</w:t>
      </w:r>
    </w:p>
    <w:p w:rsidR="004C4E46" w:rsidRPr="00D61541" w:rsidRDefault="004C4E46" w:rsidP="004C4E46">
      <w:pPr>
        <w:pStyle w:val="MeetingDatesAR"/>
        <w:bidi/>
        <w:rPr>
          <w:rtl/>
        </w:rPr>
      </w:pPr>
      <w:r w:rsidRPr="00D61541">
        <w:rPr>
          <w:rFonts w:hint="cs"/>
          <w:rtl/>
        </w:rPr>
        <w:t xml:space="preserve">جنيف، </w:t>
      </w:r>
      <w:r>
        <w:rPr>
          <w:rFonts w:hint="cs"/>
          <w:rtl/>
        </w:rPr>
        <w:t>من 30 أبريل إلى 4 مايو 2018</w:t>
      </w:r>
    </w:p>
    <w:p w:rsidR="004C4E46" w:rsidRDefault="004C4E46" w:rsidP="004C4E46">
      <w:pPr>
        <w:bidi/>
        <w:spacing w:line="360" w:lineRule="exact"/>
        <w:rPr>
          <w:rFonts w:ascii="Arabic Typesetting" w:hAnsi="Arabic Typesetting" w:cs="Arabic Typesetting"/>
          <w:sz w:val="36"/>
          <w:szCs w:val="36"/>
          <w:rtl/>
        </w:rPr>
      </w:pPr>
    </w:p>
    <w:p w:rsidR="004C4E46" w:rsidRDefault="004C4E46" w:rsidP="004C4E46">
      <w:pPr>
        <w:bidi/>
        <w:spacing w:line="360" w:lineRule="exact"/>
        <w:rPr>
          <w:rFonts w:ascii="Arabic Typesetting" w:hAnsi="Arabic Typesetting" w:cs="Arabic Typesetting"/>
          <w:sz w:val="36"/>
          <w:szCs w:val="36"/>
          <w:rtl/>
        </w:rPr>
      </w:pPr>
    </w:p>
    <w:p w:rsidR="004C4E46" w:rsidRPr="00D61541" w:rsidRDefault="004F5B45" w:rsidP="004C4E46">
      <w:pPr>
        <w:pStyle w:val="DocumentTitleAR"/>
        <w:bidi/>
        <w:rPr>
          <w:rtl/>
        </w:rPr>
      </w:pPr>
      <w:r>
        <w:rPr>
          <w:rFonts w:hint="cs"/>
          <w:rtl/>
        </w:rPr>
        <w:t>تقرير</w:t>
      </w:r>
    </w:p>
    <w:p w:rsidR="004C4E46" w:rsidRPr="00D61541" w:rsidRDefault="004F5B45" w:rsidP="004C4E46">
      <w:pPr>
        <w:pStyle w:val="PreparedbyAR"/>
        <w:bidi/>
        <w:rPr>
          <w:rtl/>
        </w:rPr>
      </w:pPr>
      <w:r>
        <w:rPr>
          <w:rFonts w:hint="cs"/>
          <w:rtl/>
        </w:rPr>
        <w:t>اعتمدته لجنة الخبراء</w:t>
      </w:r>
    </w:p>
    <w:p w:rsidR="004F5B45" w:rsidRDefault="004F5B45" w:rsidP="008B7AC5">
      <w:pPr>
        <w:pStyle w:val="Heading1"/>
        <w:spacing w:after="230"/>
        <w:rPr>
          <w:rtl/>
        </w:rPr>
      </w:pPr>
      <w:r>
        <w:rPr>
          <w:rtl/>
        </w:rPr>
        <w:t>المقدمة</w:t>
      </w:r>
    </w:p>
    <w:p w:rsidR="004F5B45" w:rsidRDefault="004F5B45" w:rsidP="008B7AC5">
      <w:pPr>
        <w:pStyle w:val="NumberedParaAR"/>
        <w:spacing w:after="230"/>
        <w:rPr>
          <w:rtl/>
        </w:rPr>
      </w:pPr>
      <w:r>
        <w:rPr>
          <w:rtl/>
        </w:rPr>
        <w:t xml:space="preserve">عقدت لجنة خبراء اتحاد نيس (اللجنة) دورتها </w:t>
      </w:r>
      <w:r>
        <w:rPr>
          <w:rFonts w:hint="cs"/>
          <w:rtl/>
        </w:rPr>
        <w:t>الثامنة</w:t>
      </w:r>
      <w:r>
        <w:rPr>
          <w:rtl/>
        </w:rPr>
        <w:t xml:space="preserve"> والعشرين في جنيف في الفترة من </w:t>
      </w:r>
      <w:r>
        <w:rPr>
          <w:rFonts w:hint="cs"/>
          <w:rtl/>
        </w:rPr>
        <w:t>30 أبريل إلى 4 مايو 2018</w:t>
      </w:r>
      <w:r>
        <w:rPr>
          <w:rtl/>
        </w:rPr>
        <w:t xml:space="preserve">. وكان الأعضاء التالية أسماؤهم ممثلين في الدورة: </w:t>
      </w:r>
      <w:r>
        <w:rPr>
          <w:rFonts w:hint="cs"/>
          <w:rtl/>
        </w:rPr>
        <w:t xml:space="preserve">الجزائر، </w:t>
      </w:r>
      <w:r>
        <w:rPr>
          <w:rtl/>
        </w:rPr>
        <w:t>أستراليا، النمسا، بيلاروس، الصين،</w:t>
      </w:r>
      <w:r>
        <w:rPr>
          <w:rFonts w:hint="cs"/>
          <w:rtl/>
        </w:rPr>
        <w:t xml:space="preserve"> كرواتيا،</w:t>
      </w:r>
      <w:r>
        <w:rPr>
          <w:rtl/>
        </w:rPr>
        <w:t xml:space="preserve"> الجمهورية التشيكية، الدانمرك، إستونيا، فنلندا، فرنسا، ألمانيا،</w:t>
      </w:r>
      <w:r>
        <w:rPr>
          <w:rFonts w:hint="cs"/>
          <w:rtl/>
        </w:rPr>
        <w:t xml:space="preserve"> هنغاريا،</w:t>
      </w:r>
      <w:r>
        <w:rPr>
          <w:rtl/>
        </w:rPr>
        <w:t xml:space="preserve"> إسرائيل، إيطاليا، اليابان، لاتفيا، ليتوانيا، المكسيك، هولندا، نيوزيلندا، النرويج، بولندا، جمهورية كوريا، رومانيا، الاتحاد الروسي، سنغافورة، سلوفاكيا، إسبانيا، السويد، سويسرا،</w:t>
      </w:r>
      <w:r w:rsidRPr="004F5B45">
        <w:rPr>
          <w:rtl/>
        </w:rPr>
        <w:t xml:space="preserve"> جمهورية مقدونيا اليوغوسلافية السابقة</w:t>
      </w:r>
      <w:r>
        <w:rPr>
          <w:rFonts w:hint="cs"/>
          <w:rtl/>
        </w:rPr>
        <w:t>،</w:t>
      </w:r>
      <w:r>
        <w:rPr>
          <w:rtl/>
        </w:rPr>
        <w:t xml:space="preserve"> تركيا، أوكرانيا، المملكة المتحدة، الولايات المتحدة الأمريكية (</w:t>
      </w:r>
      <w:r>
        <w:rPr>
          <w:rFonts w:hint="cs"/>
          <w:rtl/>
        </w:rPr>
        <w:t>36</w:t>
      </w:r>
      <w:r>
        <w:rPr>
          <w:rtl/>
        </w:rPr>
        <w:t xml:space="preserve">). وكانت الدول التالية ممثلة بصفة مراقب: </w:t>
      </w:r>
      <w:r>
        <w:rPr>
          <w:rFonts w:hint="cs"/>
          <w:rtl/>
        </w:rPr>
        <w:t>الهند</w:t>
      </w:r>
      <w:r>
        <w:rPr>
          <w:rtl/>
        </w:rPr>
        <w:t>، المملكة العربية السعودية، تايلند (</w:t>
      </w:r>
      <w:r>
        <w:rPr>
          <w:rFonts w:hint="cs"/>
          <w:rtl/>
        </w:rPr>
        <w:t>3</w:t>
      </w:r>
      <w:r>
        <w:rPr>
          <w:rtl/>
        </w:rPr>
        <w:t>). وشارك في الدورة ممثلو المنظم</w:t>
      </w:r>
      <w:r>
        <w:rPr>
          <w:rFonts w:hint="cs"/>
          <w:rtl/>
        </w:rPr>
        <w:t>تين</w:t>
      </w:r>
      <w:r>
        <w:rPr>
          <w:rtl/>
        </w:rPr>
        <w:t xml:space="preserve"> الحكومي</w:t>
      </w:r>
      <w:r>
        <w:rPr>
          <w:rFonts w:hint="cs"/>
          <w:rtl/>
        </w:rPr>
        <w:t>تين</w:t>
      </w:r>
      <w:r>
        <w:rPr>
          <w:rtl/>
        </w:rPr>
        <w:t xml:space="preserve"> الدولي</w:t>
      </w:r>
      <w:r>
        <w:rPr>
          <w:rFonts w:hint="cs"/>
          <w:rtl/>
        </w:rPr>
        <w:t>تين</w:t>
      </w:r>
      <w:r>
        <w:rPr>
          <w:rtl/>
        </w:rPr>
        <w:t xml:space="preserve"> التالي</w:t>
      </w:r>
      <w:r>
        <w:rPr>
          <w:rFonts w:hint="cs"/>
          <w:rtl/>
        </w:rPr>
        <w:t>تين</w:t>
      </w:r>
      <w:r>
        <w:rPr>
          <w:rtl/>
        </w:rPr>
        <w:t xml:space="preserve"> بصفة مراقب: مكتب بنيلوكس للملكية الفكرية (</w:t>
      </w:r>
      <w:r>
        <w:t>BOIP</w:t>
      </w:r>
      <w:r>
        <w:rPr>
          <w:rtl/>
        </w:rPr>
        <w:t>)، الاتحاد الأوروبي. وحضر الدورة ممثلو المنظم</w:t>
      </w:r>
      <w:r>
        <w:rPr>
          <w:rFonts w:hint="cs"/>
          <w:rtl/>
        </w:rPr>
        <w:t>ات</w:t>
      </w:r>
      <w:r>
        <w:rPr>
          <w:rtl/>
        </w:rPr>
        <w:t xml:space="preserve"> غير الحكومي</w:t>
      </w:r>
      <w:r>
        <w:rPr>
          <w:rFonts w:hint="cs"/>
          <w:rtl/>
        </w:rPr>
        <w:t>ة</w:t>
      </w:r>
      <w:r>
        <w:rPr>
          <w:rtl/>
        </w:rPr>
        <w:t xml:space="preserve"> التالي</w:t>
      </w:r>
      <w:r>
        <w:rPr>
          <w:rFonts w:hint="cs"/>
          <w:rtl/>
        </w:rPr>
        <w:t>ة</w:t>
      </w:r>
      <w:r>
        <w:rPr>
          <w:rtl/>
        </w:rPr>
        <w:t xml:space="preserve"> بصفة مراقب: </w:t>
      </w:r>
      <w:r w:rsidRPr="004F5B45">
        <w:rPr>
          <w:rtl/>
        </w:rPr>
        <w:t xml:space="preserve">الجمعية الأمريكية لقانون الملكية الفكرية </w:t>
      </w:r>
      <w:r>
        <w:t>(AIPLA)</w:t>
      </w:r>
      <w:r>
        <w:rPr>
          <w:rFonts w:hint="cs"/>
          <w:rtl/>
          <w:lang w:bidi="ar-EG"/>
        </w:rPr>
        <w:t xml:space="preserve">، </w:t>
      </w:r>
      <w:r w:rsidRPr="004F5B45">
        <w:rPr>
          <w:rtl/>
          <w:lang w:bidi="ar-EG"/>
        </w:rPr>
        <w:t xml:space="preserve">معهد الملكية الفكرية في كندا </w:t>
      </w:r>
      <w:r>
        <w:rPr>
          <w:lang w:bidi="ar-EG"/>
        </w:rPr>
        <w:t>(IPIC)</w:t>
      </w:r>
      <w:r>
        <w:rPr>
          <w:rFonts w:hint="cs"/>
          <w:rtl/>
          <w:lang w:bidi="ar-EG"/>
        </w:rPr>
        <w:t xml:space="preserve">، </w:t>
      </w:r>
      <w:r>
        <w:rPr>
          <w:rtl/>
        </w:rPr>
        <w:t>الرابطة الدولية للعلامات التجارية (</w:t>
      </w:r>
      <w:r>
        <w:t>INTA</w:t>
      </w:r>
      <w:r>
        <w:rPr>
          <w:rtl/>
        </w:rPr>
        <w:t>)، الجمعية اليابانية لوكلاء البراءات (</w:t>
      </w:r>
      <w:r>
        <w:t>JPAA</w:t>
      </w:r>
      <w:r>
        <w:rPr>
          <w:rtl/>
        </w:rPr>
        <w:t>). وترد قائمة المشاركين في المرفق الأول من هذا التقرير.</w:t>
      </w:r>
    </w:p>
    <w:p w:rsidR="002F77FC" w:rsidRDefault="004F5B45" w:rsidP="008B7AC5">
      <w:pPr>
        <w:pStyle w:val="NumberedParaAR"/>
        <w:spacing w:after="230"/>
      </w:pPr>
      <w:r>
        <w:rPr>
          <w:rtl/>
        </w:rPr>
        <w:t xml:space="preserve">وافتتح الدورة السيد </w:t>
      </w:r>
      <w:r>
        <w:rPr>
          <w:rFonts w:hint="cs"/>
          <w:rtl/>
        </w:rPr>
        <w:t>فرانسس غري، المدير العام للويبو، ورحّب بالمشاركين.</w:t>
      </w:r>
    </w:p>
    <w:p w:rsidR="004F5B45" w:rsidRDefault="004F5B45" w:rsidP="008B7AC5">
      <w:pPr>
        <w:pStyle w:val="Heading1"/>
        <w:spacing w:after="230"/>
        <w:rPr>
          <w:rtl/>
        </w:rPr>
      </w:pPr>
      <w:r>
        <w:rPr>
          <w:rtl/>
        </w:rPr>
        <w:lastRenderedPageBreak/>
        <w:t>أعضاء المكتب</w:t>
      </w:r>
    </w:p>
    <w:p w:rsidR="004F5B45" w:rsidRDefault="004F5B45" w:rsidP="008B7AC5">
      <w:pPr>
        <w:pStyle w:val="NumberedParaAR"/>
        <w:spacing w:after="230"/>
      </w:pPr>
      <w:r>
        <w:rPr>
          <w:rFonts w:hint="cs"/>
          <w:rtl/>
        </w:rPr>
        <w:t>انتخبت اللجنة بالإجماع السيدة مونيك شوانيير (الولايات المتحدة الأمريكية) رئيسةً لها والسيدة شي سوان كوك (سنغافورة) والسيد سيباستيان تينغيلي (سويسرا) نائبين للرئيس</w:t>
      </w:r>
      <w:r w:rsidR="0032656F">
        <w:rPr>
          <w:rFonts w:hint="cs"/>
          <w:rtl/>
          <w:lang w:bidi="ar-EG"/>
        </w:rPr>
        <w:t>ة</w:t>
      </w:r>
      <w:r>
        <w:rPr>
          <w:rFonts w:hint="cs"/>
          <w:rtl/>
        </w:rPr>
        <w:t>.</w:t>
      </w:r>
    </w:p>
    <w:p w:rsidR="004F5B45" w:rsidRDefault="004F5B45" w:rsidP="008B7AC5">
      <w:pPr>
        <w:pStyle w:val="NumberedParaAR"/>
        <w:spacing w:after="230"/>
        <w:rPr>
          <w:rtl/>
        </w:rPr>
      </w:pPr>
      <w:r>
        <w:rPr>
          <w:rFonts w:hint="cs"/>
          <w:rtl/>
        </w:rPr>
        <w:t>و</w:t>
      </w:r>
      <w:r>
        <w:rPr>
          <w:rtl/>
        </w:rPr>
        <w:t>تولت السيدة بلقيس فافا (الويبو) مهمة أمين الدورة.</w:t>
      </w:r>
    </w:p>
    <w:p w:rsidR="004F5B45" w:rsidRDefault="004F5B45" w:rsidP="008B7AC5">
      <w:pPr>
        <w:pStyle w:val="Heading1"/>
        <w:spacing w:after="230"/>
        <w:rPr>
          <w:rtl/>
        </w:rPr>
      </w:pPr>
      <w:r>
        <w:rPr>
          <w:rtl/>
        </w:rPr>
        <w:t>اعتماد جدول الأعمال</w:t>
      </w:r>
    </w:p>
    <w:p w:rsidR="004F5B45" w:rsidRDefault="004F5B45" w:rsidP="008B7AC5">
      <w:pPr>
        <w:pStyle w:val="NumberedParaAR"/>
        <w:spacing w:after="230"/>
        <w:ind w:left="567"/>
        <w:rPr>
          <w:rtl/>
        </w:rPr>
      </w:pPr>
      <w:r>
        <w:rPr>
          <w:rtl/>
        </w:rPr>
        <w:t>اعتمدت اللجنة بالإجماع جدول الأعمال الوارد في المرفق الثاني من هذا التقرير.</w:t>
      </w:r>
    </w:p>
    <w:p w:rsidR="004F5B45" w:rsidRDefault="004F5B45" w:rsidP="008B7AC5">
      <w:pPr>
        <w:pStyle w:val="Heading1"/>
        <w:spacing w:after="230"/>
        <w:rPr>
          <w:rtl/>
        </w:rPr>
      </w:pPr>
      <w:r>
        <w:rPr>
          <w:rtl/>
        </w:rPr>
        <w:t>المناقشات والاستنتاجات والقرارات</w:t>
      </w:r>
    </w:p>
    <w:p w:rsidR="004F5B45" w:rsidRDefault="004F5B45" w:rsidP="008B7AC5">
      <w:pPr>
        <w:pStyle w:val="NumberedParaAR"/>
        <w:spacing w:after="230"/>
        <w:rPr>
          <w:rtl/>
        </w:rPr>
      </w:pPr>
      <w:r>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Pr>
          <w:cs/>
        </w:rPr>
        <w:t>‎</w:t>
      </w:r>
      <w:r>
        <w:t>AB/X/32</w:t>
      </w:r>
      <w:r>
        <w:rPr>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4F5B45" w:rsidRDefault="004F5B45" w:rsidP="0032656F">
      <w:pPr>
        <w:pStyle w:val="Heading1"/>
        <w:spacing w:after="230"/>
        <w:rPr>
          <w:rtl/>
        </w:rPr>
      </w:pPr>
      <w:r>
        <w:rPr>
          <w:rFonts w:hint="cs"/>
          <w:rtl/>
        </w:rPr>
        <w:t xml:space="preserve">قرارات </w:t>
      </w:r>
      <w:r w:rsidR="0032656F">
        <w:rPr>
          <w:rFonts w:hint="cs"/>
          <w:rtl/>
        </w:rPr>
        <w:t>اللجنة</w:t>
      </w:r>
    </w:p>
    <w:p w:rsidR="00841B1A" w:rsidRDefault="004F5B45" w:rsidP="008B7AC5">
      <w:pPr>
        <w:pStyle w:val="NumberedParaAR"/>
        <w:spacing w:after="230"/>
      </w:pPr>
      <w:r>
        <w:rPr>
          <w:rFonts w:hint="cs"/>
          <w:rtl/>
        </w:rPr>
        <w:t>وفقا</w:t>
      </w:r>
      <w:r w:rsidR="00795DD4">
        <w:rPr>
          <w:rFonts w:hint="cs"/>
          <w:rtl/>
        </w:rPr>
        <w:t>ً</w:t>
      </w:r>
      <w:r>
        <w:rPr>
          <w:rFonts w:hint="cs"/>
          <w:rtl/>
        </w:rPr>
        <w:t xml:space="preserve"> لأحكام المادة 3(7)(أ) و(ب) من اتفاق نيس، </w:t>
      </w:r>
      <w:r w:rsidR="00841B1A">
        <w:rPr>
          <w:rFonts w:hint="cs"/>
          <w:rtl/>
        </w:rPr>
        <w:t xml:space="preserve">تُتخذ قرارات اللجنة </w:t>
      </w:r>
      <w:r w:rsidR="00841B1A" w:rsidRPr="00841B1A">
        <w:rPr>
          <w:rtl/>
        </w:rPr>
        <w:t>ب</w:t>
      </w:r>
      <w:r w:rsidR="00841B1A">
        <w:rPr>
          <w:rFonts w:hint="cs"/>
          <w:rtl/>
        </w:rPr>
        <w:t xml:space="preserve">شأن </w:t>
      </w:r>
      <w:r w:rsidR="00841B1A" w:rsidRPr="00841B1A">
        <w:rPr>
          <w:rtl/>
        </w:rPr>
        <w:t xml:space="preserve">اعتماد </w:t>
      </w:r>
      <w:r w:rsidR="00841B1A">
        <w:rPr>
          <w:rFonts w:hint="cs"/>
          <w:rtl/>
        </w:rPr>
        <w:t>تعديلات</w:t>
      </w:r>
      <w:r w:rsidR="00841B1A">
        <w:rPr>
          <w:rStyle w:val="FootnoteReference"/>
          <w:rtl/>
        </w:rPr>
        <w:footnoteReference w:id="1"/>
      </w:r>
      <w:r w:rsidR="00841B1A" w:rsidRPr="00841B1A">
        <w:rPr>
          <w:rtl/>
        </w:rPr>
        <w:t xml:space="preserve"> </w:t>
      </w:r>
      <w:r w:rsidR="00841B1A">
        <w:rPr>
          <w:rFonts w:hint="cs"/>
          <w:rtl/>
        </w:rPr>
        <w:t>في تصنيف نيس (التصنيف) بأغلبية أربعة أخماس بلدان اتحاد نيس الممثلة والمصو</w:t>
      </w:r>
      <w:r w:rsidR="0032656F">
        <w:rPr>
          <w:rFonts w:hint="cs"/>
          <w:rtl/>
        </w:rPr>
        <w:t>ِ</w:t>
      </w:r>
      <w:r w:rsidR="00841B1A">
        <w:rPr>
          <w:rFonts w:hint="cs"/>
          <w:rtl/>
        </w:rPr>
        <w:t>تة في الدورة. وتُتخذ قرارات اللجنة بشأن اعتماد تغييرات أخرى في التصنيف بالأغلبية البسيطة</w:t>
      </w:r>
      <w:r w:rsidR="0032656F">
        <w:rPr>
          <w:rFonts w:hint="cs"/>
          <w:rtl/>
        </w:rPr>
        <w:t xml:space="preserve"> لبلدان اتحاد نيس الممثلة والمصوِ</w:t>
      </w:r>
      <w:r w:rsidR="00841B1A">
        <w:rPr>
          <w:rFonts w:hint="cs"/>
          <w:rtl/>
        </w:rPr>
        <w:t>تة في الدورة.</w:t>
      </w:r>
    </w:p>
    <w:p w:rsidR="00841B1A" w:rsidRDefault="00841B1A" w:rsidP="0032656F">
      <w:pPr>
        <w:pStyle w:val="Heading1"/>
        <w:spacing w:after="230"/>
      </w:pPr>
      <w:r>
        <w:rPr>
          <w:rtl/>
        </w:rPr>
        <w:t xml:space="preserve">تاريخ نفاذ قرارات </w:t>
      </w:r>
      <w:r w:rsidR="0032656F">
        <w:rPr>
          <w:rFonts w:hint="cs"/>
          <w:rtl/>
        </w:rPr>
        <w:t>اللجنة</w:t>
      </w:r>
    </w:p>
    <w:p w:rsidR="00841B1A" w:rsidRDefault="00841B1A" w:rsidP="0032656F">
      <w:pPr>
        <w:pStyle w:val="NumberedParaAR"/>
        <w:spacing w:after="230"/>
        <w:ind w:left="567"/>
      </w:pPr>
      <w:r>
        <w:rPr>
          <w:rtl/>
        </w:rPr>
        <w:t>وفقاً للمادة 7 من النظام الداخلي، وافقت اللجنة على أن</w:t>
      </w:r>
      <w:r>
        <w:rPr>
          <w:rFonts w:hint="cs"/>
          <w:rtl/>
        </w:rPr>
        <w:t xml:space="preserve"> التغييرات التي أُدخلت في التصنيف دون أن تستتبع تعديلاً بالمعنى المقصود في المادة 3(7)(ب) من اتفاق نيس ستدخل ح</w:t>
      </w:r>
      <w:r w:rsidR="0032656F">
        <w:rPr>
          <w:rFonts w:hint="cs"/>
          <w:rtl/>
        </w:rPr>
        <w:t>يز النفاذ في 1 يناير 2019 وتُدرَج</w:t>
      </w:r>
      <w:r>
        <w:rPr>
          <w:rFonts w:hint="cs"/>
          <w:rtl/>
        </w:rPr>
        <w:t xml:space="preserve"> في نسخة </w:t>
      </w:r>
      <w:r w:rsidR="0032656F">
        <w:rPr>
          <w:rFonts w:hint="cs"/>
          <w:rtl/>
        </w:rPr>
        <w:t>جديدة من ا</w:t>
      </w:r>
      <w:r>
        <w:rPr>
          <w:rFonts w:hint="cs"/>
          <w:rtl/>
        </w:rPr>
        <w:t>لتصنيف. وأما التعديلات، فستدخل حيز النفاذ في تاريخ لاحق تحدده اللجنة.</w:t>
      </w:r>
    </w:p>
    <w:p w:rsidR="00841B1A" w:rsidRDefault="00841B1A" w:rsidP="00DE6DE0">
      <w:pPr>
        <w:pStyle w:val="NumberedParaAR"/>
        <w:spacing w:after="230"/>
      </w:pPr>
      <w:r>
        <w:rPr>
          <w:rFonts w:hint="cs"/>
          <w:rtl/>
        </w:rPr>
        <w:t>وأشارت اللجنة إلى أن المكتب الدولي سيعدّ نسخة جديدة من التصنيف (</w:t>
      </w:r>
      <w:r>
        <w:t>NCL(11-2019)</w:t>
      </w:r>
      <w:r>
        <w:rPr>
          <w:rFonts w:hint="cs"/>
          <w:rtl/>
          <w:lang w:bidi="ar-EG"/>
        </w:rPr>
        <w:t>)</w:t>
      </w:r>
      <w:r>
        <w:rPr>
          <w:rFonts w:hint="cs"/>
          <w:rtl/>
        </w:rPr>
        <w:t xml:space="preserve"> </w:t>
      </w:r>
      <w:r w:rsidR="0032656F">
        <w:rPr>
          <w:rFonts w:hint="cs"/>
          <w:rtl/>
        </w:rPr>
        <w:t xml:space="preserve">باللغتين الإنكليزية والفرنسية وينشرها </w:t>
      </w:r>
      <w:r>
        <w:rPr>
          <w:rFonts w:hint="cs"/>
          <w:rtl/>
        </w:rPr>
        <w:t xml:space="preserve">على الإنترنت بحلول نهاية عام 2018. وستُتاح قائمة السلع والخدمات باللغتين الإنكليزية والفرنسية </w:t>
      </w:r>
      <w:r w:rsidR="0032656F">
        <w:rPr>
          <w:rFonts w:hint="cs"/>
          <w:rtl/>
        </w:rPr>
        <w:t xml:space="preserve">في ملف بنسق إكسِل </w:t>
      </w:r>
      <w:r>
        <w:rPr>
          <w:rFonts w:hint="cs"/>
          <w:rtl/>
        </w:rPr>
        <w:t>على المنتدى الإلكتروني بحلول نهاية شهر يونيو 2018.</w:t>
      </w:r>
    </w:p>
    <w:p w:rsidR="00841B1A" w:rsidRDefault="00841B1A" w:rsidP="00795DD4">
      <w:pPr>
        <w:pStyle w:val="NumberedParaAR"/>
        <w:spacing w:after="230"/>
      </w:pPr>
      <w:r>
        <w:rPr>
          <w:rFonts w:hint="cs"/>
          <w:rtl/>
        </w:rPr>
        <w:t xml:space="preserve">ودعت اللجنة المكتب الدولي إلى اغتنام هذه الفرصة </w:t>
      </w:r>
      <w:r w:rsidR="00795DD4">
        <w:rPr>
          <w:rFonts w:hint="cs"/>
          <w:rtl/>
        </w:rPr>
        <w:t>لتدارك</w:t>
      </w:r>
      <w:r>
        <w:rPr>
          <w:rFonts w:hint="cs"/>
          <w:rtl/>
        </w:rPr>
        <w:t xml:space="preserve"> أي أخطاء إملائية أو نحوية واضحة</w:t>
      </w:r>
      <w:r w:rsidR="009E0A9D">
        <w:rPr>
          <w:rFonts w:hint="cs"/>
          <w:rtl/>
        </w:rPr>
        <w:t xml:space="preserve"> ي</w:t>
      </w:r>
      <w:r w:rsidR="00795DD4">
        <w:rPr>
          <w:rFonts w:hint="cs"/>
          <w:rtl/>
        </w:rPr>
        <w:t xml:space="preserve">جدها </w:t>
      </w:r>
      <w:r w:rsidR="009E0A9D">
        <w:rPr>
          <w:rFonts w:hint="cs"/>
          <w:rtl/>
        </w:rPr>
        <w:t>في نص التصنيف وتوحيد استخدام علامات الترقيم قدر الإمكان.</w:t>
      </w:r>
    </w:p>
    <w:p w:rsidR="009E0A9D" w:rsidRDefault="001D3DDF" w:rsidP="008B7AC5">
      <w:pPr>
        <w:pStyle w:val="Heading1"/>
        <w:spacing w:after="230"/>
      </w:pPr>
      <w:r w:rsidRPr="001D3DDF">
        <w:rPr>
          <w:rtl/>
        </w:rPr>
        <w:t>النظر في الاقتراحات التي رُحّلت من الدورة السابعة والعشرين ولم يُوافق عليها بعد</w:t>
      </w:r>
    </w:p>
    <w:p w:rsidR="009E0A9D" w:rsidRDefault="009E0A9D" w:rsidP="00795DD4">
      <w:pPr>
        <w:pStyle w:val="NumberedParaAR"/>
        <w:spacing w:after="230"/>
      </w:pPr>
      <w:r>
        <w:rPr>
          <w:rFonts w:hint="cs"/>
          <w:rtl/>
        </w:rPr>
        <w:t xml:space="preserve">استندت المناقشات إلى </w:t>
      </w:r>
      <w:hyperlink r:id="rId10" w:history="1">
        <w:r w:rsidRPr="009E0A9D">
          <w:rPr>
            <w:rStyle w:val="Hyperlink"/>
            <w:rFonts w:hint="cs"/>
            <w:rtl/>
          </w:rPr>
          <w:t>المرفق 1</w:t>
        </w:r>
      </w:hyperlink>
      <w:r>
        <w:rPr>
          <w:rFonts w:hint="cs"/>
          <w:rtl/>
        </w:rPr>
        <w:t xml:space="preserve"> من المشروع </w:t>
      </w:r>
      <w:hyperlink r:id="rId11" w:history="1">
        <w:r w:rsidRPr="004F5B45">
          <w:rPr>
            <w:rFonts w:eastAsia="SimSun"/>
            <w:color w:val="0000FF"/>
            <w:szCs w:val="22"/>
            <w:u w:val="single"/>
            <w:lang w:eastAsia="zh-CN"/>
          </w:rPr>
          <w:t>CE282</w:t>
        </w:r>
      </w:hyperlink>
      <w:r>
        <w:rPr>
          <w:rFonts w:hint="cs"/>
          <w:rtl/>
        </w:rPr>
        <w:t xml:space="preserve"> الذي يحتوي على جدول </w:t>
      </w:r>
      <w:r w:rsidR="0032656F">
        <w:rPr>
          <w:rFonts w:hint="cs"/>
          <w:rtl/>
        </w:rPr>
        <w:t>بقائمة</w:t>
      </w:r>
      <w:r>
        <w:rPr>
          <w:rFonts w:hint="cs"/>
          <w:rtl/>
        </w:rPr>
        <w:t xml:space="preserve"> التعديلات والتغييرات الأخرى </w:t>
      </w:r>
      <w:r w:rsidR="0032656F">
        <w:rPr>
          <w:rFonts w:hint="cs"/>
          <w:rtl/>
        </w:rPr>
        <w:t>المقترح</w:t>
      </w:r>
      <w:r w:rsidR="00795DD4">
        <w:rPr>
          <w:rFonts w:hint="cs"/>
          <w:rtl/>
        </w:rPr>
        <w:t>ة</w:t>
      </w:r>
      <w:r w:rsidR="0032656F">
        <w:rPr>
          <w:rFonts w:hint="cs"/>
          <w:rtl/>
        </w:rPr>
        <w:t xml:space="preserve"> </w:t>
      </w:r>
      <w:r w:rsidR="00795DD4">
        <w:rPr>
          <w:rFonts w:hint="cs"/>
          <w:rtl/>
        </w:rPr>
        <w:t>في</w:t>
      </w:r>
      <w:r>
        <w:rPr>
          <w:rFonts w:hint="cs"/>
          <w:rtl/>
        </w:rPr>
        <w:t xml:space="preserve"> التصنيف و</w:t>
      </w:r>
      <w:r w:rsidR="00795DD4">
        <w:rPr>
          <w:rFonts w:hint="cs"/>
          <w:rtl/>
        </w:rPr>
        <w:t>التي رُحّلت</w:t>
      </w:r>
      <w:r>
        <w:rPr>
          <w:rFonts w:hint="cs"/>
          <w:rtl/>
        </w:rPr>
        <w:t xml:space="preserve"> من الدورة السابعة والعشرين للجنة </w:t>
      </w:r>
      <w:r w:rsidR="0032656F">
        <w:rPr>
          <w:rFonts w:hint="cs"/>
          <w:rtl/>
        </w:rPr>
        <w:t>ولم يُوافق عليها بعد</w:t>
      </w:r>
      <w:r>
        <w:rPr>
          <w:rFonts w:hint="cs"/>
          <w:rtl/>
        </w:rPr>
        <w:t>.</w:t>
      </w:r>
    </w:p>
    <w:p w:rsidR="009E0A9D" w:rsidRDefault="009E0A9D" w:rsidP="008B7AC5">
      <w:pPr>
        <w:pStyle w:val="NumberedParaAR"/>
        <w:spacing w:after="230"/>
        <w:ind w:left="567"/>
      </w:pPr>
      <w:r>
        <w:rPr>
          <w:rFonts w:hint="cs"/>
          <w:rtl/>
        </w:rPr>
        <w:lastRenderedPageBreak/>
        <w:t xml:space="preserve">اعتمدت اللجنة عدداً محدداً من التعديلات والتغييرات الأخرى في التصنيف. ويمكن الاطلاع على قرارات اللجنة عبر المنتدى الإلكتروني في إطار المشروع </w:t>
      </w:r>
      <w:hyperlink r:id="rId12" w:history="1">
        <w:r w:rsidRPr="004F5B45">
          <w:rPr>
            <w:rFonts w:eastAsia="SimSun"/>
            <w:color w:val="0000FF"/>
            <w:szCs w:val="22"/>
            <w:u w:val="single"/>
            <w:lang w:eastAsia="zh-CN"/>
          </w:rPr>
          <w:t>CE280</w:t>
        </w:r>
      </w:hyperlink>
      <w:r>
        <w:rPr>
          <w:rFonts w:hint="cs"/>
          <w:rtl/>
        </w:rPr>
        <w:t>.</w:t>
      </w:r>
    </w:p>
    <w:p w:rsidR="009E0A9D" w:rsidRPr="001D3DDF" w:rsidRDefault="001D3DDF" w:rsidP="00DE6DE0">
      <w:pPr>
        <w:pStyle w:val="Heading1"/>
        <w:spacing w:after="230"/>
      </w:pPr>
      <w:r w:rsidRPr="001D3DDF">
        <w:rPr>
          <w:rtl/>
        </w:rPr>
        <w:t>النظر في اقتراحات التعديل والتغييرات الأخرى المقترح إدخالها على تصنيف نيس (</w:t>
      </w:r>
      <w:r w:rsidRPr="001D3DDF">
        <w:t>NCL</w:t>
      </w:r>
      <w:r w:rsidR="00DE6DE0">
        <w:t>(</w:t>
      </w:r>
      <w:r w:rsidRPr="001D3DDF">
        <w:t>11-2018</w:t>
      </w:r>
      <w:r w:rsidR="00DE6DE0">
        <w:t>)</w:t>
      </w:r>
      <w:r w:rsidRPr="001D3DDF">
        <w:rPr>
          <w:rtl/>
        </w:rPr>
        <w:t>)</w:t>
      </w:r>
    </w:p>
    <w:p w:rsidR="009E0A9D" w:rsidRPr="009E0A9D" w:rsidRDefault="009E0A9D" w:rsidP="008B7AC5">
      <w:pPr>
        <w:pStyle w:val="Heading2"/>
        <w:spacing w:after="230"/>
        <w:rPr>
          <w:b/>
          <w:bCs/>
        </w:rPr>
      </w:pPr>
      <w:r w:rsidRPr="009E0A9D">
        <w:rPr>
          <w:rFonts w:hint="cs"/>
          <w:b/>
          <w:bCs/>
          <w:rtl/>
        </w:rPr>
        <w:t>(أ)</w:t>
      </w:r>
      <w:r w:rsidRPr="009E0A9D">
        <w:rPr>
          <w:b/>
          <w:bCs/>
          <w:rtl/>
        </w:rPr>
        <w:tab/>
      </w:r>
      <w:r w:rsidR="00EB0AF7">
        <w:rPr>
          <w:rFonts w:hint="cs"/>
          <w:b/>
          <w:bCs/>
          <w:rtl/>
        </w:rPr>
        <w:t>مختلف الاقتراحات</w:t>
      </w:r>
    </w:p>
    <w:p w:rsidR="009E0A9D" w:rsidRDefault="009E0A9D" w:rsidP="00795DD4">
      <w:pPr>
        <w:pStyle w:val="NumberedParaAR"/>
        <w:spacing w:after="230"/>
      </w:pPr>
      <w:r>
        <w:rPr>
          <w:rFonts w:hint="cs"/>
          <w:rtl/>
        </w:rPr>
        <w:t xml:space="preserve">استندت المناقشات إلى </w:t>
      </w:r>
      <w:hyperlink r:id="rId13" w:history="1">
        <w:r w:rsidRPr="009E0A9D">
          <w:rPr>
            <w:rStyle w:val="Hyperlink"/>
            <w:rFonts w:hint="cs"/>
            <w:rtl/>
          </w:rPr>
          <w:t>المرفق 2</w:t>
        </w:r>
      </w:hyperlink>
      <w:r>
        <w:rPr>
          <w:rFonts w:hint="cs"/>
          <w:rtl/>
        </w:rPr>
        <w:t xml:space="preserve"> من المشروع </w:t>
      </w:r>
      <w:hyperlink r:id="rId14" w:history="1">
        <w:r w:rsidRPr="004F5B45">
          <w:rPr>
            <w:rFonts w:eastAsia="SimSun"/>
            <w:color w:val="0000FF"/>
            <w:szCs w:val="22"/>
            <w:u w:val="single"/>
            <w:lang w:eastAsia="zh-CN"/>
          </w:rPr>
          <w:t>CE282</w:t>
        </w:r>
      </w:hyperlink>
      <w:r>
        <w:rPr>
          <w:rFonts w:hint="cs"/>
          <w:rtl/>
        </w:rPr>
        <w:t xml:space="preserve"> الذي</w:t>
      </w:r>
      <w:r>
        <w:rPr>
          <w:rFonts w:hint="cs"/>
          <w:rtl/>
          <w:lang w:bidi="ar-EG"/>
        </w:rPr>
        <w:t xml:space="preserve"> يحتوي على جدول </w:t>
      </w:r>
      <w:r w:rsidR="00795DD4">
        <w:rPr>
          <w:rFonts w:hint="cs"/>
          <w:rtl/>
          <w:lang w:bidi="ar-EG"/>
        </w:rPr>
        <w:t xml:space="preserve">بقائمة </w:t>
      </w:r>
      <w:r>
        <w:rPr>
          <w:rFonts w:hint="cs"/>
          <w:rtl/>
          <w:lang w:bidi="ar-EG"/>
        </w:rPr>
        <w:t xml:space="preserve">التعديلات والتغييرات الأخرى </w:t>
      </w:r>
      <w:r w:rsidR="00795DD4">
        <w:rPr>
          <w:rFonts w:hint="cs"/>
          <w:rtl/>
          <w:lang w:bidi="ar-EG"/>
        </w:rPr>
        <w:t xml:space="preserve">المقترحة </w:t>
      </w:r>
      <w:r>
        <w:rPr>
          <w:rFonts w:hint="cs"/>
          <w:rtl/>
          <w:lang w:bidi="ar-EG"/>
        </w:rPr>
        <w:t>في نسخة التصنيف لعام 2018.</w:t>
      </w:r>
    </w:p>
    <w:p w:rsidR="009E0A9D" w:rsidRDefault="009E0A9D" w:rsidP="008B7AC5">
      <w:pPr>
        <w:pStyle w:val="NumberedParaAR"/>
        <w:spacing w:after="230"/>
        <w:ind w:left="567"/>
      </w:pPr>
      <w:r>
        <w:rPr>
          <w:rFonts w:hint="cs"/>
          <w:rtl/>
        </w:rPr>
        <w:t xml:space="preserve">اعتمدت اللجنة عدداً كبيراً من التعديلات والتغييرات الأخرى في التصنيف. ويمكن الاطلاع على قرارات اللجنة عبر المنتدى الإلكتروني في إطار المشروع </w:t>
      </w:r>
      <w:hyperlink r:id="rId15" w:history="1">
        <w:r w:rsidRPr="004F5B45">
          <w:rPr>
            <w:rFonts w:eastAsia="SimSun"/>
            <w:color w:val="0000FF"/>
            <w:szCs w:val="22"/>
            <w:u w:val="single"/>
            <w:lang w:eastAsia="zh-CN"/>
          </w:rPr>
          <w:t>CE280</w:t>
        </w:r>
      </w:hyperlink>
      <w:r>
        <w:rPr>
          <w:rFonts w:hint="cs"/>
          <w:rtl/>
        </w:rPr>
        <w:t>.</w:t>
      </w:r>
    </w:p>
    <w:p w:rsidR="009E0A9D" w:rsidRDefault="009E0A9D" w:rsidP="00795DD4">
      <w:pPr>
        <w:pStyle w:val="NumberedParaAR"/>
        <w:spacing w:after="230"/>
      </w:pPr>
      <w:r>
        <w:rPr>
          <w:rFonts w:hint="cs"/>
          <w:rtl/>
        </w:rPr>
        <w:t xml:space="preserve">وأشارت اللجنة إلى </w:t>
      </w:r>
      <w:r w:rsidR="00795DD4">
        <w:rPr>
          <w:rFonts w:hint="cs"/>
          <w:rtl/>
        </w:rPr>
        <w:t>إرجاء</w:t>
      </w:r>
      <w:r>
        <w:rPr>
          <w:rFonts w:hint="cs"/>
          <w:rtl/>
        </w:rPr>
        <w:t xml:space="preserve"> البت في الاقتراحات المتعلقة بالأغذية والمشروبات، وبخاصة الأغذية والمشروبات المميزة لبلدان أو مناطق محددة ولكنها غير معروفة عالمياً، إلى حين إعداد مبادئ توجيهية مفصَّلة أكثر وتقديمها إلى اللجنة. </w:t>
      </w:r>
      <w:r w:rsidR="00EB0AF7">
        <w:rPr>
          <w:rFonts w:hint="cs"/>
          <w:rtl/>
        </w:rPr>
        <w:t>وتطوعت وفود فرنسا وإيطاليا وسويسرا والمملكة المتحدة للمشاركة في ذلك المشروع.</w:t>
      </w:r>
    </w:p>
    <w:p w:rsidR="00EB0AF7" w:rsidRDefault="00EB0AF7" w:rsidP="008B7AC5">
      <w:pPr>
        <w:pStyle w:val="NumberedParaAR"/>
        <w:spacing w:after="230"/>
      </w:pPr>
      <w:r>
        <w:rPr>
          <w:rFonts w:hint="cs"/>
          <w:rtl/>
        </w:rPr>
        <w:t>وأشارت اللجنة أيضاً إلى أن الاقتراحات التي لم يتسنَ مناقشتها في هذه الدورة لعدم كفاية الوقت ستُدر</w:t>
      </w:r>
      <w:r w:rsidR="00795DD4">
        <w:rPr>
          <w:rFonts w:hint="cs"/>
          <w:rtl/>
        </w:rPr>
        <w:t>َ</w:t>
      </w:r>
      <w:r>
        <w:rPr>
          <w:rFonts w:hint="cs"/>
          <w:rtl/>
        </w:rPr>
        <w:t xml:space="preserve">ج في وثيقة عمل منفصلة على المنتدى الإلكتروني في إطار المرفق 1 من المشروع </w:t>
      </w:r>
      <w:r w:rsidRPr="004F5B45">
        <w:rPr>
          <w:rFonts w:eastAsia="SimSun"/>
          <w:szCs w:val="22"/>
          <w:lang w:eastAsia="zh-CN"/>
        </w:rPr>
        <w:t>CE292</w:t>
      </w:r>
      <w:r>
        <w:rPr>
          <w:rFonts w:eastAsia="SimSun" w:hint="cs"/>
          <w:szCs w:val="22"/>
          <w:rtl/>
          <w:lang w:eastAsia="zh-CN"/>
        </w:rPr>
        <w:t xml:space="preserve"> </w:t>
      </w:r>
      <w:r w:rsidR="00795DD4">
        <w:rPr>
          <w:rFonts w:hint="cs"/>
          <w:rtl/>
        </w:rPr>
        <w:t>و</w:t>
      </w:r>
      <w:r>
        <w:rPr>
          <w:rFonts w:hint="cs"/>
          <w:rtl/>
        </w:rPr>
        <w:t>تُناق</w:t>
      </w:r>
      <w:r w:rsidR="00795DD4">
        <w:rPr>
          <w:rFonts w:hint="cs"/>
          <w:rtl/>
        </w:rPr>
        <w:t>َ</w:t>
      </w:r>
      <w:r>
        <w:rPr>
          <w:rFonts w:hint="cs"/>
          <w:rtl/>
        </w:rPr>
        <w:t>ش إبّان الدورة التاسعة والعشرين.</w:t>
      </w:r>
    </w:p>
    <w:p w:rsidR="00EB0AF7" w:rsidRPr="00EB0AF7" w:rsidRDefault="00EB0AF7" w:rsidP="008B7AC5">
      <w:pPr>
        <w:pStyle w:val="Heading2"/>
        <w:spacing w:after="230"/>
        <w:rPr>
          <w:b/>
          <w:bCs/>
        </w:rPr>
      </w:pPr>
      <w:r w:rsidRPr="00EB0AF7">
        <w:rPr>
          <w:rFonts w:hint="cs"/>
          <w:b/>
          <w:bCs/>
          <w:rtl/>
        </w:rPr>
        <w:t>(ب)</w:t>
      </w:r>
      <w:r w:rsidRPr="00EB0AF7">
        <w:rPr>
          <w:b/>
          <w:bCs/>
          <w:rtl/>
        </w:rPr>
        <w:tab/>
      </w:r>
      <w:r w:rsidRPr="00EB0AF7">
        <w:rPr>
          <w:rFonts w:hint="cs"/>
          <w:b/>
          <w:bCs/>
          <w:rtl/>
        </w:rPr>
        <w:t>مراجعة عناوين الأصناف</w:t>
      </w:r>
    </w:p>
    <w:p w:rsidR="00EB0AF7" w:rsidRDefault="00EB0AF7" w:rsidP="00795DD4">
      <w:pPr>
        <w:pStyle w:val="NumberedParaAR"/>
        <w:spacing w:after="230"/>
      </w:pPr>
      <w:r>
        <w:rPr>
          <w:rFonts w:hint="cs"/>
          <w:rtl/>
        </w:rPr>
        <w:t xml:space="preserve">استندت المناقشات إلى </w:t>
      </w:r>
      <w:hyperlink r:id="rId16" w:history="1">
        <w:r w:rsidRPr="00EB0AF7">
          <w:rPr>
            <w:rStyle w:val="Hyperlink"/>
            <w:rFonts w:hint="cs"/>
            <w:rtl/>
          </w:rPr>
          <w:t>المرفق 3</w:t>
        </w:r>
      </w:hyperlink>
      <w:r>
        <w:rPr>
          <w:rFonts w:hint="cs"/>
          <w:rtl/>
        </w:rPr>
        <w:t xml:space="preserve"> من المشروع </w:t>
      </w:r>
      <w:hyperlink r:id="rId17" w:history="1">
        <w:r w:rsidRPr="004F5B45">
          <w:rPr>
            <w:rFonts w:eastAsia="SimSun"/>
            <w:color w:val="0000FF"/>
            <w:szCs w:val="22"/>
            <w:u w:val="single"/>
            <w:lang w:eastAsia="zh-CN"/>
          </w:rPr>
          <w:t>CE282</w:t>
        </w:r>
      </w:hyperlink>
      <w:r w:rsidR="00795DD4">
        <w:rPr>
          <w:rFonts w:hint="cs"/>
          <w:rtl/>
          <w:lang w:bidi="ar-EG"/>
        </w:rPr>
        <w:t xml:space="preserve"> الذي يحتوي على اقتراح</w:t>
      </w:r>
      <w:r>
        <w:rPr>
          <w:rFonts w:hint="cs"/>
          <w:rtl/>
          <w:lang w:bidi="ar-EG"/>
        </w:rPr>
        <w:t xml:space="preserve"> مشترك لإدخال تغييرات في تسعة عنوانين أصناف وملاحظاتها التوضيحية قدَّمته اليابان وسويسرا والولايات المتحدة الأمريكية ومكتب الاتحاد الأوروبي للملكية الفكرية والمكتب الدولي.</w:t>
      </w:r>
    </w:p>
    <w:p w:rsidR="00EB0AF7" w:rsidRDefault="00EB0AF7" w:rsidP="008B7AC5">
      <w:pPr>
        <w:pStyle w:val="NumberedParaAR"/>
        <w:spacing w:after="230"/>
        <w:ind w:left="567"/>
      </w:pPr>
      <w:r>
        <w:rPr>
          <w:rFonts w:hint="cs"/>
          <w:rtl/>
          <w:lang w:bidi="ar-EG"/>
        </w:rPr>
        <w:t xml:space="preserve">وافقت اللجنة على الاقتراح مع إدخال بعض التغييرات الطفيفة. </w:t>
      </w:r>
      <w:r>
        <w:rPr>
          <w:rFonts w:hint="cs"/>
          <w:rtl/>
        </w:rPr>
        <w:t xml:space="preserve">ويمكن الاطلاع على قرارات اللجنة عبر المنتدى الإلكتروني في إطار المشروع </w:t>
      </w:r>
      <w:hyperlink r:id="rId18" w:history="1">
        <w:r w:rsidRPr="004F5B45">
          <w:rPr>
            <w:rFonts w:eastAsia="SimSun"/>
            <w:color w:val="0000FF"/>
            <w:szCs w:val="22"/>
            <w:u w:val="single"/>
            <w:lang w:eastAsia="zh-CN"/>
          </w:rPr>
          <w:t>CE280</w:t>
        </w:r>
      </w:hyperlink>
      <w:r>
        <w:rPr>
          <w:rFonts w:hint="cs"/>
          <w:rtl/>
        </w:rPr>
        <w:t>.</w:t>
      </w:r>
    </w:p>
    <w:p w:rsidR="00EB0AF7" w:rsidRPr="00EB0AF7" w:rsidRDefault="00EB0AF7" w:rsidP="008B7AC5">
      <w:pPr>
        <w:pStyle w:val="Heading2"/>
        <w:spacing w:after="230"/>
        <w:rPr>
          <w:b/>
          <w:bCs/>
        </w:rPr>
      </w:pPr>
      <w:r w:rsidRPr="00EB0AF7">
        <w:rPr>
          <w:rFonts w:hint="cs"/>
          <w:b/>
          <w:bCs/>
          <w:rtl/>
        </w:rPr>
        <w:t>(ج)</w:t>
      </w:r>
      <w:r w:rsidRPr="00EB0AF7">
        <w:rPr>
          <w:b/>
          <w:bCs/>
          <w:rtl/>
        </w:rPr>
        <w:tab/>
      </w:r>
      <w:r w:rsidRPr="00EB0AF7">
        <w:rPr>
          <w:rFonts w:hint="cs"/>
          <w:b/>
          <w:bCs/>
          <w:rtl/>
        </w:rPr>
        <w:t>خدمات البحث</w:t>
      </w:r>
    </w:p>
    <w:p w:rsidR="00EB0AF7" w:rsidRDefault="00EB0AF7" w:rsidP="008B7AC5">
      <w:pPr>
        <w:pStyle w:val="NumberedParaAR"/>
        <w:spacing w:after="230"/>
      </w:pPr>
      <w:r>
        <w:rPr>
          <w:rFonts w:hint="cs"/>
          <w:rtl/>
        </w:rPr>
        <w:t xml:space="preserve">استندت المناقشات إلى </w:t>
      </w:r>
      <w:hyperlink r:id="rId19" w:history="1">
        <w:r w:rsidRPr="00EB0AF7">
          <w:rPr>
            <w:rStyle w:val="Hyperlink"/>
            <w:rFonts w:hint="cs"/>
            <w:rtl/>
          </w:rPr>
          <w:t>المرفق 4</w:t>
        </w:r>
      </w:hyperlink>
      <w:r>
        <w:rPr>
          <w:rFonts w:hint="cs"/>
          <w:rtl/>
        </w:rPr>
        <w:t xml:space="preserve"> من المشروع </w:t>
      </w:r>
      <w:hyperlink r:id="rId20" w:history="1">
        <w:r w:rsidRPr="004F5B45">
          <w:rPr>
            <w:rFonts w:eastAsia="SimSun"/>
            <w:color w:val="0000FF"/>
            <w:szCs w:val="22"/>
            <w:u w:val="single"/>
            <w:lang w:eastAsia="zh-CN"/>
          </w:rPr>
          <w:t>CE282</w:t>
        </w:r>
      </w:hyperlink>
      <w:r>
        <w:rPr>
          <w:rFonts w:hint="cs"/>
          <w:rtl/>
        </w:rPr>
        <w:t xml:space="preserve"> الذي يحتوي على اقتراح لتصنيف خدمات البحث قدَّمته الولايات المتحدة الأمريكية.</w:t>
      </w:r>
    </w:p>
    <w:p w:rsidR="00EB0AF7" w:rsidRDefault="00EB0AF7" w:rsidP="008B7AC5">
      <w:pPr>
        <w:pStyle w:val="NumberedParaAR"/>
        <w:spacing w:after="230"/>
        <w:ind w:left="567"/>
      </w:pPr>
      <w:r>
        <w:rPr>
          <w:rFonts w:hint="cs"/>
          <w:rtl/>
        </w:rPr>
        <w:t xml:space="preserve">اعتمدت اللجنة عدداً محدداً من التعديلات والتغييرات الأخرى في التصنيف. ويمكن الاطلاع على قرارات اللجنة عبر المنتدى الإلكتروني في إطار المشروع </w:t>
      </w:r>
      <w:hyperlink r:id="rId21" w:history="1">
        <w:r w:rsidRPr="00EB0AF7">
          <w:rPr>
            <w:rFonts w:eastAsia="SimSun"/>
            <w:color w:val="0000FF"/>
            <w:szCs w:val="22"/>
            <w:u w:val="single"/>
            <w:lang w:eastAsia="zh-CN"/>
          </w:rPr>
          <w:t>CE280</w:t>
        </w:r>
      </w:hyperlink>
      <w:r>
        <w:rPr>
          <w:rFonts w:hint="cs"/>
          <w:rtl/>
        </w:rPr>
        <w:t>.</w:t>
      </w:r>
    </w:p>
    <w:p w:rsidR="00EB0AF7" w:rsidRPr="00EB0AF7" w:rsidRDefault="00EB0AF7" w:rsidP="008B7AC5">
      <w:pPr>
        <w:pStyle w:val="Heading2"/>
        <w:spacing w:after="230"/>
        <w:rPr>
          <w:b/>
          <w:bCs/>
        </w:rPr>
      </w:pPr>
      <w:r>
        <w:rPr>
          <w:rFonts w:hint="cs"/>
          <w:b/>
          <w:bCs/>
          <w:rtl/>
        </w:rPr>
        <w:t>(د)</w:t>
      </w:r>
      <w:r>
        <w:rPr>
          <w:b/>
          <w:bCs/>
          <w:rtl/>
        </w:rPr>
        <w:tab/>
      </w:r>
      <w:r w:rsidRPr="00EB0AF7">
        <w:rPr>
          <w:rFonts w:hint="cs"/>
          <w:b/>
          <w:bCs/>
          <w:rtl/>
        </w:rPr>
        <w:t>الموزعات</w:t>
      </w:r>
    </w:p>
    <w:p w:rsidR="00EB0AF7" w:rsidRDefault="00EB0AF7" w:rsidP="008B7AC5">
      <w:pPr>
        <w:pStyle w:val="NumberedParaAR"/>
        <w:spacing w:after="230"/>
      </w:pPr>
      <w:r>
        <w:rPr>
          <w:rFonts w:hint="cs"/>
          <w:rtl/>
        </w:rPr>
        <w:t xml:space="preserve">استندت المناقشات إلى </w:t>
      </w:r>
      <w:hyperlink r:id="rId22" w:history="1">
        <w:r w:rsidRPr="00EB0AF7">
          <w:rPr>
            <w:rStyle w:val="Hyperlink"/>
            <w:rFonts w:hint="cs"/>
            <w:rtl/>
          </w:rPr>
          <w:t>المرفق 5</w:t>
        </w:r>
      </w:hyperlink>
      <w:r>
        <w:rPr>
          <w:rFonts w:hint="cs"/>
          <w:rtl/>
        </w:rPr>
        <w:t xml:space="preserve"> من المشروع </w:t>
      </w:r>
      <w:hyperlink r:id="rId23" w:history="1">
        <w:r w:rsidRPr="004F5B45">
          <w:rPr>
            <w:rFonts w:eastAsia="SimSun"/>
            <w:color w:val="0000FF"/>
            <w:szCs w:val="22"/>
            <w:u w:val="single"/>
            <w:lang w:eastAsia="zh-CN"/>
          </w:rPr>
          <w:t>CE282</w:t>
        </w:r>
      </w:hyperlink>
      <w:r>
        <w:rPr>
          <w:rFonts w:hint="cs"/>
          <w:rtl/>
          <w:lang w:bidi="ar-EG"/>
        </w:rPr>
        <w:t xml:space="preserve"> الذي يحتوي على اقتراح لتصنيف الموزعات قدَّمته الولايات المتحدة الأمريكية.</w:t>
      </w:r>
    </w:p>
    <w:p w:rsidR="00EB0AF7" w:rsidRDefault="001D3DDF" w:rsidP="00DE6DE0">
      <w:pPr>
        <w:pStyle w:val="NumberedParaAR"/>
        <w:spacing w:after="230"/>
        <w:ind w:left="567"/>
      </w:pPr>
      <w:r>
        <w:rPr>
          <w:rFonts w:hint="cs"/>
          <w:rtl/>
        </w:rPr>
        <w:t xml:space="preserve">اعتمدت اللجنة عدداً محدداً من التعديلات والتغييرات الأخرى في التصنيف. </w:t>
      </w:r>
      <w:r>
        <w:rPr>
          <w:rFonts w:hint="cs"/>
          <w:rtl/>
          <w:lang w:bidi="ar-EG"/>
        </w:rPr>
        <w:t xml:space="preserve">واتفقت اللجنة على أن تلك التغييرات تستتبع تعديلاً بالمعنى المقصود في المادة 3(7)(ب) من اتفاق نيس، فستدخل حيز النفاذ مع النسخة </w:t>
      </w:r>
      <w:r w:rsidR="00DE6DE0">
        <w:rPr>
          <w:rFonts w:hint="cs"/>
          <w:rtl/>
          <w:lang w:bidi="ar-EG"/>
        </w:rPr>
        <w:t xml:space="preserve">المقبلة </w:t>
      </w:r>
      <w:r>
        <w:rPr>
          <w:rFonts w:hint="cs"/>
          <w:rtl/>
          <w:lang w:bidi="ar-EG"/>
        </w:rPr>
        <w:t>للتصنيف</w:t>
      </w:r>
      <w:r w:rsidR="00DE6DE0">
        <w:rPr>
          <w:rFonts w:hint="cs"/>
          <w:rtl/>
          <w:lang w:bidi="ar-EG"/>
        </w:rPr>
        <w:t>، أي النسخة الثانية عشرة،</w:t>
      </w:r>
      <w:r>
        <w:rPr>
          <w:rFonts w:hint="cs"/>
          <w:rtl/>
          <w:lang w:bidi="ar-EG"/>
        </w:rPr>
        <w:t xml:space="preserve"> في تاريخ تحدده اللجنة. </w:t>
      </w:r>
      <w:r>
        <w:rPr>
          <w:rFonts w:hint="cs"/>
          <w:rtl/>
        </w:rPr>
        <w:t xml:space="preserve">ويمكن الاطلاع على قرارات اللجنة عبر المنتدى الإلكتروني في إطار المشروع </w:t>
      </w:r>
      <w:hyperlink r:id="rId24" w:history="1">
        <w:r w:rsidRPr="00EB0AF7">
          <w:rPr>
            <w:rFonts w:eastAsia="SimSun"/>
            <w:color w:val="0000FF"/>
            <w:szCs w:val="22"/>
            <w:u w:val="single"/>
            <w:lang w:eastAsia="zh-CN"/>
          </w:rPr>
          <w:t>CE280</w:t>
        </w:r>
      </w:hyperlink>
      <w:r>
        <w:rPr>
          <w:rFonts w:hint="cs"/>
          <w:rtl/>
        </w:rPr>
        <w:t>.</w:t>
      </w:r>
    </w:p>
    <w:p w:rsidR="001D3DDF" w:rsidRPr="001D3DDF" w:rsidRDefault="001D3DDF" w:rsidP="008B7AC5">
      <w:pPr>
        <w:pStyle w:val="Heading2"/>
        <w:spacing w:after="230"/>
        <w:rPr>
          <w:b/>
          <w:bCs/>
        </w:rPr>
      </w:pPr>
      <w:r w:rsidRPr="001D3DDF">
        <w:rPr>
          <w:rFonts w:hint="cs"/>
          <w:b/>
          <w:bCs/>
          <w:rtl/>
        </w:rPr>
        <w:t>(ه)</w:t>
      </w:r>
      <w:r w:rsidRPr="001D3DDF">
        <w:rPr>
          <w:b/>
          <w:bCs/>
          <w:rtl/>
        </w:rPr>
        <w:tab/>
        <w:t>السلع المستخدمة لأغراض طبية أو مختبرية</w:t>
      </w:r>
    </w:p>
    <w:p w:rsidR="001D3DDF" w:rsidRDefault="001D3DDF" w:rsidP="008B7AC5">
      <w:pPr>
        <w:pStyle w:val="NumberedParaAR"/>
        <w:spacing w:after="230"/>
      </w:pPr>
      <w:r>
        <w:rPr>
          <w:rFonts w:hint="cs"/>
          <w:rtl/>
        </w:rPr>
        <w:t xml:space="preserve">استندت المناقشات إلى </w:t>
      </w:r>
      <w:hyperlink r:id="rId25" w:history="1">
        <w:r w:rsidRPr="001D3DDF">
          <w:rPr>
            <w:rStyle w:val="Hyperlink"/>
            <w:rFonts w:hint="cs"/>
            <w:rtl/>
          </w:rPr>
          <w:t>المرفق 6</w:t>
        </w:r>
      </w:hyperlink>
      <w:r>
        <w:rPr>
          <w:rFonts w:hint="cs"/>
          <w:rtl/>
        </w:rPr>
        <w:t xml:space="preserve"> من المشروع </w:t>
      </w:r>
      <w:hyperlink r:id="rId26" w:history="1">
        <w:r w:rsidRPr="004F5B45">
          <w:rPr>
            <w:rFonts w:eastAsia="SimSun"/>
            <w:color w:val="0000FF"/>
            <w:szCs w:val="22"/>
            <w:u w:val="single"/>
            <w:lang w:eastAsia="zh-CN"/>
          </w:rPr>
          <w:t>CE282</w:t>
        </w:r>
      </w:hyperlink>
      <w:r>
        <w:rPr>
          <w:rFonts w:hint="cs"/>
          <w:rtl/>
        </w:rPr>
        <w:t xml:space="preserve"> الذي يحتوي على اقتراح لتصنيف بعض الأجهزة أو الأدوات المستخدمة لأغراض طبية أو مختبرية قدَّمته الولايات المتحدة الأمريكية.</w:t>
      </w:r>
    </w:p>
    <w:p w:rsidR="001D3DDF" w:rsidRDefault="001D3DDF" w:rsidP="008B7AC5">
      <w:pPr>
        <w:pStyle w:val="NumberedParaAR"/>
        <w:spacing w:after="230"/>
        <w:ind w:left="567"/>
      </w:pPr>
      <w:r>
        <w:rPr>
          <w:rFonts w:hint="cs"/>
          <w:rtl/>
        </w:rPr>
        <w:t>لم يحصل الاقتراح على الموافقة بتوافق الآراء، فسحبه مقدِّمه.</w:t>
      </w:r>
    </w:p>
    <w:p w:rsidR="001D3DDF" w:rsidRDefault="001D3DDF" w:rsidP="008B7AC5">
      <w:pPr>
        <w:pStyle w:val="Heading1"/>
        <w:spacing w:after="230"/>
      </w:pPr>
      <w:r>
        <w:rPr>
          <w:rtl/>
        </w:rPr>
        <w:t>النظر في اقتراح إدخال تعديلات على النظام الداخلي للجنة الخبراء</w:t>
      </w:r>
    </w:p>
    <w:p w:rsidR="001D3DDF" w:rsidRDefault="001D3DDF" w:rsidP="00DE6DE0">
      <w:pPr>
        <w:pStyle w:val="NumberedParaAR"/>
        <w:spacing w:after="230"/>
      </w:pPr>
      <w:r>
        <w:rPr>
          <w:rFonts w:hint="cs"/>
          <w:rtl/>
        </w:rPr>
        <w:t xml:space="preserve">استندت المناقشات إلى </w:t>
      </w:r>
      <w:hyperlink r:id="rId27" w:history="1">
        <w:r w:rsidRPr="001D3DDF">
          <w:rPr>
            <w:rStyle w:val="Hyperlink"/>
            <w:rFonts w:hint="cs"/>
            <w:rtl/>
          </w:rPr>
          <w:t>المرفق 7</w:t>
        </w:r>
      </w:hyperlink>
      <w:r>
        <w:rPr>
          <w:rFonts w:hint="cs"/>
          <w:rtl/>
        </w:rPr>
        <w:t xml:space="preserve"> من المشروع </w:t>
      </w:r>
      <w:hyperlink r:id="rId28" w:history="1">
        <w:r w:rsidRPr="004F5B45">
          <w:rPr>
            <w:rFonts w:eastAsia="SimSun"/>
            <w:color w:val="0000FF"/>
            <w:szCs w:val="22"/>
            <w:u w:val="single"/>
            <w:lang w:eastAsia="zh-CN"/>
          </w:rPr>
          <w:t>CE282</w:t>
        </w:r>
      </w:hyperlink>
      <w:r>
        <w:rPr>
          <w:rFonts w:hint="cs"/>
          <w:rtl/>
        </w:rPr>
        <w:t xml:space="preserve"> الذي يحتوي على </w:t>
      </w:r>
      <w:r w:rsidR="00DE6DE0">
        <w:rPr>
          <w:rFonts w:hint="cs"/>
          <w:rtl/>
        </w:rPr>
        <w:t>تعديلات مقترحة</w:t>
      </w:r>
      <w:r>
        <w:rPr>
          <w:rFonts w:hint="cs"/>
          <w:rtl/>
        </w:rPr>
        <w:t xml:space="preserve"> في النظام الداخلي للجنة خبراء اتحاد نيس.</w:t>
      </w:r>
    </w:p>
    <w:p w:rsidR="001D3DDF" w:rsidRDefault="001D3DDF" w:rsidP="00DE6DE0">
      <w:pPr>
        <w:pStyle w:val="NumberedParaAR"/>
        <w:spacing w:after="230"/>
        <w:ind w:left="567"/>
      </w:pPr>
      <w:r>
        <w:rPr>
          <w:rFonts w:hint="cs"/>
          <w:rtl/>
        </w:rPr>
        <w:t xml:space="preserve">اعتمدت اللجنة تعديلات في القواعد </w:t>
      </w:r>
      <w:r w:rsidR="008B7AC5">
        <w:rPr>
          <w:rFonts w:hint="cs"/>
          <w:rtl/>
        </w:rPr>
        <w:t>4(3)"2" و5 و8 من نظامها الداخلي بالصيغة المبيَّنة</w:t>
      </w:r>
      <w:r>
        <w:rPr>
          <w:rFonts w:hint="cs"/>
          <w:rtl/>
        </w:rPr>
        <w:t xml:space="preserve"> في المرفق الثالث من هذا التقرير.</w:t>
      </w:r>
    </w:p>
    <w:p w:rsidR="001D3DDF" w:rsidRDefault="001D3DDF" w:rsidP="008B7AC5">
      <w:pPr>
        <w:pStyle w:val="Heading1"/>
        <w:spacing w:after="230"/>
      </w:pPr>
      <w:r>
        <w:rPr>
          <w:rtl/>
        </w:rPr>
        <w:t>تقرير عن الأنظمة المعلوماتية المرتبطة بتصنيف نيس</w:t>
      </w:r>
    </w:p>
    <w:p w:rsidR="001D3DDF" w:rsidRDefault="001D3DDF" w:rsidP="00DE6DE0">
      <w:pPr>
        <w:pStyle w:val="NumberedParaAR"/>
        <w:spacing w:after="230"/>
      </w:pPr>
      <w:r>
        <w:rPr>
          <w:rFonts w:hint="cs"/>
          <w:rtl/>
          <w:lang w:bidi="ar-EG"/>
        </w:rPr>
        <w:t xml:space="preserve">استندت المناقشات إلى </w:t>
      </w:r>
      <w:hyperlink r:id="rId29" w:history="1">
        <w:r w:rsidRPr="001D3DDF">
          <w:rPr>
            <w:rStyle w:val="Hyperlink"/>
            <w:rFonts w:hint="cs"/>
            <w:rtl/>
            <w:lang w:bidi="ar-EG"/>
          </w:rPr>
          <w:t>عروض</w:t>
        </w:r>
      </w:hyperlink>
      <w:r>
        <w:rPr>
          <w:rFonts w:hint="cs"/>
          <w:rtl/>
          <w:lang w:bidi="ar-EG"/>
        </w:rPr>
        <w:t xml:space="preserve"> قدمها المكتب الدولي بشأن التقدم المحرز في</w:t>
      </w:r>
      <w:r w:rsidR="004213D9">
        <w:rPr>
          <w:rFonts w:hint="cs"/>
          <w:rtl/>
          <w:lang w:bidi="ar-EG"/>
        </w:rPr>
        <w:t xml:space="preserve"> وضع مشروع "نظام</w:t>
      </w:r>
      <w:r w:rsidR="004213D9" w:rsidRPr="004213D9">
        <w:rPr>
          <w:rtl/>
          <w:lang w:bidi="ar-EG"/>
        </w:rPr>
        <w:t xml:space="preserve"> إدارة </w:t>
      </w:r>
      <w:r w:rsidR="004213D9">
        <w:rPr>
          <w:rFonts w:hint="cs"/>
          <w:rtl/>
          <w:lang w:bidi="ar-EG"/>
        </w:rPr>
        <w:t>ال</w:t>
      </w:r>
      <w:r w:rsidR="004213D9" w:rsidRPr="004213D9">
        <w:rPr>
          <w:rtl/>
          <w:lang w:bidi="ar-EG"/>
        </w:rPr>
        <w:t>مراجعة</w:t>
      </w:r>
      <w:r w:rsidR="004213D9">
        <w:rPr>
          <w:rFonts w:hint="cs"/>
          <w:rtl/>
          <w:lang w:bidi="ar-EG"/>
        </w:rPr>
        <w:t xml:space="preserve">" </w:t>
      </w:r>
      <w:r w:rsidR="004213D9">
        <w:rPr>
          <w:lang w:bidi="ar-EG"/>
        </w:rPr>
        <w:t>(RMS)</w:t>
      </w:r>
      <w:r w:rsidR="004213D9">
        <w:rPr>
          <w:rFonts w:hint="cs"/>
          <w:rtl/>
          <w:lang w:bidi="ar-EG"/>
        </w:rPr>
        <w:t xml:space="preserve"> الذي قدِّم إبّان الدورة السابعة والعشرين للجنة</w:t>
      </w:r>
      <w:r w:rsidR="00DE6DE0">
        <w:rPr>
          <w:rFonts w:hint="cs"/>
          <w:rtl/>
          <w:lang w:bidi="ar-EG"/>
        </w:rPr>
        <w:t>، وكذلك إلى</w:t>
      </w:r>
      <w:r w:rsidR="004213D9">
        <w:rPr>
          <w:rFonts w:hint="cs"/>
          <w:rtl/>
          <w:lang w:bidi="ar-EG"/>
        </w:rPr>
        <w:t xml:space="preserve"> </w:t>
      </w:r>
      <w:r w:rsidR="00DE6DE0">
        <w:rPr>
          <w:rFonts w:hint="cs"/>
          <w:rtl/>
          <w:lang w:bidi="ar-EG"/>
        </w:rPr>
        <w:t xml:space="preserve">عرض عام بشأن </w:t>
      </w:r>
      <w:r w:rsidR="004213D9">
        <w:rPr>
          <w:rFonts w:hint="cs"/>
          <w:rtl/>
          <w:lang w:bidi="ar-EG"/>
        </w:rPr>
        <w:t xml:space="preserve">عملية مراجعة التصنيف في المستقبل عن طريق </w:t>
      </w:r>
      <w:r w:rsidR="00DE6DE0">
        <w:rPr>
          <w:rFonts w:hint="cs"/>
          <w:rtl/>
          <w:lang w:bidi="ar-EG"/>
        </w:rPr>
        <w:t>نظام إدارة المراجعة</w:t>
      </w:r>
      <w:r w:rsidR="004213D9">
        <w:rPr>
          <w:rFonts w:hint="cs"/>
          <w:rtl/>
          <w:lang w:bidi="ar-EG"/>
        </w:rPr>
        <w:t>.</w:t>
      </w:r>
    </w:p>
    <w:p w:rsidR="004213D9" w:rsidRDefault="004213D9" w:rsidP="001A304D">
      <w:pPr>
        <w:pStyle w:val="NumberedParaAR"/>
        <w:spacing w:after="230"/>
      </w:pPr>
      <w:r>
        <w:rPr>
          <w:rFonts w:hint="cs"/>
          <w:rtl/>
        </w:rPr>
        <w:t xml:space="preserve">وأشارت اللجنة إلى أن نظام </w:t>
      </w:r>
      <w:r w:rsidR="00DE6DE0">
        <w:rPr>
          <w:rFonts w:hint="cs"/>
          <w:rtl/>
          <w:lang w:bidi="ar-EG"/>
        </w:rPr>
        <w:t>إدارة ال</w:t>
      </w:r>
      <w:r>
        <w:rPr>
          <w:rFonts w:hint="cs"/>
          <w:rtl/>
        </w:rPr>
        <w:t xml:space="preserve">مراجعة سيُستخدم في </w:t>
      </w:r>
      <w:r w:rsidR="00DE6DE0">
        <w:rPr>
          <w:rFonts w:hint="cs"/>
          <w:rtl/>
        </w:rPr>
        <w:t>إجراءات</w:t>
      </w:r>
      <w:r>
        <w:rPr>
          <w:rFonts w:hint="cs"/>
          <w:rtl/>
        </w:rPr>
        <w:t xml:space="preserve"> المراجعة السابقة لنشر التصنيف </w:t>
      </w:r>
      <w:r>
        <w:t>NCL(11</w:t>
      </w:r>
      <w:r>
        <w:noBreakHyphen/>
        <w:t>2021)</w:t>
      </w:r>
      <w:r>
        <w:rPr>
          <w:rFonts w:hint="cs"/>
          <w:rtl/>
          <w:lang w:bidi="ar-EG"/>
        </w:rPr>
        <w:t xml:space="preserve">. وأشارت اللجنة أيضاً إلى أن ذلك النظام سيتيح واجهة للمكاتب من أجل تقديم اقتراحات </w:t>
      </w:r>
      <w:r w:rsidR="001A304D">
        <w:rPr>
          <w:rFonts w:hint="cs"/>
          <w:rtl/>
          <w:lang w:bidi="ar-EG"/>
        </w:rPr>
        <w:t>لإدخال تغييرات</w:t>
      </w:r>
      <w:r>
        <w:rPr>
          <w:rFonts w:hint="cs"/>
          <w:rtl/>
          <w:lang w:bidi="ar-EG"/>
        </w:rPr>
        <w:t xml:space="preserve"> في التصنيف فضلاً عن خاصية تصويت إلكتروني مبدئي على كل اقتراح مقدَّم. وستُتاح نتائج التصويت الإلكتروني للدول الأعضاء عبر نظام </w:t>
      </w:r>
      <w:r w:rsidR="001A304D">
        <w:rPr>
          <w:rFonts w:hint="cs"/>
          <w:rtl/>
          <w:lang w:bidi="ar-EG"/>
        </w:rPr>
        <w:t>إدارة المراجعة</w:t>
      </w:r>
      <w:r>
        <w:rPr>
          <w:rFonts w:hint="cs"/>
          <w:rtl/>
          <w:lang w:bidi="ar-EG"/>
        </w:rPr>
        <w:t xml:space="preserve"> قبل الدورة المعنية. وفضلاً عن ذلك، ستمكِّن تلك المعلومات المكتب الدولي من جمع الاقتراحات التي يمكن اعتبارها مقبولة دون الحاجة إلى مناقشات مطوّلة خلال دورات اللجنة. وأيد أحد الوفود </w:t>
      </w:r>
      <w:r w:rsidR="001A304D">
        <w:rPr>
          <w:rFonts w:hint="cs"/>
          <w:rtl/>
          <w:lang w:bidi="ar-EG"/>
        </w:rPr>
        <w:t>مفهوم</w:t>
      </w:r>
      <w:r>
        <w:rPr>
          <w:rFonts w:hint="cs"/>
          <w:rtl/>
          <w:lang w:bidi="ar-EG"/>
        </w:rPr>
        <w:t xml:space="preserve"> التصويت المبدئي وسأل المكتب الدولي عن إمكانية </w:t>
      </w:r>
      <w:r w:rsidR="001A304D">
        <w:rPr>
          <w:rFonts w:hint="cs"/>
          <w:rtl/>
          <w:lang w:bidi="ar-EG"/>
        </w:rPr>
        <w:t>القيام، في تلك المرحلة، بسحب</w:t>
      </w:r>
      <w:r>
        <w:rPr>
          <w:rFonts w:hint="cs"/>
          <w:rtl/>
          <w:lang w:bidi="ar-EG"/>
        </w:rPr>
        <w:t xml:space="preserve"> الاقتراحات التي لم تتلق</w:t>
      </w:r>
      <w:r w:rsidR="001A304D">
        <w:rPr>
          <w:rFonts w:hint="cs"/>
          <w:rtl/>
          <w:lang w:bidi="ar-EG"/>
        </w:rPr>
        <w:t>َ دعماً كبي</w:t>
      </w:r>
      <w:r>
        <w:rPr>
          <w:rFonts w:hint="cs"/>
          <w:rtl/>
          <w:lang w:bidi="ar-EG"/>
        </w:rPr>
        <w:t>راً بناء على نتائج التصويت المبدئي.</w:t>
      </w:r>
    </w:p>
    <w:p w:rsidR="001D3DDF" w:rsidRDefault="001D3DDF" w:rsidP="008B7AC5">
      <w:pPr>
        <w:pStyle w:val="Heading1"/>
        <w:spacing w:after="230"/>
      </w:pPr>
      <w:r>
        <w:rPr>
          <w:rtl/>
        </w:rPr>
        <w:t>الدورة المقبلة للجنة الخبراء</w:t>
      </w:r>
    </w:p>
    <w:p w:rsidR="004213D9" w:rsidRDefault="004213D9" w:rsidP="008B7AC5">
      <w:pPr>
        <w:pStyle w:val="NumberedParaAR"/>
        <w:spacing w:after="230"/>
      </w:pPr>
      <w:r>
        <w:rPr>
          <w:rtl/>
        </w:rPr>
        <w:t xml:space="preserve">أشارت اللجنة إلى أن دورتها </w:t>
      </w:r>
      <w:r>
        <w:rPr>
          <w:rFonts w:hint="cs"/>
          <w:rtl/>
        </w:rPr>
        <w:t>التاسعة</w:t>
      </w:r>
      <w:r>
        <w:rPr>
          <w:rtl/>
        </w:rPr>
        <w:t xml:space="preserve"> والعشرين ستُعقد في جنيف في شهر أبريل أو مايو </w:t>
      </w:r>
      <w:r w:rsidR="008B7AC5">
        <w:rPr>
          <w:rFonts w:hint="cs"/>
          <w:rtl/>
        </w:rPr>
        <w:t>2019</w:t>
      </w:r>
      <w:r>
        <w:rPr>
          <w:rtl/>
        </w:rPr>
        <w:t>.</w:t>
      </w:r>
    </w:p>
    <w:p w:rsidR="004213D9" w:rsidRDefault="004213D9" w:rsidP="008B7AC5">
      <w:pPr>
        <w:pStyle w:val="Heading1"/>
        <w:spacing w:after="230"/>
      </w:pPr>
      <w:r>
        <w:rPr>
          <w:rtl/>
        </w:rPr>
        <w:t>اختتام الدورة</w:t>
      </w:r>
    </w:p>
    <w:p w:rsidR="004213D9" w:rsidRDefault="004213D9" w:rsidP="008B7AC5">
      <w:pPr>
        <w:pStyle w:val="NumberedParaAR"/>
        <w:spacing w:after="230"/>
      </w:pPr>
      <w:r>
        <w:rPr>
          <w:rtl/>
        </w:rPr>
        <w:t>اختتم</w:t>
      </w:r>
      <w:r w:rsidR="001A304D">
        <w:rPr>
          <w:rFonts w:hint="cs"/>
          <w:rtl/>
        </w:rPr>
        <w:t>ت</w:t>
      </w:r>
      <w:r>
        <w:rPr>
          <w:rtl/>
        </w:rPr>
        <w:t xml:space="preserve"> الرئيس</w:t>
      </w:r>
      <w:r w:rsidR="001A304D">
        <w:rPr>
          <w:rFonts w:hint="cs"/>
          <w:rtl/>
        </w:rPr>
        <w:t>ة</w:t>
      </w:r>
      <w:r>
        <w:rPr>
          <w:rtl/>
        </w:rPr>
        <w:t xml:space="preserve"> الدورة.</w:t>
      </w:r>
    </w:p>
    <w:p w:rsidR="004213D9" w:rsidRDefault="004213D9" w:rsidP="008B7AC5">
      <w:pPr>
        <w:pStyle w:val="DecisionParaAR"/>
      </w:pPr>
      <w:r>
        <w:rPr>
          <w:rtl/>
        </w:rPr>
        <w:t xml:space="preserve">اعتمدت لجنة الخبراء بالإجماع هذا التقرير بطريقة إلكترونية في </w:t>
      </w:r>
      <w:r w:rsidR="008B7AC5">
        <w:rPr>
          <w:rFonts w:hint="cs"/>
          <w:rtl/>
        </w:rPr>
        <w:t>4 يونيو 2018</w:t>
      </w:r>
      <w:r>
        <w:rPr>
          <w:rtl/>
        </w:rPr>
        <w:t>.</w:t>
      </w:r>
    </w:p>
    <w:p w:rsidR="004213D9" w:rsidRDefault="004213D9" w:rsidP="008B7AC5">
      <w:pPr>
        <w:pStyle w:val="EndofDocumentAR"/>
      </w:pPr>
      <w:r>
        <w:rPr>
          <w:rtl/>
        </w:rPr>
        <w:t>[تلي ذلك المرفقات]</w:t>
      </w:r>
    </w:p>
    <w:sectPr w:rsidR="004213D9" w:rsidSect="00EB7752">
      <w:headerReference w:type="default" r:id="rId3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BA" w:rsidRDefault="005A10BA">
      <w:r>
        <w:separator/>
      </w:r>
    </w:p>
  </w:endnote>
  <w:endnote w:type="continuationSeparator" w:id="0">
    <w:p w:rsidR="005A10BA" w:rsidRDefault="005A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BA" w:rsidRDefault="005A10BA" w:rsidP="009622BF">
      <w:pPr>
        <w:bidi/>
      </w:pPr>
      <w:bookmarkStart w:id="0" w:name="OLE_LINK1"/>
      <w:bookmarkStart w:id="1" w:name="OLE_LINK2"/>
      <w:r>
        <w:separator/>
      </w:r>
      <w:bookmarkEnd w:id="0"/>
      <w:bookmarkEnd w:id="1"/>
    </w:p>
  </w:footnote>
  <w:footnote w:type="continuationSeparator" w:id="0">
    <w:p w:rsidR="005A10BA" w:rsidRDefault="005A10BA" w:rsidP="009622BF">
      <w:pPr>
        <w:bidi/>
      </w:pPr>
      <w:r>
        <w:separator/>
      </w:r>
    </w:p>
  </w:footnote>
  <w:footnote w:id="1">
    <w:p w:rsidR="00841B1A" w:rsidRDefault="00841B1A" w:rsidP="00841B1A">
      <w:pPr>
        <w:pStyle w:val="FootnoteText"/>
      </w:pPr>
      <w:r>
        <w:rPr>
          <w:rStyle w:val="FootnoteReference"/>
        </w:rPr>
        <w:footnoteRef/>
      </w:r>
      <w:r>
        <w:rPr>
          <w:rtl/>
        </w:rPr>
        <w:t xml:space="preserve"> </w:t>
      </w:r>
      <w:r>
        <w:rPr>
          <w:rFonts w:hint="cs"/>
          <w:rtl/>
        </w:rPr>
        <w:t>تنص المادة 3(7)(ب) من اتفاق نيس على ما يلي: "...</w:t>
      </w:r>
      <w:r w:rsidRPr="00841B1A">
        <w:rPr>
          <w:rtl/>
        </w:rPr>
        <w:t>ويقصد بالتعديل أي نقل للسلع أو الخدمات من صنف إلى آخر، أو إنشاء أي صنف جديد.</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B45" w:rsidRDefault="004F5B45" w:rsidP="004C4E46">
    <w:pPr>
      <w:rPr>
        <w:rtl/>
        <w:lang w:bidi="ar-EG"/>
      </w:rPr>
    </w:pPr>
    <w:r w:rsidRPr="00404708">
      <w:t>CLIM/CE/</w:t>
    </w:r>
    <w:r>
      <w:t>28</w:t>
    </w:r>
    <w:r w:rsidR="00841B1A">
      <w:t>/2</w:t>
    </w:r>
  </w:p>
  <w:p w:rsidR="004F5B45" w:rsidRDefault="004F5B45" w:rsidP="004C4E46">
    <w:r>
      <w:fldChar w:fldCharType="begin"/>
    </w:r>
    <w:r>
      <w:instrText xml:space="preserve"> PAGE  \* MERGEFORMAT </w:instrText>
    </w:r>
    <w:r>
      <w:fldChar w:fldCharType="separate"/>
    </w:r>
    <w:r w:rsidR="004370C6">
      <w:rPr>
        <w:noProof/>
      </w:rPr>
      <w:t>4</w:t>
    </w:r>
    <w:r>
      <w:fldChar w:fldCharType="end"/>
    </w:r>
  </w:p>
  <w:p w:rsidR="004F5B45" w:rsidRDefault="004F5B45" w:rsidP="004C4E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856862B4"/>
    <w:lvl w:ilvl="0" w:tplc="0A1A059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lvlOverride w:ilvl="0">
      <w:startOverride w:val="1"/>
    </w:lvlOverride>
  </w:num>
  <w:num w:numId="29">
    <w:abstractNumId w:val="12"/>
  </w:num>
  <w:num w:numId="30">
    <w:abstractNumId w:val="12"/>
  </w:num>
  <w:num w:numId="31">
    <w:abstractNumId w:val="12"/>
  </w:num>
  <w:num w:numId="32">
    <w:abstractNumId w:val="1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4F5B4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04D"/>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DDF"/>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56F"/>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3D9"/>
    <w:rsid w:val="00422A2A"/>
    <w:rsid w:val="00424BB4"/>
    <w:rsid w:val="004258CD"/>
    <w:rsid w:val="004261D2"/>
    <w:rsid w:val="004303D1"/>
    <w:rsid w:val="00433C0A"/>
    <w:rsid w:val="004349FA"/>
    <w:rsid w:val="004370C6"/>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4E46"/>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B45"/>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0BA"/>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5DD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B1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AC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63AE"/>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A9D"/>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9C1"/>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E0"/>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AF7"/>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1D3DDF"/>
    <w:pPr>
      <w:keepNext/>
      <w:bidi/>
      <w:spacing w:before="240" w:after="240" w:line="400" w:lineRule="exact"/>
      <w:outlineLvl w:val="0"/>
    </w:pPr>
    <w:rPr>
      <w:rFonts w:ascii="Arabic Typesetting" w:hAnsi="Arabic Typesetting" w:cs="Arabic Typesetting"/>
      <w:b/>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4E46"/>
    <w:rPr>
      <w:rFonts w:ascii="Tahoma" w:hAnsi="Tahoma" w:cs="Tahoma"/>
      <w:sz w:val="16"/>
      <w:szCs w:val="16"/>
    </w:rPr>
  </w:style>
  <w:style w:type="character" w:customStyle="1" w:styleId="BalloonTextChar">
    <w:name w:val="Balloon Text Char"/>
    <w:basedOn w:val="DefaultParagraphFont"/>
    <w:link w:val="BalloonText"/>
    <w:rsid w:val="004C4E46"/>
    <w:rPr>
      <w:rFonts w:ascii="Tahoma" w:hAnsi="Tahoma" w:cs="Tahoma"/>
      <w:sz w:val="16"/>
      <w:szCs w:val="16"/>
    </w:rPr>
  </w:style>
  <w:style w:type="character" w:styleId="Hyperlink">
    <w:name w:val="Hyperlink"/>
    <w:basedOn w:val="DefaultParagraphFont"/>
    <w:rsid w:val="009E0A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1D3DDF"/>
    <w:pPr>
      <w:keepNext/>
      <w:bidi/>
      <w:spacing w:before="240" w:after="240" w:line="400" w:lineRule="exact"/>
      <w:outlineLvl w:val="0"/>
    </w:pPr>
    <w:rPr>
      <w:rFonts w:ascii="Arabic Typesetting" w:hAnsi="Arabic Typesetting" w:cs="Arabic Typesetting"/>
      <w:b/>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C4E46"/>
    <w:rPr>
      <w:rFonts w:ascii="Tahoma" w:hAnsi="Tahoma" w:cs="Tahoma"/>
      <w:sz w:val="16"/>
      <w:szCs w:val="16"/>
    </w:rPr>
  </w:style>
  <w:style w:type="character" w:customStyle="1" w:styleId="BalloonTextChar">
    <w:name w:val="Balloon Text Char"/>
    <w:basedOn w:val="DefaultParagraphFont"/>
    <w:link w:val="BalloonText"/>
    <w:rsid w:val="004C4E46"/>
    <w:rPr>
      <w:rFonts w:ascii="Tahoma" w:hAnsi="Tahoma" w:cs="Tahoma"/>
      <w:sz w:val="16"/>
      <w:szCs w:val="16"/>
    </w:rPr>
  </w:style>
  <w:style w:type="character" w:styleId="Hyperlink">
    <w:name w:val="Hyperlink"/>
    <w:basedOn w:val="DefaultParagraphFont"/>
    <w:rsid w:val="009E0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nef-projects/ce282/ce282-a02_ibva.pdf" TargetMode="External"/><Relationship Id="rId18" Type="http://schemas.openxmlformats.org/officeDocument/2006/relationships/hyperlink" Target="https://www3.wipo.int/nef/private/nice/en/project/1658/CE280" TargetMode="External"/><Relationship Id="rId26" Type="http://schemas.openxmlformats.org/officeDocument/2006/relationships/hyperlink" Target="https://www3.wipo.int/nef/public/nice/en/project/1525/CE282" TargetMode="External"/><Relationship Id="rId3" Type="http://schemas.openxmlformats.org/officeDocument/2006/relationships/styles" Target="styles.xml"/><Relationship Id="rId21" Type="http://schemas.openxmlformats.org/officeDocument/2006/relationships/hyperlink" Target="https://www3.wipo.int/nef/private/nice/en/project/1658/CE280" TargetMode="External"/><Relationship Id="rId7" Type="http://schemas.openxmlformats.org/officeDocument/2006/relationships/footnotes" Target="footnotes.xml"/><Relationship Id="rId12" Type="http://schemas.openxmlformats.org/officeDocument/2006/relationships/hyperlink" Target="https://www3.wipo.int/nef/private/nice/en/project/1658/CE280" TargetMode="External"/><Relationship Id="rId17" Type="http://schemas.openxmlformats.org/officeDocument/2006/relationships/hyperlink" Target="https://www3.wipo.int/nef/public/nice/en/project/1525/CE282" TargetMode="External"/><Relationship Id="rId25" Type="http://schemas.openxmlformats.org/officeDocument/2006/relationships/hyperlink" Target="https://www3.wipo.int/nef/nef-projects/ce282/ce282-a06_ibgo.pdf" TargetMode="External"/><Relationship Id="rId2" Type="http://schemas.openxmlformats.org/officeDocument/2006/relationships/numbering" Target="numbering.xml"/><Relationship Id="rId16" Type="http://schemas.openxmlformats.org/officeDocument/2006/relationships/hyperlink" Target="https://www3.wipo.int/nef/nef-projects/ce282/ce282-a03_ibcl.pdf" TargetMode="External"/><Relationship Id="rId20" Type="http://schemas.openxmlformats.org/officeDocument/2006/relationships/hyperlink" Target="https://www3.wipo.int/nef/public/nice/en/project/1525/CE282" TargetMode="External"/><Relationship Id="rId29" Type="http://schemas.openxmlformats.org/officeDocument/2006/relationships/hyperlink" Target="http://www.wipo.int/meetings/en/doc_details.jsp?doc_id=405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public/nice/en/project/1525/CE282" TargetMode="External"/><Relationship Id="rId24" Type="http://schemas.openxmlformats.org/officeDocument/2006/relationships/hyperlink" Target="https://www3.wipo.int/nef/private/nice/en/project/1658/CE28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wipo.int/nef/private/nice/en/project/1658/CE280" TargetMode="External"/><Relationship Id="rId23" Type="http://schemas.openxmlformats.org/officeDocument/2006/relationships/hyperlink" Target="https://www3.wipo.int/nef/public/nice/en/project/1525/CE282" TargetMode="External"/><Relationship Id="rId28" Type="http://schemas.openxmlformats.org/officeDocument/2006/relationships/hyperlink" Target="https://www3.wipo.int/nef/public/nice/en/project/1525/CE282" TargetMode="External"/><Relationship Id="rId10" Type="http://schemas.openxmlformats.org/officeDocument/2006/relationships/hyperlink" Target="https://www3.wipo.int/nef/nef-projects/ce282/ce282-a01_ibpr.pdf" TargetMode="External"/><Relationship Id="rId19" Type="http://schemas.openxmlformats.org/officeDocument/2006/relationships/hyperlink" Target="https://www3.wipo.int/nef/nef-projects/ce282/ce282-a04_ibre.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public/nice/en/project/1525/CE282" TargetMode="External"/><Relationship Id="rId22" Type="http://schemas.openxmlformats.org/officeDocument/2006/relationships/hyperlink" Target="https://www3.wipo.int/nef/nef-projects/ce282/ce282-a05_ibdi.pdf" TargetMode="External"/><Relationship Id="rId27" Type="http://schemas.openxmlformats.org/officeDocument/2006/relationships/hyperlink" Target="https://www3.wipo.int/nef/nef-projects/ce282/ce282-a07_ibam.pdf"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Draft\CLIM_CE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1882-9D4D-42B4-BE9B-0ED3C3E9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CLIM_CE_28_AR.dotx</Template>
  <TotalTime>1</TotalTime>
  <Pages>4</Pages>
  <Words>1178</Words>
  <Characters>7887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CLIM/CE/28/2 (Arabic)</vt:lpstr>
    </vt:vector>
  </TitlesOfParts>
  <Company>World Intellectual Property Organization</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 (Arabic)</dc:title>
  <dc:creator>Ahmed Hassan</dc:creator>
  <cp:lastModifiedBy>2019 (CE28)</cp:lastModifiedBy>
  <cp:revision>2</cp:revision>
  <cp:lastPrinted>2011-07-08T11:30:00Z</cp:lastPrinted>
  <dcterms:created xsi:type="dcterms:W3CDTF">2018-06-15T09:52:00Z</dcterms:created>
  <dcterms:modified xsi:type="dcterms:W3CDTF">2018-06-15T09:52:00Z</dcterms:modified>
</cp:coreProperties>
</file>