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B7876" w:rsidTr="00563C83">
        <w:tc>
          <w:tcPr>
            <w:tcW w:w="4513" w:type="dxa"/>
            <w:tcBorders>
              <w:bottom w:val="single" w:sz="4" w:space="0" w:color="auto"/>
            </w:tcBorders>
            <w:tcMar>
              <w:bottom w:w="170" w:type="dxa"/>
            </w:tcMar>
          </w:tcPr>
          <w:p w:rsidR="00163F61" w:rsidRPr="00DB7876" w:rsidRDefault="00163F61" w:rsidP="003C2450">
            <w:pPr>
              <w:keepNext/>
              <w:keepLines/>
              <w:rPr>
                <w:lang w:val="fr-FR"/>
              </w:rPr>
            </w:pPr>
          </w:p>
        </w:tc>
        <w:tc>
          <w:tcPr>
            <w:tcW w:w="4337" w:type="dxa"/>
            <w:tcBorders>
              <w:bottom w:val="single" w:sz="4" w:space="0" w:color="auto"/>
            </w:tcBorders>
            <w:tcMar>
              <w:left w:w="0" w:type="dxa"/>
              <w:bottom w:w="170" w:type="dxa"/>
              <w:right w:w="0" w:type="dxa"/>
            </w:tcMar>
          </w:tcPr>
          <w:p w:rsidR="00163F61" w:rsidRPr="00DB7876" w:rsidRDefault="00852AB9" w:rsidP="003C2450">
            <w:pPr>
              <w:keepNext/>
              <w:keepLines/>
              <w:rPr>
                <w:lang w:val="fr-FR"/>
              </w:rPr>
            </w:pPr>
            <w:r w:rsidRPr="00DB7876">
              <w:rPr>
                <w:noProof/>
                <w:lang w:eastAsia="en-US"/>
              </w:rPr>
              <w:drawing>
                <wp:inline distT="0" distB="0" distL="0" distR="0" wp14:anchorId="436D4595" wp14:editId="52132D36">
                  <wp:extent cx="1860550" cy="1327150"/>
                  <wp:effectExtent l="0" t="0" r="6350" b="6350"/>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B7876" w:rsidRDefault="00163F61" w:rsidP="003C2450">
            <w:pPr>
              <w:keepNext/>
              <w:keepLines/>
              <w:jc w:val="right"/>
              <w:rPr>
                <w:lang w:val="fr-FR"/>
              </w:rPr>
            </w:pPr>
          </w:p>
        </w:tc>
      </w:tr>
      <w:tr w:rsidR="00163F61" w:rsidRPr="00DB7876"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B7876" w:rsidRDefault="00163F61" w:rsidP="003C2450">
            <w:pPr>
              <w:keepNext/>
              <w:keepLines/>
              <w:jc w:val="right"/>
              <w:rPr>
                <w:rFonts w:ascii="Arial Black" w:hAnsi="Arial Black"/>
                <w:caps/>
                <w:sz w:val="15"/>
                <w:lang w:val="fr-FR"/>
              </w:rPr>
            </w:pPr>
            <w:bookmarkStart w:id="0" w:name="Original"/>
            <w:bookmarkEnd w:id="0"/>
          </w:p>
        </w:tc>
      </w:tr>
      <w:tr w:rsidR="00163F61" w:rsidRPr="00DB7876" w:rsidTr="00B27CB2">
        <w:trPr>
          <w:trHeight w:hRule="exact" w:val="198"/>
        </w:trPr>
        <w:tc>
          <w:tcPr>
            <w:tcW w:w="9356" w:type="dxa"/>
            <w:gridSpan w:val="3"/>
            <w:tcMar>
              <w:left w:w="0" w:type="dxa"/>
              <w:right w:w="0" w:type="dxa"/>
            </w:tcMar>
          </w:tcPr>
          <w:p w:rsidR="00163F61" w:rsidRPr="00DB7876" w:rsidRDefault="00CB53D0" w:rsidP="00164A83">
            <w:pPr>
              <w:jc w:val="right"/>
              <w:rPr>
                <w:lang w:val="fr-FR"/>
              </w:rPr>
            </w:pPr>
            <w:r w:rsidRPr="00DB7876">
              <w:rPr>
                <w:rFonts w:ascii="Arial Black" w:hAnsi="Arial Black"/>
                <w:caps/>
                <w:sz w:val="15"/>
                <w:lang w:val="fr-FR"/>
              </w:rPr>
              <w:t>avis n° </w:t>
            </w:r>
            <w:r w:rsidR="00164A83">
              <w:rPr>
                <w:rFonts w:ascii="Arial Black" w:hAnsi="Arial Black"/>
                <w:caps/>
                <w:sz w:val="15"/>
                <w:lang w:val="fr-FR"/>
              </w:rPr>
              <w:t>11</w:t>
            </w:r>
            <w:r w:rsidR="00751EEE" w:rsidRPr="00DB7876">
              <w:rPr>
                <w:rFonts w:ascii="Arial Black" w:hAnsi="Arial Black"/>
                <w:caps/>
                <w:sz w:val="15"/>
                <w:lang w:val="fr-FR"/>
              </w:rPr>
              <w:t>/2017</w:t>
            </w:r>
          </w:p>
        </w:tc>
      </w:tr>
    </w:tbl>
    <w:p w:rsidR="00163F61" w:rsidRPr="00DB7876" w:rsidRDefault="00163F61" w:rsidP="008B2CC1">
      <w:pPr>
        <w:rPr>
          <w:lang w:val="fr-FR"/>
        </w:rPr>
      </w:pPr>
    </w:p>
    <w:p w:rsidR="00163F61" w:rsidRPr="00DB7876" w:rsidRDefault="00163F61" w:rsidP="008B2CC1">
      <w:pPr>
        <w:rPr>
          <w:lang w:val="fr-FR"/>
        </w:rPr>
      </w:pPr>
    </w:p>
    <w:p w:rsidR="00163F61" w:rsidRPr="00DB7876" w:rsidRDefault="00163F61" w:rsidP="00CC5016">
      <w:pPr>
        <w:rPr>
          <w:lang w:val="fr-FR"/>
        </w:rPr>
      </w:pPr>
    </w:p>
    <w:p w:rsidR="00163F61" w:rsidRPr="00DB7876" w:rsidRDefault="00163F61" w:rsidP="00CC5016">
      <w:pPr>
        <w:rPr>
          <w:lang w:val="fr-FR"/>
        </w:rPr>
      </w:pPr>
    </w:p>
    <w:p w:rsidR="00163F61" w:rsidRPr="00DB7876" w:rsidRDefault="00290C5E" w:rsidP="00611CBF">
      <w:pPr>
        <w:autoSpaceDE w:val="0"/>
        <w:autoSpaceDN w:val="0"/>
        <w:adjustRightInd w:val="0"/>
        <w:rPr>
          <w:b/>
          <w:bCs/>
          <w:sz w:val="28"/>
          <w:szCs w:val="28"/>
          <w:lang w:val="fr-FR"/>
        </w:rPr>
      </w:pPr>
      <w:r>
        <w:rPr>
          <w:b/>
          <w:bCs/>
          <w:sz w:val="28"/>
          <w:szCs w:val="28"/>
          <w:lang w:val="fr-FR"/>
        </w:rPr>
        <w:t xml:space="preserve">Arrangement et </w:t>
      </w:r>
      <w:r w:rsidR="00163F61" w:rsidRPr="00DB7876">
        <w:rPr>
          <w:b/>
          <w:bCs/>
          <w:sz w:val="28"/>
          <w:szCs w:val="28"/>
          <w:lang w:val="fr-FR"/>
        </w:rPr>
        <w:t>Protocol</w:t>
      </w:r>
      <w:r w:rsidR="00CB53D0" w:rsidRPr="00DB7876">
        <w:rPr>
          <w:b/>
          <w:bCs/>
          <w:sz w:val="28"/>
          <w:szCs w:val="28"/>
          <w:lang w:val="fr-FR"/>
        </w:rPr>
        <w:t>e de</w:t>
      </w:r>
      <w:r w:rsidR="00163F61" w:rsidRPr="00DB7876">
        <w:rPr>
          <w:b/>
          <w:bCs/>
          <w:sz w:val="28"/>
          <w:szCs w:val="28"/>
          <w:lang w:val="fr-FR"/>
        </w:rPr>
        <w:t xml:space="preserve"> </w:t>
      </w:r>
      <w:r w:rsidR="00CB53D0" w:rsidRPr="00DB7876">
        <w:rPr>
          <w:b/>
          <w:bCs/>
          <w:sz w:val="28"/>
          <w:szCs w:val="28"/>
          <w:lang w:val="fr-FR"/>
        </w:rPr>
        <w:t>Madrid concernant l</w:t>
      </w:r>
      <w:r w:rsidR="00852AB9" w:rsidRPr="00DB7876">
        <w:rPr>
          <w:b/>
          <w:bCs/>
          <w:sz w:val="28"/>
          <w:szCs w:val="28"/>
          <w:lang w:val="fr-FR"/>
        </w:rPr>
        <w:t>’</w:t>
      </w:r>
      <w:r w:rsidR="00CB53D0" w:rsidRPr="00DB7876">
        <w:rPr>
          <w:b/>
          <w:bCs/>
          <w:sz w:val="28"/>
          <w:szCs w:val="28"/>
          <w:lang w:val="fr-FR"/>
        </w:rPr>
        <w:t>enregistrement international des marques</w:t>
      </w:r>
    </w:p>
    <w:p w:rsidR="00163F61" w:rsidRPr="00DB7876" w:rsidRDefault="00163F61" w:rsidP="00611CBF">
      <w:pPr>
        <w:autoSpaceDE w:val="0"/>
        <w:autoSpaceDN w:val="0"/>
        <w:adjustRightInd w:val="0"/>
        <w:rPr>
          <w:bCs/>
          <w:szCs w:val="22"/>
          <w:lang w:val="fr-FR"/>
        </w:rPr>
      </w:pPr>
    </w:p>
    <w:p w:rsidR="00163F61" w:rsidRPr="00DB7876" w:rsidRDefault="00163F61" w:rsidP="00611CBF">
      <w:pPr>
        <w:autoSpaceDE w:val="0"/>
        <w:autoSpaceDN w:val="0"/>
        <w:adjustRightInd w:val="0"/>
        <w:rPr>
          <w:bCs/>
          <w:szCs w:val="22"/>
          <w:lang w:val="fr-FR"/>
        </w:rPr>
      </w:pPr>
    </w:p>
    <w:p w:rsidR="00163F61" w:rsidRPr="00DB7876" w:rsidRDefault="00163F61" w:rsidP="00611CBF">
      <w:pPr>
        <w:autoSpaceDE w:val="0"/>
        <w:autoSpaceDN w:val="0"/>
        <w:adjustRightInd w:val="0"/>
        <w:rPr>
          <w:bCs/>
          <w:szCs w:val="22"/>
          <w:lang w:val="fr-FR"/>
        </w:rPr>
      </w:pPr>
    </w:p>
    <w:p w:rsidR="006D1756" w:rsidRPr="00DB7876" w:rsidRDefault="00CB53D0" w:rsidP="00611CBF">
      <w:pPr>
        <w:autoSpaceDE w:val="0"/>
        <w:autoSpaceDN w:val="0"/>
        <w:adjustRightInd w:val="0"/>
        <w:rPr>
          <w:b/>
          <w:bCs/>
          <w:sz w:val="24"/>
          <w:szCs w:val="24"/>
          <w:lang w:val="fr-FR"/>
        </w:rPr>
      </w:pPr>
      <w:r w:rsidRPr="00DB7876">
        <w:rPr>
          <w:b/>
          <w:bCs/>
          <w:sz w:val="24"/>
          <w:szCs w:val="24"/>
          <w:lang w:val="fr-FR"/>
        </w:rPr>
        <w:t xml:space="preserve">Modifications </w:t>
      </w:r>
      <w:r w:rsidR="00D365EF" w:rsidRPr="00DB7876">
        <w:rPr>
          <w:b/>
          <w:bCs/>
          <w:sz w:val="24"/>
          <w:szCs w:val="24"/>
          <w:lang w:val="fr-FR"/>
        </w:rPr>
        <w:t>apportées au</w:t>
      </w:r>
      <w:r w:rsidRPr="00DB7876">
        <w:rPr>
          <w:b/>
          <w:bCs/>
          <w:sz w:val="24"/>
          <w:szCs w:val="24"/>
          <w:lang w:val="fr-FR"/>
        </w:rPr>
        <w:t xml:space="preserve"> règlement d</w:t>
      </w:r>
      <w:r w:rsidR="00852AB9" w:rsidRPr="00DB7876">
        <w:rPr>
          <w:b/>
          <w:bCs/>
          <w:sz w:val="24"/>
          <w:szCs w:val="24"/>
          <w:lang w:val="fr-FR"/>
        </w:rPr>
        <w:t>’</w:t>
      </w:r>
      <w:r w:rsidRPr="00DB7876">
        <w:rPr>
          <w:b/>
          <w:bCs/>
          <w:sz w:val="24"/>
          <w:szCs w:val="24"/>
          <w:lang w:val="fr-FR"/>
        </w:rPr>
        <w:t xml:space="preserve">exécution commun </w:t>
      </w:r>
      <w:r w:rsidR="002E1CCB" w:rsidRPr="00DB7876">
        <w:rPr>
          <w:b/>
          <w:bCs/>
          <w:sz w:val="24"/>
          <w:szCs w:val="24"/>
          <w:lang w:val="fr-FR"/>
        </w:rPr>
        <w:t>à l</w:t>
      </w:r>
      <w:r w:rsidR="00852AB9" w:rsidRPr="00DB7876">
        <w:rPr>
          <w:b/>
          <w:bCs/>
          <w:sz w:val="24"/>
          <w:szCs w:val="24"/>
          <w:lang w:val="fr-FR"/>
        </w:rPr>
        <w:t>’</w:t>
      </w:r>
      <w:r w:rsidR="002E1CCB" w:rsidRPr="00DB7876">
        <w:rPr>
          <w:b/>
          <w:bCs/>
          <w:sz w:val="24"/>
          <w:szCs w:val="24"/>
          <w:lang w:val="fr-FR"/>
        </w:rPr>
        <w:t xml:space="preserve">Arrangement </w:t>
      </w:r>
      <w:r w:rsidR="00B90953" w:rsidRPr="00DB7876">
        <w:rPr>
          <w:b/>
          <w:bCs/>
          <w:sz w:val="24"/>
          <w:szCs w:val="24"/>
          <w:lang w:val="fr-FR"/>
        </w:rPr>
        <w:t xml:space="preserve">et au Protocole </w:t>
      </w:r>
      <w:r w:rsidR="002E1CCB" w:rsidRPr="00DB7876">
        <w:rPr>
          <w:b/>
          <w:bCs/>
          <w:sz w:val="24"/>
          <w:szCs w:val="24"/>
          <w:lang w:val="fr-FR"/>
        </w:rPr>
        <w:t>de Madrid entrant en vigueur le</w:t>
      </w:r>
      <w:r w:rsidR="00852AB9" w:rsidRPr="00DB7876">
        <w:rPr>
          <w:b/>
          <w:bCs/>
          <w:sz w:val="24"/>
          <w:szCs w:val="24"/>
          <w:lang w:val="fr-FR"/>
        </w:rPr>
        <w:t xml:space="preserve"> 1</w:t>
      </w:r>
      <w:r w:rsidR="00852AB9" w:rsidRPr="00DB7876">
        <w:rPr>
          <w:b/>
          <w:bCs/>
          <w:sz w:val="24"/>
          <w:szCs w:val="24"/>
          <w:vertAlign w:val="superscript"/>
          <w:lang w:val="fr-FR"/>
        </w:rPr>
        <w:t>er</w:t>
      </w:r>
      <w:r w:rsidR="00852AB9" w:rsidRPr="00DB7876">
        <w:rPr>
          <w:b/>
          <w:bCs/>
          <w:sz w:val="24"/>
          <w:szCs w:val="24"/>
          <w:lang w:val="fr-FR"/>
        </w:rPr>
        <w:t> </w:t>
      </w:r>
      <w:r w:rsidR="002E1CCB" w:rsidRPr="00DB7876">
        <w:rPr>
          <w:b/>
          <w:bCs/>
          <w:sz w:val="24"/>
          <w:szCs w:val="24"/>
          <w:lang w:val="fr-FR"/>
        </w:rPr>
        <w:t>juillet</w:t>
      </w:r>
      <w:r w:rsidR="00183E9E" w:rsidRPr="00DB7876">
        <w:rPr>
          <w:b/>
          <w:bCs/>
          <w:sz w:val="24"/>
          <w:szCs w:val="24"/>
          <w:lang w:val="fr-FR"/>
        </w:rPr>
        <w:t> </w:t>
      </w:r>
      <w:r w:rsidR="002C563A" w:rsidRPr="00DB7876">
        <w:rPr>
          <w:b/>
          <w:bCs/>
          <w:sz w:val="24"/>
          <w:szCs w:val="24"/>
          <w:lang w:val="fr-FR"/>
        </w:rPr>
        <w:t>2017</w:t>
      </w:r>
    </w:p>
    <w:p w:rsidR="006D1756" w:rsidRPr="00DB7876" w:rsidRDefault="006D1756" w:rsidP="00611CBF">
      <w:pPr>
        <w:rPr>
          <w:szCs w:val="22"/>
          <w:lang w:val="fr-FR"/>
        </w:rPr>
      </w:pPr>
    </w:p>
    <w:p w:rsidR="00852AB9" w:rsidRPr="00DB7876" w:rsidRDefault="002E1CCB" w:rsidP="00611CBF">
      <w:pPr>
        <w:pStyle w:val="ONUMFS"/>
        <w:rPr>
          <w:lang w:val="fr-FR" w:eastAsia="ja-JP"/>
        </w:rPr>
      </w:pPr>
      <w:r w:rsidRPr="00DB7876">
        <w:rPr>
          <w:lang w:val="fr-FR" w:eastAsia="ja-JP"/>
        </w:rPr>
        <w:t>Les modifi</w:t>
      </w:r>
      <w:r w:rsidR="00E642D1" w:rsidRPr="00DB7876">
        <w:rPr>
          <w:lang w:val="fr-FR" w:eastAsia="ja-JP"/>
        </w:rPr>
        <w:t>cations apportées à certaines règles du règlement d</w:t>
      </w:r>
      <w:r w:rsidR="00852AB9" w:rsidRPr="00DB7876">
        <w:rPr>
          <w:lang w:val="fr-FR" w:eastAsia="ja-JP"/>
        </w:rPr>
        <w:t>’</w:t>
      </w:r>
      <w:r w:rsidR="00E642D1" w:rsidRPr="00DB7876">
        <w:rPr>
          <w:lang w:val="fr-FR" w:eastAsia="ja-JP"/>
        </w:rPr>
        <w:t>exécution commun à l</w:t>
      </w:r>
      <w:r w:rsidR="00852AB9" w:rsidRPr="00DB7876">
        <w:rPr>
          <w:lang w:val="fr-FR" w:eastAsia="ja-JP"/>
        </w:rPr>
        <w:t>’</w:t>
      </w:r>
      <w:r w:rsidR="00E642D1" w:rsidRPr="00DB7876">
        <w:rPr>
          <w:lang w:val="fr-FR" w:eastAsia="ja-JP"/>
        </w:rPr>
        <w:t xml:space="preserve">Arrangement de </w:t>
      </w:r>
      <w:r w:rsidR="00B90953" w:rsidRPr="00DB7876">
        <w:rPr>
          <w:lang w:val="fr-FR" w:eastAsia="ja-JP"/>
        </w:rPr>
        <w:t>Madrid concernant l</w:t>
      </w:r>
      <w:r w:rsidR="00852AB9" w:rsidRPr="00DB7876">
        <w:rPr>
          <w:lang w:val="fr-FR" w:eastAsia="ja-JP"/>
        </w:rPr>
        <w:t>’</w:t>
      </w:r>
      <w:r w:rsidR="00B90953" w:rsidRPr="00DB7876">
        <w:rPr>
          <w:lang w:val="fr-FR" w:eastAsia="ja-JP"/>
        </w:rPr>
        <w:t xml:space="preserve">enregistrement international des marques et au Protocole </w:t>
      </w:r>
      <w:r w:rsidR="00CA3537" w:rsidRPr="00DB7876">
        <w:rPr>
          <w:lang w:val="fr-FR" w:eastAsia="ja-JP"/>
        </w:rPr>
        <w:t xml:space="preserve">relatif à cet Arrangement </w:t>
      </w:r>
      <w:r w:rsidR="002C563A" w:rsidRPr="00DB7876">
        <w:rPr>
          <w:lang w:val="fr-FR" w:eastAsia="ja-JP"/>
        </w:rPr>
        <w:t>(</w:t>
      </w:r>
      <w:r w:rsidR="00CA3537" w:rsidRPr="00DB7876">
        <w:rPr>
          <w:lang w:val="fr-FR" w:eastAsia="ja-JP"/>
        </w:rPr>
        <w:t>ci</w:t>
      </w:r>
      <w:r w:rsidR="00283D7A">
        <w:rPr>
          <w:lang w:val="fr-FR" w:eastAsia="ja-JP"/>
        </w:rPr>
        <w:noBreakHyphen/>
      </w:r>
      <w:r w:rsidR="00CA3537" w:rsidRPr="00DB7876">
        <w:rPr>
          <w:lang w:val="fr-FR" w:eastAsia="ja-JP"/>
        </w:rPr>
        <w:t>après dénommé “règlement d</w:t>
      </w:r>
      <w:r w:rsidR="00852AB9" w:rsidRPr="00DB7876">
        <w:rPr>
          <w:lang w:val="fr-FR" w:eastAsia="ja-JP"/>
        </w:rPr>
        <w:t>’</w:t>
      </w:r>
      <w:r w:rsidR="00CA3537" w:rsidRPr="00DB7876">
        <w:rPr>
          <w:lang w:val="fr-FR" w:eastAsia="ja-JP"/>
        </w:rPr>
        <w:t>exécution commun”) entreront e</w:t>
      </w:r>
      <w:r w:rsidR="009A606A" w:rsidRPr="00DB7876">
        <w:rPr>
          <w:lang w:val="fr-FR" w:eastAsia="ja-JP"/>
        </w:rPr>
        <w:t>n</w:t>
      </w:r>
      <w:r w:rsidR="00CA3537" w:rsidRPr="00DB7876">
        <w:rPr>
          <w:lang w:val="fr-FR" w:eastAsia="ja-JP"/>
        </w:rPr>
        <w:t xml:space="preserve"> vigueur le</w:t>
      </w:r>
      <w:r w:rsidR="00852AB9" w:rsidRPr="00DB7876">
        <w:rPr>
          <w:lang w:val="fr-FR" w:eastAsia="ja-JP"/>
        </w:rPr>
        <w:t xml:space="preserve"> 1</w:t>
      </w:r>
      <w:r w:rsidR="00852AB9" w:rsidRPr="00DB7876">
        <w:rPr>
          <w:vertAlign w:val="superscript"/>
          <w:lang w:val="fr-FR" w:eastAsia="ja-JP"/>
        </w:rPr>
        <w:t>er</w:t>
      </w:r>
      <w:r w:rsidR="00852AB9" w:rsidRPr="00DB7876">
        <w:rPr>
          <w:lang w:val="fr-FR" w:eastAsia="ja-JP"/>
        </w:rPr>
        <w:t> </w:t>
      </w:r>
      <w:r w:rsidR="00CA3537" w:rsidRPr="00DB7876">
        <w:rPr>
          <w:lang w:val="fr-FR" w:eastAsia="ja-JP"/>
        </w:rPr>
        <w:t>juillet 2017</w:t>
      </w:r>
      <w:r w:rsidR="002C563A" w:rsidRPr="00DB7876">
        <w:rPr>
          <w:lang w:val="fr-FR" w:eastAsia="ja-JP"/>
        </w:rPr>
        <w:t>.</w:t>
      </w:r>
    </w:p>
    <w:p w:rsidR="00B91B2D" w:rsidRPr="00DB7876" w:rsidRDefault="003E05CF" w:rsidP="00611CBF">
      <w:pPr>
        <w:pStyle w:val="ONUME"/>
        <w:numPr>
          <w:ilvl w:val="0"/>
          <w:numId w:val="0"/>
        </w:numPr>
        <w:rPr>
          <w:i/>
          <w:u w:val="single"/>
          <w:lang w:val="fr-FR"/>
        </w:rPr>
      </w:pPr>
      <w:r w:rsidRPr="00DB7876">
        <w:rPr>
          <w:i/>
          <w:u w:val="single"/>
          <w:lang w:val="fr-FR" w:eastAsia="ja-JP"/>
        </w:rPr>
        <w:t>C</w:t>
      </w:r>
      <w:r w:rsidR="00B91B2D" w:rsidRPr="00DB7876">
        <w:rPr>
          <w:i/>
          <w:u w:val="single"/>
          <w:lang w:val="fr-FR" w:eastAsia="ja-JP"/>
        </w:rPr>
        <w:t>ontr</w:t>
      </w:r>
      <w:r w:rsidR="009A606A" w:rsidRPr="00DB7876">
        <w:rPr>
          <w:i/>
          <w:u w:val="single"/>
          <w:lang w:val="fr-FR" w:eastAsia="ja-JP"/>
        </w:rPr>
        <w:t>ôle par le Bureau i</w:t>
      </w:r>
      <w:r w:rsidR="00085DDD" w:rsidRPr="00DB7876">
        <w:rPr>
          <w:i/>
          <w:u w:val="single"/>
          <w:lang w:val="fr-FR" w:eastAsia="ja-JP"/>
        </w:rPr>
        <w:t xml:space="preserve">nternational </w:t>
      </w:r>
      <w:r w:rsidR="009A606A" w:rsidRPr="00DB7876">
        <w:rPr>
          <w:i/>
          <w:u w:val="single"/>
          <w:lang w:val="fr-FR" w:eastAsia="ja-JP"/>
        </w:rPr>
        <w:t>de l</w:t>
      </w:r>
      <w:r w:rsidR="00852AB9" w:rsidRPr="00DB7876">
        <w:rPr>
          <w:i/>
          <w:u w:val="single"/>
          <w:lang w:val="fr-FR" w:eastAsia="ja-JP"/>
        </w:rPr>
        <w:t>’</w:t>
      </w:r>
      <w:r w:rsidR="009A606A" w:rsidRPr="00DB7876">
        <w:rPr>
          <w:i/>
          <w:u w:val="single"/>
          <w:lang w:val="fr-FR" w:eastAsia="ja-JP"/>
        </w:rPr>
        <w:t xml:space="preserve">Organisation Mondiale de la Propriété Intellectuelle (OMPI) du classement des </w:t>
      </w:r>
      <w:r w:rsidR="00B91B2D" w:rsidRPr="00DB7876">
        <w:rPr>
          <w:i/>
          <w:u w:val="single"/>
          <w:lang w:val="fr-FR" w:eastAsia="ja-JP"/>
        </w:rPr>
        <w:t>limitations</w:t>
      </w:r>
      <w:r w:rsidR="00085DDD" w:rsidRPr="00DB7876">
        <w:rPr>
          <w:i/>
          <w:u w:val="single"/>
          <w:lang w:val="fr-FR" w:eastAsia="ja-JP"/>
        </w:rPr>
        <w:t xml:space="preserve"> </w:t>
      </w:r>
      <w:r w:rsidR="00977B0B" w:rsidRPr="00DB7876">
        <w:rPr>
          <w:i/>
          <w:u w:val="single"/>
          <w:lang w:val="fr-FR" w:eastAsia="ja-JP"/>
        </w:rPr>
        <w:t xml:space="preserve">de la liste des produits et </w:t>
      </w:r>
      <w:r w:rsidR="00085DDD" w:rsidRPr="00DB7876">
        <w:rPr>
          <w:i/>
          <w:u w:val="single"/>
          <w:lang w:val="fr-FR" w:eastAsia="ja-JP"/>
        </w:rPr>
        <w:t xml:space="preserve">services </w:t>
      </w:r>
      <w:r w:rsidR="00BA2AD6" w:rsidRPr="00DB7876">
        <w:rPr>
          <w:i/>
          <w:u w:val="single"/>
          <w:lang w:val="fr-FR" w:eastAsia="ja-JP"/>
        </w:rPr>
        <w:t>faites</w:t>
      </w:r>
      <w:r w:rsidR="00977B0B" w:rsidRPr="00DB7876">
        <w:rPr>
          <w:i/>
          <w:u w:val="single"/>
          <w:lang w:val="fr-FR" w:eastAsia="ja-JP"/>
        </w:rPr>
        <w:t xml:space="preserve"> dans les demandes </w:t>
      </w:r>
      <w:r w:rsidR="00B91B2D" w:rsidRPr="00DB7876">
        <w:rPr>
          <w:i/>
          <w:u w:val="single"/>
          <w:lang w:val="fr-FR" w:eastAsia="ja-JP"/>
        </w:rPr>
        <w:t>international</w:t>
      </w:r>
      <w:r w:rsidR="00977B0B" w:rsidRPr="00DB7876">
        <w:rPr>
          <w:i/>
          <w:u w:val="single"/>
          <w:lang w:val="fr-FR" w:eastAsia="ja-JP"/>
        </w:rPr>
        <w:t>es</w:t>
      </w:r>
      <w:r w:rsidR="00183E9E" w:rsidRPr="00DB7876">
        <w:rPr>
          <w:i/>
          <w:u w:val="single"/>
          <w:lang w:val="fr-FR" w:eastAsia="ja-JP"/>
        </w:rPr>
        <w:t xml:space="preserve"> (</w:t>
      </w:r>
      <w:r w:rsidR="00977B0B" w:rsidRPr="00DB7876">
        <w:rPr>
          <w:i/>
          <w:u w:val="single"/>
          <w:lang w:val="fr-FR" w:eastAsia="ja-JP"/>
        </w:rPr>
        <w:t>règle</w:t>
      </w:r>
      <w:r w:rsidR="00183E9E" w:rsidRPr="00DB7876">
        <w:rPr>
          <w:i/>
          <w:u w:val="single"/>
          <w:lang w:val="fr-FR" w:eastAsia="ja-JP"/>
        </w:rPr>
        <w:t> </w:t>
      </w:r>
      <w:r w:rsidR="00F03EFE" w:rsidRPr="00DB7876">
        <w:rPr>
          <w:i/>
          <w:u w:val="single"/>
          <w:lang w:val="fr-FR" w:eastAsia="ja-JP"/>
        </w:rPr>
        <w:t>12)</w:t>
      </w:r>
    </w:p>
    <w:p w:rsidR="00852AB9" w:rsidRPr="00DB7876" w:rsidRDefault="00FE56A3" w:rsidP="00611CBF">
      <w:pPr>
        <w:pStyle w:val="ONUMFS"/>
        <w:rPr>
          <w:lang w:val="fr-FR"/>
        </w:rPr>
      </w:pPr>
      <w:r w:rsidRPr="00DB7876">
        <w:rPr>
          <w:lang w:val="fr-FR"/>
        </w:rPr>
        <w:t>Selon u</w:t>
      </w:r>
      <w:r w:rsidR="00BA2AD6" w:rsidRPr="00DB7876">
        <w:rPr>
          <w:lang w:val="fr-FR"/>
        </w:rPr>
        <w:t xml:space="preserve">n nouvel alinéa </w:t>
      </w:r>
      <w:r w:rsidR="00122926" w:rsidRPr="00DB7876">
        <w:rPr>
          <w:lang w:val="fr-FR"/>
        </w:rPr>
        <w:t>(</w:t>
      </w:r>
      <w:r w:rsidR="006476BC" w:rsidRPr="00DB7876">
        <w:rPr>
          <w:lang w:val="fr-FR"/>
        </w:rPr>
        <w:t>8</w:t>
      </w:r>
      <w:r w:rsidR="006476BC" w:rsidRPr="00DB7876">
        <w:rPr>
          <w:i/>
          <w:lang w:val="fr-FR"/>
        </w:rPr>
        <w:t>bis</w:t>
      </w:r>
      <w:r w:rsidR="00122926" w:rsidRPr="00DB7876">
        <w:rPr>
          <w:lang w:val="fr-FR"/>
        </w:rPr>
        <w:t>)</w:t>
      </w:r>
      <w:r w:rsidR="006476BC" w:rsidRPr="00DB7876">
        <w:rPr>
          <w:lang w:val="fr-FR"/>
        </w:rPr>
        <w:t xml:space="preserve"> </w:t>
      </w:r>
      <w:r w:rsidRPr="00DB7876">
        <w:rPr>
          <w:lang w:val="fr-FR"/>
        </w:rPr>
        <w:t>de</w:t>
      </w:r>
      <w:r w:rsidR="00BA2AD6" w:rsidRPr="00DB7876">
        <w:rPr>
          <w:lang w:val="fr-FR"/>
        </w:rPr>
        <w:t xml:space="preserve"> la règle </w:t>
      </w:r>
      <w:r w:rsidR="006476BC" w:rsidRPr="00DB7876">
        <w:rPr>
          <w:lang w:val="fr-FR"/>
        </w:rPr>
        <w:t xml:space="preserve">12 </w:t>
      </w:r>
      <w:r w:rsidR="00BA2AD6" w:rsidRPr="00DB7876">
        <w:rPr>
          <w:lang w:val="fr-FR"/>
        </w:rPr>
        <w:t>du règlement d</w:t>
      </w:r>
      <w:r w:rsidR="00852AB9" w:rsidRPr="00DB7876">
        <w:rPr>
          <w:lang w:val="fr-FR"/>
        </w:rPr>
        <w:t>’</w:t>
      </w:r>
      <w:r w:rsidR="00BA2AD6" w:rsidRPr="00DB7876">
        <w:rPr>
          <w:lang w:val="fr-FR"/>
        </w:rPr>
        <w:t>exécution commun</w:t>
      </w:r>
      <w:r w:rsidRPr="00DB7876">
        <w:rPr>
          <w:lang w:val="fr-FR"/>
        </w:rPr>
        <w:t>, le</w:t>
      </w:r>
      <w:r w:rsidR="00BA2AD6" w:rsidRPr="00DB7876">
        <w:rPr>
          <w:lang w:val="fr-FR"/>
        </w:rPr>
        <w:t xml:space="preserve"> Bureau international de l</w:t>
      </w:r>
      <w:r w:rsidR="00852AB9" w:rsidRPr="00DB7876">
        <w:rPr>
          <w:lang w:val="fr-FR"/>
        </w:rPr>
        <w:t>’</w:t>
      </w:r>
      <w:r w:rsidR="00BA2AD6" w:rsidRPr="00DB7876">
        <w:rPr>
          <w:lang w:val="fr-FR"/>
        </w:rPr>
        <w:t>OMPI</w:t>
      </w:r>
      <w:r w:rsidRPr="00DB7876">
        <w:rPr>
          <w:lang w:val="fr-FR"/>
        </w:rPr>
        <w:t xml:space="preserve"> sera tenu</w:t>
      </w:r>
      <w:r w:rsidR="00BA2AD6" w:rsidRPr="00DB7876">
        <w:rPr>
          <w:lang w:val="fr-FR"/>
        </w:rPr>
        <w:t>, lors de l</w:t>
      </w:r>
      <w:r w:rsidR="00852AB9" w:rsidRPr="00DB7876">
        <w:rPr>
          <w:lang w:val="fr-FR"/>
        </w:rPr>
        <w:t>’</w:t>
      </w:r>
      <w:r w:rsidR="00BA2AD6" w:rsidRPr="00DB7876">
        <w:rPr>
          <w:lang w:val="fr-FR"/>
        </w:rPr>
        <w:t>examen d</w:t>
      </w:r>
      <w:r w:rsidR="00852AB9" w:rsidRPr="00DB7876">
        <w:rPr>
          <w:lang w:val="fr-FR"/>
        </w:rPr>
        <w:t>’</w:t>
      </w:r>
      <w:r w:rsidR="00BA2AD6" w:rsidRPr="00DB7876">
        <w:rPr>
          <w:lang w:val="fr-FR"/>
        </w:rPr>
        <w:t xml:space="preserve">une demande internationale, </w:t>
      </w:r>
      <w:r w:rsidRPr="00DB7876">
        <w:rPr>
          <w:lang w:val="fr-FR"/>
        </w:rPr>
        <w:t>d</w:t>
      </w:r>
      <w:r w:rsidR="00852AB9" w:rsidRPr="00DB7876">
        <w:rPr>
          <w:lang w:val="fr-FR"/>
        </w:rPr>
        <w:t>’</w:t>
      </w:r>
      <w:r w:rsidR="003637D7" w:rsidRPr="00DB7876">
        <w:rPr>
          <w:lang w:val="fr-FR"/>
        </w:rPr>
        <w:t>examine</w:t>
      </w:r>
      <w:r w:rsidRPr="00DB7876">
        <w:rPr>
          <w:lang w:val="fr-FR"/>
        </w:rPr>
        <w:t>r</w:t>
      </w:r>
      <w:r w:rsidR="003637D7" w:rsidRPr="00DB7876">
        <w:rPr>
          <w:lang w:val="fr-FR"/>
        </w:rPr>
        <w:t xml:space="preserve"> </w:t>
      </w:r>
      <w:r w:rsidR="00BA2AD6" w:rsidRPr="00DB7876">
        <w:rPr>
          <w:lang w:val="fr-FR"/>
        </w:rPr>
        <w:t xml:space="preserve">également les </w:t>
      </w:r>
      <w:r w:rsidR="003637D7" w:rsidRPr="00DB7876">
        <w:rPr>
          <w:lang w:val="fr-FR"/>
        </w:rPr>
        <w:t>limitations cont</w:t>
      </w:r>
      <w:r w:rsidR="00BA2AD6" w:rsidRPr="00DB7876">
        <w:rPr>
          <w:lang w:val="fr-FR"/>
        </w:rPr>
        <w:t>enues dans cette deman</w:t>
      </w:r>
      <w:r w:rsidR="00DB7876" w:rsidRPr="00DB7876">
        <w:rPr>
          <w:lang w:val="fr-FR"/>
        </w:rPr>
        <w:t>de.  Si</w:t>
      </w:r>
      <w:r w:rsidR="00BA2AD6" w:rsidRPr="00DB7876">
        <w:rPr>
          <w:lang w:val="fr-FR"/>
        </w:rPr>
        <w:t xml:space="preserve"> le Bureau international </w:t>
      </w:r>
      <w:r w:rsidR="00E316C0" w:rsidRPr="00DB7876">
        <w:rPr>
          <w:lang w:val="fr-FR"/>
        </w:rPr>
        <w:t xml:space="preserve">conteste le classement des produits et services </w:t>
      </w:r>
      <w:r w:rsidR="00BA0B1E" w:rsidRPr="00DB7876">
        <w:rPr>
          <w:lang w:val="fr-FR"/>
        </w:rPr>
        <w:t>énumérés</w:t>
      </w:r>
      <w:r w:rsidR="00E316C0" w:rsidRPr="00DB7876">
        <w:rPr>
          <w:lang w:val="fr-FR"/>
        </w:rPr>
        <w:t xml:space="preserve"> dans une limitation faite dans une demande internationale, il émet un avis d</w:t>
      </w:r>
      <w:r w:rsidR="00852AB9" w:rsidRPr="00DB7876">
        <w:rPr>
          <w:lang w:val="fr-FR"/>
        </w:rPr>
        <w:t>’</w:t>
      </w:r>
      <w:r w:rsidR="00E316C0" w:rsidRPr="00DB7876">
        <w:rPr>
          <w:lang w:val="fr-FR"/>
        </w:rPr>
        <w:t>irrégularité conformément à la procédure prévue aux alinéas </w:t>
      </w:r>
      <w:r w:rsidR="00183E9E" w:rsidRPr="00DB7876">
        <w:rPr>
          <w:lang w:val="fr-FR"/>
        </w:rPr>
        <w:t xml:space="preserve">1)a) </w:t>
      </w:r>
      <w:r w:rsidR="00E316C0" w:rsidRPr="00DB7876">
        <w:rPr>
          <w:lang w:val="fr-FR"/>
        </w:rPr>
        <w:t xml:space="preserve">et </w:t>
      </w:r>
      <w:r w:rsidR="003637D7" w:rsidRPr="00DB7876">
        <w:rPr>
          <w:lang w:val="fr-FR"/>
        </w:rPr>
        <w:t xml:space="preserve">2) </w:t>
      </w:r>
      <w:r w:rsidR="00E316C0" w:rsidRPr="00DB7876">
        <w:rPr>
          <w:lang w:val="fr-FR"/>
        </w:rPr>
        <w:t xml:space="preserve">à </w:t>
      </w:r>
      <w:r w:rsidR="003637D7" w:rsidRPr="00DB7876">
        <w:rPr>
          <w:lang w:val="fr-FR"/>
        </w:rPr>
        <w:t xml:space="preserve">6) </w:t>
      </w:r>
      <w:r w:rsidR="00E316C0" w:rsidRPr="00DB7876">
        <w:rPr>
          <w:lang w:val="fr-FR"/>
        </w:rPr>
        <w:t>de la règle </w:t>
      </w:r>
      <w:r w:rsidR="003637D7" w:rsidRPr="00DB7876">
        <w:rPr>
          <w:lang w:val="fr-FR"/>
        </w:rPr>
        <w:t xml:space="preserve">12 </w:t>
      </w:r>
      <w:r w:rsidR="00F1560B" w:rsidRPr="00DB7876">
        <w:rPr>
          <w:lang w:val="fr-FR"/>
        </w:rPr>
        <w:t>du règlement d</w:t>
      </w:r>
      <w:r w:rsidR="00852AB9" w:rsidRPr="00DB7876">
        <w:rPr>
          <w:lang w:val="fr-FR"/>
        </w:rPr>
        <w:t>’</w:t>
      </w:r>
      <w:r w:rsidR="00F1560B" w:rsidRPr="00DB7876">
        <w:rPr>
          <w:lang w:val="fr-FR"/>
        </w:rPr>
        <w:t>exécution commun, qui s</w:t>
      </w:r>
      <w:r w:rsidR="00852AB9" w:rsidRPr="00DB7876">
        <w:rPr>
          <w:lang w:val="fr-FR"/>
        </w:rPr>
        <w:t>’</w:t>
      </w:r>
      <w:r w:rsidR="00F1560B" w:rsidRPr="00DB7876">
        <w:rPr>
          <w:lang w:val="fr-FR"/>
        </w:rPr>
        <w:t xml:space="preserve">applique </w:t>
      </w:r>
      <w:r w:rsidR="003637D7" w:rsidRPr="00DB7876">
        <w:rPr>
          <w:i/>
          <w:lang w:val="fr-FR"/>
        </w:rPr>
        <w:t>mutatis</w:t>
      </w:r>
      <w:r w:rsidR="00F46B19" w:rsidRPr="00DB7876">
        <w:rPr>
          <w:i/>
          <w:lang w:val="fr-FR"/>
        </w:rPr>
        <w:t> </w:t>
      </w:r>
      <w:r w:rsidR="003637D7" w:rsidRPr="00DB7876">
        <w:rPr>
          <w:i/>
          <w:lang w:val="fr-FR"/>
        </w:rPr>
        <w:t>mutandis</w:t>
      </w:r>
      <w:r w:rsidR="003637D7" w:rsidRPr="00DB7876">
        <w:rPr>
          <w:lang w:val="fr-FR"/>
        </w:rPr>
        <w:t>.</w:t>
      </w:r>
    </w:p>
    <w:p w:rsidR="00852AB9" w:rsidRPr="00DB7876" w:rsidRDefault="00F1560B" w:rsidP="00611CBF">
      <w:pPr>
        <w:pStyle w:val="ONUMFS"/>
        <w:rPr>
          <w:lang w:val="fr-FR"/>
        </w:rPr>
      </w:pPr>
      <w:r w:rsidRPr="00DB7876">
        <w:rPr>
          <w:lang w:val="fr-FR"/>
        </w:rPr>
        <w:t xml:space="preserve">Lorsque le Bureau international ne peut grouper les produits et services </w:t>
      </w:r>
      <w:r w:rsidR="00BA0B1E" w:rsidRPr="00DB7876">
        <w:rPr>
          <w:lang w:val="fr-FR"/>
        </w:rPr>
        <w:t>énumérés</w:t>
      </w:r>
      <w:r w:rsidRPr="00DB7876">
        <w:rPr>
          <w:lang w:val="fr-FR"/>
        </w:rPr>
        <w:t xml:space="preserve"> dans la limitation </w:t>
      </w:r>
      <w:r w:rsidR="00BA0B1E" w:rsidRPr="00DB7876">
        <w:rPr>
          <w:lang w:val="fr-FR"/>
        </w:rPr>
        <w:t>selon</w:t>
      </w:r>
      <w:r w:rsidRPr="00DB7876">
        <w:rPr>
          <w:lang w:val="fr-FR"/>
        </w:rPr>
        <w:t xml:space="preserve"> les classes de la classification </w:t>
      </w:r>
      <w:r w:rsidR="00BA0B1E" w:rsidRPr="00DB7876">
        <w:rPr>
          <w:lang w:val="fr-FR"/>
        </w:rPr>
        <w:t>internationale des produits et des services aux fins de l</w:t>
      </w:r>
      <w:r w:rsidR="00852AB9" w:rsidRPr="00DB7876">
        <w:rPr>
          <w:lang w:val="fr-FR"/>
        </w:rPr>
        <w:t>’</w:t>
      </w:r>
      <w:r w:rsidR="00BA0B1E" w:rsidRPr="00DB7876">
        <w:rPr>
          <w:lang w:val="fr-FR"/>
        </w:rPr>
        <w:t xml:space="preserve">enregistrement des marques </w:t>
      </w:r>
      <w:r w:rsidR="00183E9E" w:rsidRPr="00DB7876">
        <w:rPr>
          <w:lang w:val="fr-FR"/>
        </w:rPr>
        <w:t>(</w:t>
      </w:r>
      <w:r w:rsidR="00BA0B1E" w:rsidRPr="00DB7876">
        <w:rPr>
          <w:lang w:val="fr-FR"/>
        </w:rPr>
        <w:t xml:space="preserve">classification de </w:t>
      </w:r>
      <w:r w:rsidR="00183E9E" w:rsidRPr="00DB7876">
        <w:rPr>
          <w:lang w:val="fr-FR"/>
        </w:rPr>
        <w:t xml:space="preserve">Nice) </w:t>
      </w:r>
      <w:r w:rsidR="00BA0B1E" w:rsidRPr="00DB7876">
        <w:rPr>
          <w:lang w:val="fr-FR"/>
        </w:rPr>
        <w:t>figurant sur la liste principale de la demande internationale, telle qu</w:t>
      </w:r>
      <w:r w:rsidR="00852AB9" w:rsidRPr="00DB7876">
        <w:rPr>
          <w:lang w:val="fr-FR"/>
        </w:rPr>
        <w:t>’</w:t>
      </w:r>
      <w:r w:rsidR="00BA0B1E" w:rsidRPr="00DB7876">
        <w:rPr>
          <w:lang w:val="fr-FR"/>
        </w:rPr>
        <w:t>elle a été initialement déposée ou telle qu</w:t>
      </w:r>
      <w:r w:rsidR="00852AB9" w:rsidRPr="00DB7876">
        <w:rPr>
          <w:lang w:val="fr-FR"/>
        </w:rPr>
        <w:t>’</w:t>
      </w:r>
      <w:r w:rsidR="00BA0B1E" w:rsidRPr="00DB7876">
        <w:rPr>
          <w:lang w:val="fr-FR"/>
        </w:rPr>
        <w:t>elle a été modifiée conformément à la règle 12.1) à 6) du règlement d</w:t>
      </w:r>
      <w:r w:rsidR="00852AB9" w:rsidRPr="00DB7876">
        <w:rPr>
          <w:lang w:val="fr-FR"/>
        </w:rPr>
        <w:t>’</w:t>
      </w:r>
      <w:r w:rsidR="00BA0B1E" w:rsidRPr="00DB7876">
        <w:rPr>
          <w:lang w:val="fr-FR"/>
        </w:rPr>
        <w:t>exécution commun</w:t>
      </w:r>
      <w:r w:rsidR="00026EB0" w:rsidRPr="00DB7876">
        <w:rPr>
          <w:lang w:val="fr-FR"/>
        </w:rPr>
        <w:t xml:space="preserve">, </w:t>
      </w:r>
      <w:r w:rsidR="00BA0B1E" w:rsidRPr="00DB7876">
        <w:rPr>
          <w:lang w:val="fr-FR"/>
        </w:rPr>
        <w:t>et que cette irrégularité n</w:t>
      </w:r>
      <w:r w:rsidR="00852AB9" w:rsidRPr="00DB7876">
        <w:rPr>
          <w:lang w:val="fr-FR"/>
        </w:rPr>
        <w:t>’</w:t>
      </w:r>
      <w:r w:rsidR="00BA0B1E" w:rsidRPr="00DB7876">
        <w:rPr>
          <w:lang w:val="fr-FR"/>
        </w:rPr>
        <w:t xml:space="preserve">est pas corrigée dans un délai de trois mois, la limitation est réputée ne pas contenir les produits et services </w:t>
      </w:r>
      <w:r w:rsidR="001D2E2C" w:rsidRPr="00DB7876">
        <w:rPr>
          <w:lang w:val="fr-FR"/>
        </w:rPr>
        <w:t>concernés par l</w:t>
      </w:r>
      <w:r w:rsidR="00852AB9" w:rsidRPr="00DB7876">
        <w:rPr>
          <w:lang w:val="fr-FR"/>
        </w:rPr>
        <w:t>’</w:t>
      </w:r>
      <w:r w:rsidR="001D2E2C" w:rsidRPr="00DB7876">
        <w:rPr>
          <w:lang w:val="fr-FR"/>
        </w:rPr>
        <w:t>irrégularité</w:t>
      </w:r>
      <w:r w:rsidR="00BD138A" w:rsidRPr="00DB7876">
        <w:rPr>
          <w:lang w:val="fr-FR"/>
        </w:rPr>
        <w:t>.</w:t>
      </w:r>
    </w:p>
    <w:p w:rsidR="003E05CF" w:rsidRPr="00DB7876" w:rsidRDefault="003E05CF" w:rsidP="00611CBF">
      <w:pPr>
        <w:rPr>
          <w:i/>
          <w:u w:val="single"/>
          <w:lang w:val="fr-FR"/>
        </w:rPr>
      </w:pPr>
      <w:r w:rsidRPr="00DB7876">
        <w:rPr>
          <w:i/>
          <w:u w:val="single"/>
          <w:lang w:val="fr-FR" w:eastAsia="ja-JP"/>
        </w:rPr>
        <w:t>N</w:t>
      </w:r>
      <w:r w:rsidR="001D2E2C" w:rsidRPr="00DB7876">
        <w:rPr>
          <w:i/>
          <w:u w:val="single"/>
          <w:lang w:val="fr-FR" w:eastAsia="ja-JP"/>
        </w:rPr>
        <w:t>ouvelle exigence relative à l</w:t>
      </w:r>
      <w:r w:rsidR="00852AB9" w:rsidRPr="00DB7876">
        <w:rPr>
          <w:i/>
          <w:u w:val="single"/>
          <w:lang w:val="fr-FR" w:eastAsia="ja-JP"/>
        </w:rPr>
        <w:t>’</w:t>
      </w:r>
      <w:r w:rsidR="001D2E2C" w:rsidRPr="00DB7876">
        <w:rPr>
          <w:i/>
          <w:u w:val="single"/>
          <w:lang w:val="fr-FR" w:eastAsia="ja-JP"/>
        </w:rPr>
        <w:t>établissement d</w:t>
      </w:r>
      <w:r w:rsidR="00852AB9" w:rsidRPr="00DB7876">
        <w:rPr>
          <w:i/>
          <w:u w:val="single"/>
          <w:lang w:val="fr-FR" w:eastAsia="ja-JP"/>
        </w:rPr>
        <w:t>’</w:t>
      </w:r>
      <w:r w:rsidR="001D2E2C" w:rsidRPr="00DB7876">
        <w:rPr>
          <w:i/>
          <w:u w:val="single"/>
          <w:lang w:val="fr-FR" w:eastAsia="ja-JP"/>
        </w:rPr>
        <w:t>une liste des produits et services figurant dans une demande d</w:t>
      </w:r>
      <w:r w:rsidR="00852AB9" w:rsidRPr="00DB7876">
        <w:rPr>
          <w:i/>
          <w:u w:val="single"/>
          <w:lang w:val="fr-FR" w:eastAsia="ja-JP"/>
        </w:rPr>
        <w:t>’</w:t>
      </w:r>
      <w:r w:rsidR="001D2E2C" w:rsidRPr="00DB7876">
        <w:rPr>
          <w:i/>
          <w:u w:val="single"/>
          <w:lang w:val="fr-FR" w:eastAsia="ja-JP"/>
        </w:rPr>
        <w:t>inscription d</w:t>
      </w:r>
      <w:r w:rsidR="00852AB9" w:rsidRPr="00DB7876">
        <w:rPr>
          <w:i/>
          <w:u w:val="single"/>
          <w:lang w:val="fr-FR" w:eastAsia="ja-JP"/>
        </w:rPr>
        <w:t>’</w:t>
      </w:r>
      <w:r w:rsidR="001D2E2C" w:rsidRPr="00DB7876">
        <w:rPr>
          <w:i/>
          <w:u w:val="single"/>
          <w:lang w:val="fr-FR" w:eastAsia="ja-JP"/>
        </w:rPr>
        <w:t xml:space="preserve">une </w:t>
      </w:r>
      <w:r w:rsidRPr="00DB7876">
        <w:rPr>
          <w:i/>
          <w:u w:val="single"/>
          <w:lang w:val="fr-FR" w:eastAsia="ja-JP"/>
        </w:rPr>
        <w:t>limitation</w:t>
      </w:r>
      <w:r w:rsidR="00085DDD" w:rsidRPr="00DB7876">
        <w:rPr>
          <w:i/>
          <w:u w:val="single"/>
          <w:lang w:val="fr-FR" w:eastAsia="ja-JP"/>
        </w:rPr>
        <w:t xml:space="preserve"> </w:t>
      </w:r>
      <w:r w:rsidR="00963A28" w:rsidRPr="00DB7876">
        <w:rPr>
          <w:i/>
          <w:u w:val="single"/>
          <w:lang w:val="fr-FR" w:eastAsia="ja-JP"/>
        </w:rPr>
        <w:t>selon le</w:t>
      </w:r>
      <w:r w:rsidR="003E06A3">
        <w:rPr>
          <w:i/>
          <w:u w:val="single"/>
          <w:lang w:val="fr-FR" w:eastAsia="ja-JP"/>
        </w:rPr>
        <w:t>s numéros des</w:t>
      </w:r>
      <w:r w:rsidR="00963A28" w:rsidRPr="00DB7876">
        <w:rPr>
          <w:i/>
          <w:u w:val="single"/>
          <w:lang w:val="fr-FR" w:eastAsia="ja-JP"/>
        </w:rPr>
        <w:t xml:space="preserve"> classes contenues dans l</w:t>
      </w:r>
      <w:r w:rsidR="00852AB9" w:rsidRPr="00DB7876">
        <w:rPr>
          <w:i/>
          <w:u w:val="single"/>
          <w:lang w:val="fr-FR" w:eastAsia="ja-JP"/>
        </w:rPr>
        <w:t>’</w:t>
      </w:r>
      <w:r w:rsidR="00963A28" w:rsidRPr="00DB7876">
        <w:rPr>
          <w:i/>
          <w:u w:val="single"/>
          <w:lang w:val="fr-FR" w:eastAsia="ja-JP"/>
        </w:rPr>
        <w:t>enregistrement i</w:t>
      </w:r>
      <w:r w:rsidRPr="00DB7876">
        <w:rPr>
          <w:i/>
          <w:u w:val="single"/>
          <w:lang w:val="fr-FR" w:eastAsia="ja-JP"/>
        </w:rPr>
        <w:t>nternational</w:t>
      </w:r>
      <w:r w:rsidR="000207D6" w:rsidRPr="00DB7876">
        <w:rPr>
          <w:i/>
          <w:u w:val="single"/>
          <w:lang w:val="fr-FR" w:eastAsia="ja-JP"/>
        </w:rPr>
        <w:t xml:space="preserve"> (</w:t>
      </w:r>
      <w:r w:rsidR="00963A28" w:rsidRPr="00DB7876">
        <w:rPr>
          <w:i/>
          <w:u w:val="single"/>
          <w:lang w:val="fr-FR" w:eastAsia="ja-JP"/>
        </w:rPr>
        <w:t>règles</w:t>
      </w:r>
      <w:r w:rsidR="00183E9E" w:rsidRPr="00DB7876">
        <w:rPr>
          <w:i/>
          <w:u w:val="single"/>
          <w:lang w:val="fr-FR" w:eastAsia="ja-JP"/>
        </w:rPr>
        <w:t> 2</w:t>
      </w:r>
      <w:r w:rsidR="000207D6" w:rsidRPr="00DB7876">
        <w:rPr>
          <w:i/>
          <w:u w:val="single"/>
          <w:lang w:val="fr-FR" w:eastAsia="ja-JP"/>
        </w:rPr>
        <w:t>5</w:t>
      </w:r>
      <w:r w:rsidR="00283D7A">
        <w:rPr>
          <w:i/>
          <w:u w:val="single"/>
          <w:lang w:val="fr-FR" w:eastAsia="ja-JP"/>
        </w:rPr>
        <w:t xml:space="preserve"> à </w:t>
      </w:r>
      <w:r w:rsidR="000207D6" w:rsidRPr="00DB7876">
        <w:rPr>
          <w:i/>
          <w:u w:val="single"/>
          <w:lang w:val="fr-FR" w:eastAsia="ja-JP"/>
        </w:rPr>
        <w:t>27)</w:t>
      </w:r>
    </w:p>
    <w:p w:rsidR="003E05CF" w:rsidRPr="00DB7876" w:rsidRDefault="003E05CF" w:rsidP="00611CBF">
      <w:pPr>
        <w:pStyle w:val="ONUME"/>
        <w:numPr>
          <w:ilvl w:val="0"/>
          <w:numId w:val="0"/>
        </w:numPr>
        <w:spacing w:after="0"/>
        <w:rPr>
          <w:lang w:val="fr-FR"/>
        </w:rPr>
      </w:pPr>
    </w:p>
    <w:p w:rsidR="00852AB9" w:rsidRPr="00DB7876" w:rsidRDefault="00FE56A3" w:rsidP="00611CBF">
      <w:pPr>
        <w:pStyle w:val="ONUMFS"/>
        <w:rPr>
          <w:lang w:val="fr-FR" w:eastAsia="ja-JP"/>
        </w:rPr>
      </w:pPr>
      <w:r w:rsidRPr="00DB7876">
        <w:rPr>
          <w:lang w:val="fr-FR" w:eastAsia="ja-JP"/>
        </w:rPr>
        <w:t>Selon u</w:t>
      </w:r>
      <w:r w:rsidR="0072795D" w:rsidRPr="00DB7876">
        <w:rPr>
          <w:lang w:val="fr-FR" w:eastAsia="ja-JP"/>
        </w:rPr>
        <w:t>n nouvel alinéa </w:t>
      </w:r>
      <w:r w:rsidR="00EA4E3D" w:rsidRPr="00DB7876">
        <w:rPr>
          <w:lang w:val="fr-FR" w:eastAsia="ja-JP"/>
        </w:rPr>
        <w:t xml:space="preserve">2)d) </w:t>
      </w:r>
      <w:r w:rsidRPr="00DB7876">
        <w:rPr>
          <w:lang w:val="fr-FR" w:eastAsia="ja-JP"/>
        </w:rPr>
        <w:t>de</w:t>
      </w:r>
      <w:r w:rsidR="0072795D" w:rsidRPr="00DB7876">
        <w:rPr>
          <w:lang w:val="fr-FR" w:eastAsia="ja-JP"/>
        </w:rPr>
        <w:t xml:space="preserve"> la règle </w:t>
      </w:r>
      <w:r w:rsidR="00EA4E3D" w:rsidRPr="00DB7876">
        <w:rPr>
          <w:lang w:val="fr-FR" w:eastAsia="ja-JP"/>
        </w:rPr>
        <w:t xml:space="preserve">25 </w:t>
      </w:r>
      <w:r w:rsidR="0072795D" w:rsidRPr="00DB7876">
        <w:rPr>
          <w:lang w:val="fr-FR" w:eastAsia="ja-JP"/>
        </w:rPr>
        <w:t>du règlement d</w:t>
      </w:r>
      <w:r w:rsidR="00852AB9" w:rsidRPr="00DB7876">
        <w:rPr>
          <w:lang w:val="fr-FR" w:eastAsia="ja-JP"/>
        </w:rPr>
        <w:t>’</w:t>
      </w:r>
      <w:r w:rsidR="0072795D" w:rsidRPr="00DB7876">
        <w:rPr>
          <w:lang w:val="fr-FR" w:eastAsia="ja-JP"/>
        </w:rPr>
        <w:t xml:space="preserve">exécution </w:t>
      </w:r>
      <w:r w:rsidRPr="00DB7876">
        <w:rPr>
          <w:lang w:val="fr-FR" w:eastAsia="ja-JP"/>
        </w:rPr>
        <w:t>commun, une demande d</w:t>
      </w:r>
      <w:r w:rsidR="00852AB9" w:rsidRPr="00DB7876">
        <w:rPr>
          <w:lang w:val="fr-FR" w:eastAsia="ja-JP"/>
        </w:rPr>
        <w:t>’</w:t>
      </w:r>
      <w:r w:rsidRPr="00DB7876">
        <w:rPr>
          <w:lang w:val="fr-FR" w:eastAsia="ja-JP"/>
        </w:rPr>
        <w:t>inscription d</w:t>
      </w:r>
      <w:r w:rsidR="00852AB9" w:rsidRPr="00DB7876">
        <w:rPr>
          <w:lang w:val="fr-FR" w:eastAsia="ja-JP"/>
        </w:rPr>
        <w:t>’</w:t>
      </w:r>
      <w:r w:rsidRPr="00DB7876">
        <w:rPr>
          <w:lang w:val="fr-FR" w:eastAsia="ja-JP"/>
        </w:rPr>
        <w:t>une limitation, présentée conformément à l</w:t>
      </w:r>
      <w:r w:rsidR="00852AB9" w:rsidRPr="00DB7876">
        <w:rPr>
          <w:lang w:val="fr-FR" w:eastAsia="ja-JP"/>
        </w:rPr>
        <w:t>’</w:t>
      </w:r>
      <w:r w:rsidRPr="00DB7876">
        <w:rPr>
          <w:lang w:val="fr-FR" w:eastAsia="ja-JP"/>
        </w:rPr>
        <w:t>alinéa </w:t>
      </w:r>
      <w:r w:rsidR="006D3C1B" w:rsidRPr="00DB7876">
        <w:rPr>
          <w:lang w:val="fr-FR" w:eastAsia="ja-JP"/>
        </w:rPr>
        <w:t>1)a)ii)</w:t>
      </w:r>
      <w:r w:rsidR="000207D6" w:rsidRPr="00DB7876">
        <w:rPr>
          <w:lang w:val="fr-FR" w:eastAsia="ja-JP"/>
        </w:rPr>
        <w:t>,</w:t>
      </w:r>
      <w:r w:rsidRPr="00DB7876">
        <w:rPr>
          <w:lang w:val="fr-FR" w:eastAsia="ja-JP"/>
        </w:rPr>
        <w:t xml:space="preserve"> devra </w:t>
      </w:r>
      <w:r w:rsidR="006D3C1B" w:rsidRPr="00DB7876">
        <w:rPr>
          <w:lang w:val="fr-FR" w:eastAsia="ja-JP"/>
        </w:rPr>
        <w:t>group</w:t>
      </w:r>
      <w:r w:rsidRPr="00DB7876">
        <w:rPr>
          <w:lang w:val="fr-FR" w:eastAsia="ja-JP"/>
        </w:rPr>
        <w:t xml:space="preserve">er la liste des produits et services énumérés dans la limitation </w:t>
      </w:r>
      <w:r w:rsidR="00C86F7C" w:rsidRPr="00DB7876">
        <w:rPr>
          <w:lang w:val="fr-FR" w:eastAsia="ja-JP"/>
        </w:rPr>
        <w:t xml:space="preserve">uniquement dans les classes correspondantes de la classification de </w:t>
      </w:r>
      <w:r w:rsidR="006D3C1B" w:rsidRPr="00DB7876">
        <w:rPr>
          <w:lang w:val="fr-FR" w:eastAsia="ja-JP"/>
        </w:rPr>
        <w:t xml:space="preserve">Nice </w:t>
      </w:r>
      <w:r w:rsidR="00C86F7C" w:rsidRPr="00DB7876">
        <w:rPr>
          <w:lang w:val="fr-FR" w:eastAsia="ja-JP"/>
        </w:rPr>
        <w:t xml:space="preserve">apparaissant dans la liste principale </w:t>
      </w:r>
      <w:r w:rsidR="00CB01FF" w:rsidRPr="00DB7876">
        <w:rPr>
          <w:lang w:val="fr-FR" w:eastAsia="ja-JP"/>
        </w:rPr>
        <w:t xml:space="preserve">figurant </w:t>
      </w:r>
      <w:r w:rsidR="00C86F7C" w:rsidRPr="00DB7876">
        <w:rPr>
          <w:lang w:val="fr-FR" w:eastAsia="ja-JP"/>
        </w:rPr>
        <w:t>dans l</w:t>
      </w:r>
      <w:r w:rsidR="00852AB9" w:rsidRPr="00DB7876">
        <w:rPr>
          <w:lang w:val="fr-FR" w:eastAsia="ja-JP"/>
        </w:rPr>
        <w:t>’</w:t>
      </w:r>
      <w:r w:rsidR="00C86F7C" w:rsidRPr="00DB7876">
        <w:rPr>
          <w:lang w:val="fr-FR" w:eastAsia="ja-JP"/>
        </w:rPr>
        <w:t xml:space="preserve">enregistrement </w:t>
      </w:r>
      <w:r w:rsidR="006D3C1B" w:rsidRPr="00DB7876">
        <w:rPr>
          <w:lang w:val="fr-FR" w:eastAsia="ja-JP"/>
        </w:rPr>
        <w:t xml:space="preserve">international </w:t>
      </w:r>
      <w:r w:rsidR="00C86F7C" w:rsidRPr="00DB7876">
        <w:rPr>
          <w:lang w:val="fr-FR" w:eastAsia="ja-JP"/>
        </w:rPr>
        <w:t>ou, le cas échéant, indiquer les classes à supprimer</w:t>
      </w:r>
      <w:r w:rsidR="006D3C1B" w:rsidRPr="00DB7876">
        <w:rPr>
          <w:lang w:val="fr-FR" w:eastAsia="ja-JP"/>
        </w:rPr>
        <w:t>.</w:t>
      </w:r>
    </w:p>
    <w:p w:rsidR="00852AB9" w:rsidRPr="00DB7876" w:rsidRDefault="00CB01FF" w:rsidP="00164A83">
      <w:pPr>
        <w:pStyle w:val="ONUMFS"/>
        <w:keepNext/>
        <w:keepLines/>
        <w:rPr>
          <w:lang w:val="fr-FR" w:eastAsia="ja-JP"/>
        </w:rPr>
      </w:pPr>
      <w:r w:rsidRPr="00DB7876">
        <w:rPr>
          <w:lang w:val="fr-FR" w:eastAsia="ja-JP"/>
        </w:rPr>
        <w:lastRenderedPageBreak/>
        <w:t>En outre, il sera précisé dans la règle </w:t>
      </w:r>
      <w:r w:rsidR="00CF4469" w:rsidRPr="00DB7876">
        <w:rPr>
          <w:lang w:val="fr-FR" w:eastAsia="ja-JP"/>
        </w:rPr>
        <w:t>26</w:t>
      </w:r>
      <w:r w:rsidRPr="00DB7876">
        <w:rPr>
          <w:lang w:val="fr-FR" w:eastAsia="ja-JP"/>
        </w:rPr>
        <w:t>.</w:t>
      </w:r>
      <w:r w:rsidR="00CF4469" w:rsidRPr="00DB7876">
        <w:rPr>
          <w:lang w:val="fr-FR" w:eastAsia="ja-JP"/>
        </w:rPr>
        <w:t xml:space="preserve">1) </w:t>
      </w:r>
      <w:r w:rsidRPr="00DB7876">
        <w:rPr>
          <w:lang w:val="fr-FR" w:eastAsia="ja-JP"/>
        </w:rPr>
        <w:t>modifiée du règlement d</w:t>
      </w:r>
      <w:r w:rsidR="00852AB9" w:rsidRPr="00DB7876">
        <w:rPr>
          <w:lang w:val="fr-FR" w:eastAsia="ja-JP"/>
        </w:rPr>
        <w:t>’</w:t>
      </w:r>
      <w:r w:rsidRPr="00DB7876">
        <w:rPr>
          <w:lang w:val="fr-FR" w:eastAsia="ja-JP"/>
        </w:rPr>
        <w:t>exécution commun, que le Bureau international de l</w:t>
      </w:r>
      <w:r w:rsidR="00852AB9" w:rsidRPr="00DB7876">
        <w:rPr>
          <w:lang w:val="fr-FR" w:eastAsia="ja-JP"/>
        </w:rPr>
        <w:t>’</w:t>
      </w:r>
      <w:r w:rsidRPr="00DB7876">
        <w:rPr>
          <w:lang w:val="fr-FR" w:eastAsia="ja-JP"/>
        </w:rPr>
        <w:t>OMPI doit examiner les demandes d</w:t>
      </w:r>
      <w:r w:rsidR="00852AB9" w:rsidRPr="00DB7876">
        <w:rPr>
          <w:lang w:val="fr-FR" w:eastAsia="ja-JP"/>
        </w:rPr>
        <w:t>’</w:t>
      </w:r>
      <w:r w:rsidRPr="00DB7876">
        <w:rPr>
          <w:lang w:val="fr-FR" w:eastAsia="ja-JP"/>
        </w:rPr>
        <w:t>inscription d</w:t>
      </w:r>
      <w:r w:rsidR="00852AB9" w:rsidRPr="00DB7876">
        <w:rPr>
          <w:lang w:val="fr-FR" w:eastAsia="ja-JP"/>
        </w:rPr>
        <w:t>’</w:t>
      </w:r>
      <w:r w:rsidRPr="00DB7876">
        <w:rPr>
          <w:lang w:val="fr-FR" w:eastAsia="ja-JP"/>
        </w:rPr>
        <w:t>une limitation afin de déterminer si le</w:t>
      </w:r>
      <w:r w:rsidR="003E06A3">
        <w:rPr>
          <w:lang w:val="fr-FR" w:eastAsia="ja-JP"/>
        </w:rPr>
        <w:t>s</w:t>
      </w:r>
      <w:r w:rsidRPr="00DB7876">
        <w:rPr>
          <w:lang w:val="fr-FR" w:eastAsia="ja-JP"/>
        </w:rPr>
        <w:t xml:space="preserve"> n</w:t>
      </w:r>
      <w:r w:rsidR="003E06A3">
        <w:rPr>
          <w:lang w:val="fr-FR" w:eastAsia="ja-JP"/>
        </w:rPr>
        <w:t>u</w:t>
      </w:r>
      <w:r w:rsidRPr="00DB7876">
        <w:rPr>
          <w:lang w:val="fr-FR" w:eastAsia="ja-JP"/>
        </w:rPr>
        <w:t>m</w:t>
      </w:r>
      <w:r w:rsidR="003E06A3">
        <w:rPr>
          <w:lang w:val="fr-FR" w:eastAsia="ja-JP"/>
        </w:rPr>
        <w:t>éros des</w:t>
      </w:r>
      <w:r w:rsidRPr="00DB7876">
        <w:rPr>
          <w:lang w:val="fr-FR" w:eastAsia="ja-JP"/>
        </w:rPr>
        <w:t xml:space="preserve"> classes indiqués dans la demande correspond</w:t>
      </w:r>
      <w:r w:rsidR="003E06A3">
        <w:rPr>
          <w:lang w:val="fr-FR" w:eastAsia="ja-JP"/>
        </w:rPr>
        <w:t>ent aux numéros</w:t>
      </w:r>
      <w:r w:rsidRPr="00DB7876">
        <w:rPr>
          <w:lang w:val="fr-FR" w:eastAsia="ja-JP"/>
        </w:rPr>
        <w:t xml:space="preserve"> de</w:t>
      </w:r>
      <w:r w:rsidR="003E06A3">
        <w:rPr>
          <w:lang w:val="fr-FR" w:eastAsia="ja-JP"/>
        </w:rPr>
        <w:t>s</w:t>
      </w:r>
      <w:r w:rsidRPr="00DB7876">
        <w:rPr>
          <w:lang w:val="fr-FR" w:eastAsia="ja-JP"/>
        </w:rPr>
        <w:t xml:space="preserve"> classes figurant dans l</w:t>
      </w:r>
      <w:r w:rsidR="00852AB9" w:rsidRPr="00DB7876">
        <w:rPr>
          <w:lang w:val="fr-FR" w:eastAsia="ja-JP"/>
        </w:rPr>
        <w:t>’</w:t>
      </w:r>
      <w:r w:rsidRPr="00DB7876">
        <w:rPr>
          <w:lang w:val="fr-FR" w:eastAsia="ja-JP"/>
        </w:rPr>
        <w:t>enregistrement international</w:t>
      </w:r>
      <w:r w:rsidR="0003752D" w:rsidRPr="00DB7876">
        <w:rPr>
          <w:lang w:val="fr-FR" w:eastAsia="ja-JP"/>
        </w:rPr>
        <w:t>.</w:t>
      </w:r>
    </w:p>
    <w:p w:rsidR="006359EF" w:rsidRPr="00DB7876" w:rsidRDefault="00CB01FF" w:rsidP="00611CBF">
      <w:pPr>
        <w:pStyle w:val="ONUMFS"/>
        <w:rPr>
          <w:lang w:val="fr-FR" w:eastAsia="ja-JP"/>
        </w:rPr>
      </w:pPr>
      <w:r w:rsidRPr="00DB7876">
        <w:rPr>
          <w:lang w:val="fr-FR" w:eastAsia="ja-JP"/>
        </w:rPr>
        <w:t xml:space="preserve">Dès lors, le Bureau </w:t>
      </w:r>
      <w:r w:rsidR="000535C1" w:rsidRPr="00DB7876">
        <w:rPr>
          <w:lang w:val="fr-FR" w:eastAsia="ja-JP"/>
        </w:rPr>
        <w:t>international ne p</w:t>
      </w:r>
      <w:r w:rsidR="003E06A3">
        <w:rPr>
          <w:lang w:val="fr-FR" w:eastAsia="ja-JP"/>
        </w:rPr>
        <w:t>o</w:t>
      </w:r>
      <w:r w:rsidR="000535C1" w:rsidRPr="00DB7876">
        <w:rPr>
          <w:lang w:val="fr-FR" w:eastAsia="ja-JP"/>
        </w:rPr>
        <w:t>u</w:t>
      </w:r>
      <w:r w:rsidR="003E06A3">
        <w:rPr>
          <w:lang w:val="fr-FR" w:eastAsia="ja-JP"/>
        </w:rPr>
        <w:t>rra</w:t>
      </w:r>
      <w:r w:rsidR="000535C1" w:rsidRPr="00DB7876">
        <w:rPr>
          <w:lang w:val="fr-FR" w:eastAsia="ja-JP"/>
        </w:rPr>
        <w:t xml:space="preserve"> </w:t>
      </w:r>
      <w:r w:rsidR="003E06A3">
        <w:rPr>
          <w:lang w:val="fr-FR" w:eastAsia="ja-JP"/>
        </w:rPr>
        <w:t xml:space="preserve">pas </w:t>
      </w:r>
      <w:r w:rsidR="000535C1" w:rsidRPr="00DB7876">
        <w:rPr>
          <w:lang w:val="fr-FR" w:eastAsia="ja-JP"/>
        </w:rPr>
        <w:t>examiner une demande présentée conformément à la règle </w:t>
      </w:r>
      <w:r w:rsidR="0081434F" w:rsidRPr="00DB7876">
        <w:rPr>
          <w:lang w:val="fr-FR" w:eastAsia="ja-JP"/>
        </w:rPr>
        <w:t>25</w:t>
      </w:r>
      <w:r w:rsidR="000535C1" w:rsidRPr="00DB7876">
        <w:rPr>
          <w:lang w:val="fr-FR" w:eastAsia="ja-JP"/>
        </w:rPr>
        <w:t>.</w:t>
      </w:r>
      <w:r w:rsidR="0081434F" w:rsidRPr="00DB7876">
        <w:rPr>
          <w:lang w:val="fr-FR" w:eastAsia="ja-JP"/>
        </w:rPr>
        <w:t>1)</w:t>
      </w:r>
      <w:r w:rsidR="000535C1" w:rsidRPr="00DB7876">
        <w:rPr>
          <w:lang w:val="fr-FR" w:eastAsia="ja-JP"/>
        </w:rPr>
        <w:t>a)</w:t>
      </w:r>
      <w:r w:rsidR="0081434F" w:rsidRPr="00DB7876">
        <w:rPr>
          <w:lang w:val="fr-FR" w:eastAsia="ja-JP"/>
        </w:rPr>
        <w:t xml:space="preserve">ii) </w:t>
      </w:r>
      <w:r w:rsidR="000535C1" w:rsidRPr="00DB7876">
        <w:rPr>
          <w:lang w:val="fr-FR" w:eastAsia="ja-JP"/>
        </w:rPr>
        <w:t>du règlement d</w:t>
      </w:r>
      <w:r w:rsidR="00852AB9" w:rsidRPr="00DB7876">
        <w:rPr>
          <w:lang w:val="fr-FR" w:eastAsia="ja-JP"/>
        </w:rPr>
        <w:t>’</w:t>
      </w:r>
      <w:r w:rsidR="000535C1" w:rsidRPr="00DB7876">
        <w:rPr>
          <w:lang w:val="fr-FR" w:eastAsia="ja-JP"/>
        </w:rPr>
        <w:t>exécution commun en vue de confirmer que les produits et services figurant sur la liste faisant l</w:t>
      </w:r>
      <w:r w:rsidR="00852AB9" w:rsidRPr="00DB7876">
        <w:rPr>
          <w:lang w:val="fr-FR" w:eastAsia="ja-JP"/>
        </w:rPr>
        <w:t>’</w:t>
      </w:r>
      <w:r w:rsidR="000535C1" w:rsidRPr="00DB7876">
        <w:rPr>
          <w:lang w:val="fr-FR" w:eastAsia="ja-JP"/>
        </w:rPr>
        <w:t>objet d</w:t>
      </w:r>
      <w:r w:rsidR="00852AB9" w:rsidRPr="00DB7876">
        <w:rPr>
          <w:lang w:val="fr-FR" w:eastAsia="ja-JP"/>
        </w:rPr>
        <w:t>’</w:t>
      </w:r>
      <w:r w:rsidR="000535C1" w:rsidRPr="00DB7876">
        <w:rPr>
          <w:lang w:val="fr-FR" w:eastAsia="ja-JP"/>
        </w:rPr>
        <w:t xml:space="preserve">une limitation sont correctement classés, </w:t>
      </w:r>
      <w:r w:rsidR="003E06A3">
        <w:rPr>
          <w:lang w:val="fr-FR" w:eastAsia="ja-JP"/>
        </w:rPr>
        <w:t>ou</w:t>
      </w:r>
      <w:r w:rsidR="000535C1" w:rsidRPr="00DB7876">
        <w:rPr>
          <w:lang w:val="fr-FR" w:eastAsia="ja-JP"/>
        </w:rPr>
        <w:t xml:space="preserve"> de déterminer si ladite liste faisant l</w:t>
      </w:r>
      <w:r w:rsidR="00852AB9" w:rsidRPr="00DB7876">
        <w:rPr>
          <w:lang w:val="fr-FR" w:eastAsia="ja-JP"/>
        </w:rPr>
        <w:t>’</w:t>
      </w:r>
      <w:r w:rsidR="000535C1" w:rsidRPr="00DB7876">
        <w:rPr>
          <w:lang w:val="fr-FR" w:eastAsia="ja-JP"/>
        </w:rPr>
        <w:t>objet d</w:t>
      </w:r>
      <w:r w:rsidR="00852AB9" w:rsidRPr="00DB7876">
        <w:rPr>
          <w:lang w:val="fr-FR" w:eastAsia="ja-JP"/>
        </w:rPr>
        <w:t>’</w:t>
      </w:r>
      <w:r w:rsidR="000535C1" w:rsidRPr="00DB7876">
        <w:rPr>
          <w:lang w:val="fr-FR" w:eastAsia="ja-JP"/>
        </w:rPr>
        <w:t xml:space="preserve">une limitation entre dans le champ de </w:t>
      </w:r>
      <w:r w:rsidR="006359EF" w:rsidRPr="00DB7876">
        <w:rPr>
          <w:lang w:val="fr-FR" w:eastAsia="ja-JP"/>
        </w:rPr>
        <w:t xml:space="preserve">protection </w:t>
      </w:r>
      <w:r w:rsidR="000535C1" w:rsidRPr="00DB7876">
        <w:rPr>
          <w:lang w:val="fr-FR" w:eastAsia="ja-JP"/>
        </w:rPr>
        <w:t xml:space="preserve">dans les parties contractantes désignées concernées par </w:t>
      </w:r>
      <w:r w:rsidR="0075782C" w:rsidRPr="00DB7876">
        <w:rPr>
          <w:lang w:val="fr-FR" w:eastAsia="ja-JP"/>
        </w:rPr>
        <w:t>l</w:t>
      </w:r>
      <w:r w:rsidR="00852AB9" w:rsidRPr="00DB7876">
        <w:rPr>
          <w:lang w:val="fr-FR" w:eastAsia="ja-JP"/>
        </w:rPr>
        <w:t>’</w:t>
      </w:r>
      <w:r w:rsidR="0075782C" w:rsidRPr="00DB7876">
        <w:rPr>
          <w:lang w:val="fr-FR" w:eastAsia="ja-JP"/>
        </w:rPr>
        <w:t>inscription</w:t>
      </w:r>
      <w:r w:rsidR="006359EF" w:rsidRPr="00DB7876">
        <w:rPr>
          <w:lang w:val="fr-FR" w:eastAsia="ja-JP"/>
        </w:rPr>
        <w:t>.</w:t>
      </w:r>
    </w:p>
    <w:p w:rsidR="00852AB9" w:rsidRPr="00DB7876" w:rsidRDefault="0081434F" w:rsidP="00611CBF">
      <w:pPr>
        <w:pStyle w:val="ONUMFS"/>
        <w:rPr>
          <w:lang w:val="fr-FR" w:eastAsia="ja-JP"/>
        </w:rPr>
      </w:pPr>
      <w:r w:rsidRPr="00DB7876">
        <w:rPr>
          <w:lang w:val="fr-FR" w:eastAsia="ja-JP"/>
        </w:rPr>
        <w:t>N</w:t>
      </w:r>
      <w:r w:rsidR="0075782C" w:rsidRPr="00DB7876">
        <w:rPr>
          <w:lang w:val="fr-FR" w:eastAsia="ja-JP"/>
        </w:rPr>
        <w:t>éanmoins, en vertu de la règle 2</w:t>
      </w:r>
      <w:r w:rsidR="00BF1C76" w:rsidRPr="00DB7876">
        <w:rPr>
          <w:lang w:val="fr-FR" w:eastAsia="ja-JP"/>
        </w:rPr>
        <w:t>7</w:t>
      </w:r>
      <w:r w:rsidR="0075782C" w:rsidRPr="00DB7876">
        <w:rPr>
          <w:lang w:val="fr-FR" w:eastAsia="ja-JP"/>
        </w:rPr>
        <w:t>.</w:t>
      </w:r>
      <w:r w:rsidR="00164A83">
        <w:rPr>
          <w:lang w:val="fr-FR" w:eastAsia="ja-JP"/>
        </w:rPr>
        <w:t>5</w:t>
      </w:r>
      <w:r w:rsidR="00BF1C76" w:rsidRPr="00DB7876">
        <w:rPr>
          <w:lang w:val="fr-FR" w:eastAsia="ja-JP"/>
        </w:rPr>
        <w:t>)</w:t>
      </w:r>
      <w:r w:rsidR="000207D6" w:rsidRPr="00DB7876">
        <w:rPr>
          <w:lang w:val="fr-FR" w:eastAsia="ja-JP"/>
        </w:rPr>
        <w:t xml:space="preserve"> </w:t>
      </w:r>
      <w:r w:rsidR="0075782C" w:rsidRPr="00DB7876">
        <w:rPr>
          <w:lang w:val="fr-FR" w:eastAsia="ja-JP"/>
        </w:rPr>
        <w:t>du règlement d</w:t>
      </w:r>
      <w:r w:rsidR="00852AB9" w:rsidRPr="00DB7876">
        <w:rPr>
          <w:lang w:val="fr-FR" w:eastAsia="ja-JP"/>
        </w:rPr>
        <w:t>’</w:t>
      </w:r>
      <w:r w:rsidR="0075782C" w:rsidRPr="00DB7876">
        <w:rPr>
          <w:lang w:val="fr-FR" w:eastAsia="ja-JP"/>
        </w:rPr>
        <w:t>exécution commun, les offices des parties contractantes désignées ayant reçu notification de l</w:t>
      </w:r>
      <w:r w:rsidR="00852AB9" w:rsidRPr="00DB7876">
        <w:rPr>
          <w:lang w:val="fr-FR" w:eastAsia="ja-JP"/>
        </w:rPr>
        <w:t>’</w:t>
      </w:r>
      <w:r w:rsidR="0075782C" w:rsidRPr="00DB7876">
        <w:rPr>
          <w:lang w:val="fr-FR" w:eastAsia="ja-JP"/>
        </w:rPr>
        <w:t>inscription d</w:t>
      </w:r>
      <w:r w:rsidR="00852AB9" w:rsidRPr="00DB7876">
        <w:rPr>
          <w:lang w:val="fr-FR" w:eastAsia="ja-JP"/>
        </w:rPr>
        <w:t>’</w:t>
      </w:r>
      <w:r w:rsidR="0075782C" w:rsidRPr="00DB7876">
        <w:rPr>
          <w:lang w:val="fr-FR" w:eastAsia="ja-JP"/>
        </w:rPr>
        <w:t xml:space="preserve">une </w:t>
      </w:r>
      <w:r w:rsidR="00BF1C76" w:rsidRPr="00DB7876">
        <w:rPr>
          <w:lang w:val="fr-FR" w:eastAsia="ja-JP"/>
        </w:rPr>
        <w:t xml:space="preserve">limitation </w:t>
      </w:r>
      <w:r w:rsidR="0075782C" w:rsidRPr="00DB7876">
        <w:rPr>
          <w:lang w:val="fr-FR" w:eastAsia="ja-JP"/>
        </w:rPr>
        <w:t>peuvent examiner la liste faisant l</w:t>
      </w:r>
      <w:r w:rsidR="00852AB9" w:rsidRPr="00DB7876">
        <w:rPr>
          <w:lang w:val="fr-FR" w:eastAsia="ja-JP"/>
        </w:rPr>
        <w:t>’</w:t>
      </w:r>
      <w:r w:rsidR="0075782C" w:rsidRPr="00DB7876">
        <w:rPr>
          <w:lang w:val="fr-FR" w:eastAsia="ja-JP"/>
        </w:rPr>
        <w:t>objet d</w:t>
      </w:r>
      <w:r w:rsidR="00852AB9" w:rsidRPr="00DB7876">
        <w:rPr>
          <w:lang w:val="fr-FR" w:eastAsia="ja-JP"/>
        </w:rPr>
        <w:t>’</w:t>
      </w:r>
      <w:r w:rsidR="0075782C" w:rsidRPr="00DB7876">
        <w:rPr>
          <w:lang w:val="fr-FR" w:eastAsia="ja-JP"/>
        </w:rPr>
        <w:t xml:space="preserve">une limitation et déclarer que cette limitation est sans effet lorsque, par exemple, </w:t>
      </w:r>
      <w:r w:rsidR="007E3A9B" w:rsidRPr="00DB7876">
        <w:rPr>
          <w:lang w:val="fr-FR" w:eastAsia="ja-JP"/>
        </w:rPr>
        <w:t>l</w:t>
      </w:r>
      <w:r w:rsidR="00852AB9" w:rsidRPr="00DB7876">
        <w:rPr>
          <w:lang w:val="fr-FR" w:eastAsia="ja-JP"/>
        </w:rPr>
        <w:t>’</w:t>
      </w:r>
      <w:r w:rsidR="007E3A9B" w:rsidRPr="00DB7876">
        <w:rPr>
          <w:lang w:val="fr-FR" w:eastAsia="ja-JP"/>
        </w:rPr>
        <w:t>o</w:t>
      </w:r>
      <w:r w:rsidR="006C1666" w:rsidRPr="00DB7876">
        <w:rPr>
          <w:lang w:val="fr-FR" w:eastAsia="ja-JP"/>
        </w:rPr>
        <w:t>ffice consid</w:t>
      </w:r>
      <w:r w:rsidR="007E3A9B" w:rsidRPr="00DB7876">
        <w:rPr>
          <w:lang w:val="fr-FR" w:eastAsia="ja-JP"/>
        </w:rPr>
        <w:t>ère que ladite liste n</w:t>
      </w:r>
      <w:r w:rsidR="00852AB9" w:rsidRPr="00DB7876">
        <w:rPr>
          <w:lang w:val="fr-FR" w:eastAsia="ja-JP"/>
        </w:rPr>
        <w:t>’</w:t>
      </w:r>
      <w:r w:rsidR="007E3A9B" w:rsidRPr="00DB7876">
        <w:rPr>
          <w:lang w:val="fr-FR" w:eastAsia="ja-JP"/>
        </w:rPr>
        <w:t>entre pas dans le champ de protection dans la partie contractante concernée</w:t>
      </w:r>
      <w:r w:rsidR="006C1666" w:rsidRPr="00DB7876">
        <w:rPr>
          <w:lang w:val="fr-FR" w:eastAsia="ja-JP"/>
        </w:rPr>
        <w:t>.</w:t>
      </w:r>
    </w:p>
    <w:p w:rsidR="00AB74E9" w:rsidRPr="00DB7876" w:rsidRDefault="003E05CF" w:rsidP="00611CBF">
      <w:pPr>
        <w:pStyle w:val="ONUME"/>
        <w:numPr>
          <w:ilvl w:val="0"/>
          <w:numId w:val="0"/>
        </w:numPr>
        <w:spacing w:after="0"/>
        <w:rPr>
          <w:i/>
          <w:u w:val="single"/>
          <w:lang w:val="fr-FR"/>
        </w:rPr>
      </w:pPr>
      <w:r w:rsidRPr="00DB7876">
        <w:rPr>
          <w:i/>
          <w:u w:val="single"/>
          <w:lang w:val="fr-FR" w:eastAsia="ja-JP"/>
        </w:rPr>
        <w:t>N</w:t>
      </w:r>
      <w:r w:rsidR="007E3A9B" w:rsidRPr="00DB7876">
        <w:rPr>
          <w:i/>
          <w:u w:val="single"/>
          <w:lang w:val="fr-FR" w:eastAsia="ja-JP"/>
        </w:rPr>
        <w:t xml:space="preserve">ouvelle inscription </w:t>
      </w:r>
      <w:r w:rsidR="00290808" w:rsidRPr="00DB7876">
        <w:rPr>
          <w:i/>
          <w:u w:val="single"/>
          <w:lang w:val="fr-FR" w:eastAsia="ja-JP"/>
        </w:rPr>
        <w:t>en vue d</w:t>
      </w:r>
      <w:r w:rsidR="003E06A3">
        <w:rPr>
          <w:i/>
          <w:u w:val="single"/>
          <w:lang w:val="fr-FR" w:eastAsia="ja-JP"/>
        </w:rPr>
        <w:t>’introduire</w:t>
      </w:r>
      <w:r w:rsidR="00290808" w:rsidRPr="00DB7876">
        <w:rPr>
          <w:i/>
          <w:u w:val="single"/>
          <w:lang w:val="fr-FR" w:eastAsia="ja-JP"/>
        </w:rPr>
        <w:t xml:space="preserve"> dans l</w:t>
      </w:r>
      <w:r w:rsidR="00852AB9" w:rsidRPr="00DB7876">
        <w:rPr>
          <w:i/>
          <w:u w:val="single"/>
          <w:lang w:val="fr-FR" w:eastAsia="ja-JP"/>
        </w:rPr>
        <w:t>’</w:t>
      </w:r>
      <w:r w:rsidR="00290808" w:rsidRPr="00DB7876">
        <w:rPr>
          <w:i/>
          <w:u w:val="single"/>
          <w:lang w:val="fr-FR" w:eastAsia="ja-JP"/>
        </w:rPr>
        <w:t xml:space="preserve">enregistrement international des indications </w:t>
      </w:r>
      <w:r w:rsidR="003E06A3">
        <w:rPr>
          <w:i/>
          <w:u w:val="single"/>
          <w:lang w:val="fr-FR" w:eastAsia="ja-JP"/>
        </w:rPr>
        <w:t>relatives à</w:t>
      </w:r>
      <w:r w:rsidR="00290808" w:rsidRPr="00DB7876">
        <w:rPr>
          <w:i/>
          <w:u w:val="single"/>
          <w:lang w:val="fr-FR" w:eastAsia="ja-JP"/>
        </w:rPr>
        <w:t xml:space="preserve"> la </w:t>
      </w:r>
      <w:r w:rsidR="003E06A3">
        <w:rPr>
          <w:i/>
          <w:u w:val="single"/>
          <w:lang w:val="fr-FR" w:eastAsia="ja-JP"/>
        </w:rPr>
        <w:t>forme</w:t>
      </w:r>
      <w:r w:rsidR="00290808" w:rsidRPr="00DB7876">
        <w:rPr>
          <w:i/>
          <w:u w:val="single"/>
          <w:lang w:val="fr-FR" w:eastAsia="ja-JP"/>
        </w:rPr>
        <w:t xml:space="preserve"> juridique du titulaire ou de modifier ces indications</w:t>
      </w:r>
      <w:r w:rsidRPr="00DB7876">
        <w:rPr>
          <w:i/>
          <w:u w:val="single"/>
          <w:lang w:val="fr-FR" w:eastAsia="ja-JP"/>
        </w:rPr>
        <w:t xml:space="preserve"> </w:t>
      </w:r>
      <w:r w:rsidR="000207D6" w:rsidRPr="00DB7876">
        <w:rPr>
          <w:i/>
          <w:u w:val="single"/>
          <w:lang w:val="fr-FR" w:eastAsia="ja-JP"/>
        </w:rPr>
        <w:t>(</w:t>
      </w:r>
      <w:r w:rsidR="00290808" w:rsidRPr="00DB7876">
        <w:rPr>
          <w:i/>
          <w:u w:val="single"/>
          <w:lang w:val="fr-FR" w:eastAsia="ja-JP"/>
        </w:rPr>
        <w:t>règles </w:t>
      </w:r>
      <w:r w:rsidR="000207D6" w:rsidRPr="00DB7876">
        <w:rPr>
          <w:i/>
          <w:u w:val="single"/>
          <w:lang w:val="fr-FR" w:eastAsia="ja-JP"/>
        </w:rPr>
        <w:t xml:space="preserve">25 </w:t>
      </w:r>
      <w:r w:rsidR="00290808" w:rsidRPr="00DB7876">
        <w:rPr>
          <w:i/>
          <w:u w:val="single"/>
          <w:lang w:val="fr-FR" w:eastAsia="ja-JP"/>
        </w:rPr>
        <w:t xml:space="preserve">à </w:t>
      </w:r>
      <w:r w:rsidR="000207D6" w:rsidRPr="00DB7876">
        <w:rPr>
          <w:i/>
          <w:u w:val="single"/>
          <w:lang w:val="fr-FR" w:eastAsia="ja-JP"/>
        </w:rPr>
        <w:t xml:space="preserve">27, 32 </w:t>
      </w:r>
      <w:r w:rsidR="00283D7A">
        <w:rPr>
          <w:i/>
          <w:u w:val="single"/>
          <w:lang w:val="fr-FR" w:eastAsia="ja-JP"/>
        </w:rPr>
        <w:t>et </w:t>
      </w:r>
      <w:r w:rsidR="00290808" w:rsidRPr="00DB7876">
        <w:rPr>
          <w:i/>
          <w:u w:val="single"/>
          <w:lang w:val="fr-FR" w:eastAsia="ja-JP"/>
        </w:rPr>
        <w:t>point </w:t>
      </w:r>
      <w:r w:rsidR="000207D6" w:rsidRPr="00DB7876">
        <w:rPr>
          <w:i/>
          <w:u w:val="single"/>
          <w:lang w:val="fr-FR" w:eastAsia="ja-JP"/>
        </w:rPr>
        <w:t xml:space="preserve">7.4 </w:t>
      </w:r>
      <w:r w:rsidR="00290808" w:rsidRPr="00DB7876">
        <w:rPr>
          <w:i/>
          <w:u w:val="single"/>
          <w:lang w:val="fr-FR" w:eastAsia="ja-JP"/>
        </w:rPr>
        <w:t xml:space="preserve">du barème des </w:t>
      </w:r>
      <w:r w:rsidR="00F30932" w:rsidRPr="00DB7876">
        <w:rPr>
          <w:i/>
          <w:u w:val="single"/>
          <w:lang w:val="fr-FR" w:eastAsia="ja-JP"/>
        </w:rPr>
        <w:t xml:space="preserve">émoluments et </w:t>
      </w:r>
      <w:r w:rsidR="00290808" w:rsidRPr="00DB7876">
        <w:rPr>
          <w:i/>
          <w:u w:val="single"/>
          <w:lang w:val="fr-FR" w:eastAsia="ja-JP"/>
        </w:rPr>
        <w:t>taxes</w:t>
      </w:r>
      <w:r w:rsidR="000207D6" w:rsidRPr="00DB7876">
        <w:rPr>
          <w:i/>
          <w:u w:val="single"/>
          <w:lang w:val="fr-FR" w:eastAsia="ja-JP"/>
        </w:rPr>
        <w:t>)</w:t>
      </w:r>
    </w:p>
    <w:p w:rsidR="00F11008" w:rsidRPr="00DB7876" w:rsidRDefault="00F11008" w:rsidP="00611CBF">
      <w:pPr>
        <w:pStyle w:val="ONUME"/>
        <w:numPr>
          <w:ilvl w:val="0"/>
          <w:numId w:val="0"/>
        </w:numPr>
        <w:spacing w:after="0"/>
        <w:rPr>
          <w:lang w:val="fr-FR"/>
        </w:rPr>
      </w:pPr>
    </w:p>
    <w:p w:rsidR="00852AB9" w:rsidRPr="00DB7876" w:rsidRDefault="00C927FD" w:rsidP="00611CBF">
      <w:pPr>
        <w:pStyle w:val="ONUMFS"/>
        <w:rPr>
          <w:lang w:val="fr-FR"/>
        </w:rPr>
      </w:pPr>
      <w:r w:rsidRPr="00DB7876">
        <w:rPr>
          <w:lang w:val="fr-FR"/>
        </w:rPr>
        <w:t>En vertu de la règle</w:t>
      </w:r>
      <w:r w:rsidR="00183E9E" w:rsidRPr="00DB7876">
        <w:rPr>
          <w:lang w:val="fr-FR"/>
        </w:rPr>
        <w:t> </w:t>
      </w:r>
      <w:r w:rsidR="005233C3" w:rsidRPr="00DB7876">
        <w:rPr>
          <w:lang w:val="fr-FR"/>
        </w:rPr>
        <w:t>9</w:t>
      </w:r>
      <w:r w:rsidR="00904907" w:rsidRPr="00DB7876">
        <w:rPr>
          <w:lang w:val="fr-FR"/>
        </w:rPr>
        <w:t>.</w:t>
      </w:r>
      <w:r w:rsidR="005233C3" w:rsidRPr="00DB7876">
        <w:rPr>
          <w:lang w:val="fr-FR"/>
        </w:rPr>
        <w:t>4)b</w:t>
      </w:r>
      <w:proofErr w:type="gramStart"/>
      <w:r w:rsidR="005233C3" w:rsidRPr="00DB7876">
        <w:rPr>
          <w:lang w:val="fr-FR"/>
        </w:rPr>
        <w:t>)ii</w:t>
      </w:r>
      <w:proofErr w:type="gramEnd"/>
      <w:r w:rsidR="005233C3" w:rsidRPr="00DB7876">
        <w:rPr>
          <w:lang w:val="fr-FR"/>
        </w:rPr>
        <w:t>)</w:t>
      </w:r>
      <w:r w:rsidR="000B7069" w:rsidRPr="00DB7876">
        <w:rPr>
          <w:lang w:val="fr-FR"/>
        </w:rPr>
        <w:t xml:space="preserve"> </w:t>
      </w:r>
      <w:r w:rsidR="00904907" w:rsidRPr="00DB7876">
        <w:rPr>
          <w:lang w:val="fr-FR"/>
        </w:rPr>
        <w:t>du règlement d</w:t>
      </w:r>
      <w:r w:rsidR="00852AB9" w:rsidRPr="00DB7876">
        <w:rPr>
          <w:lang w:val="fr-FR"/>
        </w:rPr>
        <w:t>’</w:t>
      </w:r>
      <w:r w:rsidR="00904907" w:rsidRPr="00DB7876">
        <w:rPr>
          <w:lang w:val="fr-FR"/>
        </w:rPr>
        <w:t>exécution commun, lorsque le déposant est une personne morale, elle peut inclure dans la demande internationale des indications relatives à la forme juridique de cette personne morale ainsi qu</w:t>
      </w:r>
      <w:r w:rsidR="00852AB9" w:rsidRPr="00DB7876">
        <w:rPr>
          <w:lang w:val="fr-FR"/>
        </w:rPr>
        <w:t>’</w:t>
      </w:r>
      <w:r w:rsidR="00904907" w:rsidRPr="00DB7876">
        <w:rPr>
          <w:lang w:val="fr-FR"/>
        </w:rPr>
        <w:t>à l</w:t>
      </w:r>
      <w:r w:rsidR="00852AB9" w:rsidRPr="00DB7876">
        <w:rPr>
          <w:lang w:val="fr-FR"/>
        </w:rPr>
        <w:t>’</w:t>
      </w:r>
      <w:r w:rsidR="00904907" w:rsidRPr="00DB7876">
        <w:rPr>
          <w:lang w:val="fr-FR"/>
        </w:rPr>
        <w:t>État, et, le cas échéant, à l</w:t>
      </w:r>
      <w:r w:rsidR="00852AB9" w:rsidRPr="00DB7876">
        <w:rPr>
          <w:lang w:val="fr-FR"/>
        </w:rPr>
        <w:t>’</w:t>
      </w:r>
      <w:r w:rsidR="00904907" w:rsidRPr="00DB7876">
        <w:rPr>
          <w:lang w:val="fr-FR"/>
        </w:rPr>
        <w:t>entité territoriale à l</w:t>
      </w:r>
      <w:r w:rsidR="00852AB9" w:rsidRPr="00DB7876">
        <w:rPr>
          <w:lang w:val="fr-FR"/>
        </w:rPr>
        <w:t>’</w:t>
      </w:r>
      <w:r w:rsidR="00904907" w:rsidRPr="00DB7876">
        <w:rPr>
          <w:lang w:val="fr-FR"/>
        </w:rPr>
        <w:t>intérieur de cet État, selon la législation duquel ou desquels ladite personne morale a été constitu</w:t>
      </w:r>
      <w:r w:rsidR="00DB7876" w:rsidRPr="00DB7876">
        <w:rPr>
          <w:lang w:val="fr-FR"/>
        </w:rPr>
        <w:t>ée.  En</w:t>
      </w:r>
      <w:r w:rsidR="00904907" w:rsidRPr="00DB7876">
        <w:rPr>
          <w:lang w:val="fr-FR"/>
        </w:rPr>
        <w:t xml:space="preserve"> outre, en vertu de la règle </w:t>
      </w:r>
      <w:r w:rsidR="005233C3" w:rsidRPr="00DB7876">
        <w:rPr>
          <w:lang w:val="fr-FR"/>
        </w:rPr>
        <w:t>24</w:t>
      </w:r>
      <w:r w:rsidR="00904907" w:rsidRPr="00DB7876">
        <w:rPr>
          <w:lang w:val="fr-FR"/>
        </w:rPr>
        <w:t>.</w:t>
      </w:r>
      <w:r w:rsidR="005233C3" w:rsidRPr="00DB7876">
        <w:rPr>
          <w:lang w:val="fr-FR"/>
        </w:rPr>
        <w:t>3)c)i)</w:t>
      </w:r>
      <w:r w:rsidR="00B955CC" w:rsidRPr="00DB7876">
        <w:rPr>
          <w:lang w:val="fr-FR"/>
        </w:rPr>
        <w:t xml:space="preserve"> </w:t>
      </w:r>
      <w:r w:rsidR="00904907" w:rsidRPr="00DB7876">
        <w:rPr>
          <w:lang w:val="fr-FR"/>
        </w:rPr>
        <w:t>du règlement d</w:t>
      </w:r>
      <w:r w:rsidR="00852AB9" w:rsidRPr="00DB7876">
        <w:rPr>
          <w:lang w:val="fr-FR"/>
        </w:rPr>
        <w:t>’</w:t>
      </w:r>
      <w:r w:rsidR="00904907" w:rsidRPr="00DB7876">
        <w:rPr>
          <w:lang w:val="fr-FR"/>
        </w:rPr>
        <w:t>exécution commun</w:t>
      </w:r>
      <w:r w:rsidR="005233C3" w:rsidRPr="00DB7876">
        <w:rPr>
          <w:lang w:val="fr-FR"/>
        </w:rPr>
        <w:t xml:space="preserve">, </w:t>
      </w:r>
      <w:r w:rsidR="00904907" w:rsidRPr="00DB7876">
        <w:rPr>
          <w:lang w:val="fr-FR"/>
        </w:rPr>
        <w:t>le titulaire peut également faire figurer ces indications dans une désignation postérieure</w:t>
      </w:r>
      <w:r w:rsidR="005233C3" w:rsidRPr="00DB7876">
        <w:rPr>
          <w:lang w:val="fr-FR"/>
        </w:rPr>
        <w:t>.</w:t>
      </w:r>
    </w:p>
    <w:p w:rsidR="00852AB9" w:rsidRPr="00DB7876" w:rsidRDefault="00904907" w:rsidP="00611CBF">
      <w:pPr>
        <w:pStyle w:val="ONUMFS"/>
        <w:rPr>
          <w:lang w:val="fr-FR"/>
        </w:rPr>
      </w:pPr>
      <w:r w:rsidRPr="00DB7876">
        <w:rPr>
          <w:lang w:val="fr-FR"/>
        </w:rPr>
        <w:t>La modification de l</w:t>
      </w:r>
      <w:r w:rsidR="00852AB9" w:rsidRPr="00DB7876">
        <w:rPr>
          <w:lang w:val="fr-FR"/>
        </w:rPr>
        <w:t>’</w:t>
      </w:r>
      <w:r w:rsidRPr="00DB7876">
        <w:rPr>
          <w:lang w:val="fr-FR"/>
        </w:rPr>
        <w:t>alinéa </w:t>
      </w:r>
      <w:r w:rsidR="005233C3" w:rsidRPr="00DB7876">
        <w:rPr>
          <w:lang w:val="fr-FR"/>
        </w:rPr>
        <w:t xml:space="preserve">1)a)iv) </w:t>
      </w:r>
      <w:r w:rsidRPr="00DB7876">
        <w:rPr>
          <w:lang w:val="fr-FR"/>
        </w:rPr>
        <w:t>de la règle 25</w:t>
      </w:r>
      <w:r w:rsidR="00DC209D" w:rsidRPr="00DB7876">
        <w:rPr>
          <w:lang w:val="fr-FR"/>
        </w:rPr>
        <w:t xml:space="preserve"> du règlement d</w:t>
      </w:r>
      <w:r w:rsidR="00852AB9" w:rsidRPr="00DB7876">
        <w:rPr>
          <w:lang w:val="fr-FR"/>
        </w:rPr>
        <w:t>’</w:t>
      </w:r>
      <w:r w:rsidR="00DC209D" w:rsidRPr="00DB7876">
        <w:rPr>
          <w:lang w:val="fr-FR"/>
        </w:rPr>
        <w:t>exécution commun</w:t>
      </w:r>
      <w:r w:rsidRPr="00DB7876">
        <w:rPr>
          <w:lang w:val="fr-FR"/>
        </w:rPr>
        <w:t xml:space="preserve">, ainsi que </w:t>
      </w:r>
      <w:r w:rsidR="00DC209D" w:rsidRPr="00DB7876">
        <w:rPr>
          <w:lang w:val="fr-FR"/>
        </w:rPr>
        <w:t>celle des règles 27 et 32 qui en découle permettra aux titulaires de demander l</w:t>
      </w:r>
      <w:r w:rsidR="00852AB9" w:rsidRPr="00DB7876">
        <w:rPr>
          <w:lang w:val="fr-FR"/>
        </w:rPr>
        <w:t>’</w:t>
      </w:r>
      <w:r w:rsidR="00DC209D" w:rsidRPr="00DB7876">
        <w:rPr>
          <w:lang w:val="fr-FR"/>
        </w:rPr>
        <w:t>inscription d</w:t>
      </w:r>
      <w:r w:rsidR="00852AB9" w:rsidRPr="00DB7876">
        <w:rPr>
          <w:lang w:val="fr-FR"/>
        </w:rPr>
        <w:t>’</w:t>
      </w:r>
      <w:r w:rsidR="00DC209D" w:rsidRPr="00DB7876">
        <w:rPr>
          <w:lang w:val="fr-FR"/>
        </w:rPr>
        <w:t xml:space="preserve">indications quant à leur </w:t>
      </w:r>
      <w:r w:rsidR="003E06A3">
        <w:rPr>
          <w:lang w:val="fr-FR"/>
        </w:rPr>
        <w:t>form</w:t>
      </w:r>
      <w:r w:rsidR="00DC209D" w:rsidRPr="00DB7876">
        <w:rPr>
          <w:lang w:val="fr-FR"/>
        </w:rPr>
        <w:t>e juridique ou de modifier ces indications après leur inscription</w:t>
      </w:r>
      <w:r w:rsidR="00BA17E2" w:rsidRPr="00DB7876">
        <w:rPr>
          <w:lang w:val="fr-FR"/>
        </w:rPr>
        <w:t>.</w:t>
      </w:r>
    </w:p>
    <w:p w:rsidR="00852AB9" w:rsidRPr="00DB7876" w:rsidRDefault="00E8738A" w:rsidP="00611CBF">
      <w:pPr>
        <w:pStyle w:val="ONUMFS"/>
        <w:rPr>
          <w:lang w:val="fr-FR"/>
        </w:rPr>
      </w:pPr>
      <w:r w:rsidRPr="00DB7876">
        <w:rPr>
          <w:lang w:val="fr-FR"/>
        </w:rPr>
        <w:t xml:space="preserve">Les titulaires seront en mesure de présenter sur un seul formulaire officiel </w:t>
      </w:r>
      <w:r w:rsidR="000207D6" w:rsidRPr="00DB7876">
        <w:rPr>
          <w:lang w:val="fr-FR"/>
        </w:rPr>
        <w:t xml:space="preserve">(MM9) </w:t>
      </w:r>
      <w:r w:rsidRPr="00DB7876">
        <w:rPr>
          <w:lang w:val="fr-FR"/>
        </w:rPr>
        <w:t>une demande d</w:t>
      </w:r>
      <w:r w:rsidR="00852AB9" w:rsidRPr="00DB7876">
        <w:rPr>
          <w:lang w:val="fr-FR"/>
        </w:rPr>
        <w:t>’</w:t>
      </w:r>
      <w:r w:rsidRPr="00DB7876">
        <w:rPr>
          <w:lang w:val="fr-FR"/>
        </w:rPr>
        <w:t>inscription d</w:t>
      </w:r>
      <w:r w:rsidR="00852AB9" w:rsidRPr="00DB7876">
        <w:rPr>
          <w:lang w:val="fr-FR"/>
        </w:rPr>
        <w:t>’</w:t>
      </w:r>
      <w:r w:rsidRPr="00DB7876">
        <w:rPr>
          <w:lang w:val="fr-FR"/>
        </w:rPr>
        <w:t>un changement de nom ou d</w:t>
      </w:r>
      <w:r w:rsidR="00852AB9" w:rsidRPr="00DB7876">
        <w:rPr>
          <w:lang w:val="fr-FR"/>
        </w:rPr>
        <w:t>’</w:t>
      </w:r>
      <w:r w:rsidRPr="00DB7876">
        <w:rPr>
          <w:lang w:val="fr-FR"/>
        </w:rPr>
        <w:t>adresse</w:t>
      </w:r>
      <w:r w:rsidR="00EE65D4" w:rsidRPr="00DB7876">
        <w:rPr>
          <w:lang w:val="fr-FR"/>
        </w:rPr>
        <w:t xml:space="preserve">, </w:t>
      </w:r>
      <w:r w:rsidRPr="00DB7876">
        <w:rPr>
          <w:lang w:val="fr-FR"/>
        </w:rPr>
        <w:t>ou d</w:t>
      </w:r>
      <w:r w:rsidR="00852AB9" w:rsidRPr="00DB7876">
        <w:rPr>
          <w:lang w:val="fr-FR"/>
        </w:rPr>
        <w:t>’</w:t>
      </w:r>
      <w:r w:rsidRPr="00DB7876">
        <w:rPr>
          <w:lang w:val="fr-FR"/>
        </w:rPr>
        <w:t>inscription ou de modification d</w:t>
      </w:r>
      <w:r w:rsidR="00852AB9" w:rsidRPr="00DB7876">
        <w:rPr>
          <w:lang w:val="fr-FR"/>
        </w:rPr>
        <w:t>’</w:t>
      </w:r>
      <w:r w:rsidRPr="00DB7876">
        <w:rPr>
          <w:lang w:val="fr-FR"/>
        </w:rPr>
        <w:t xml:space="preserve">indications quant à leur </w:t>
      </w:r>
      <w:r w:rsidR="003E06A3">
        <w:rPr>
          <w:lang w:val="fr-FR"/>
        </w:rPr>
        <w:t>form</w:t>
      </w:r>
      <w:r w:rsidRPr="00DB7876">
        <w:rPr>
          <w:lang w:val="fr-FR"/>
        </w:rPr>
        <w:t xml:space="preserve">e juridique </w:t>
      </w:r>
      <w:r w:rsidR="00F30932" w:rsidRPr="00DB7876">
        <w:rPr>
          <w:lang w:val="fr-FR"/>
        </w:rPr>
        <w:t>ou toute combinaison de ces éléments</w:t>
      </w:r>
      <w:r w:rsidR="00EE65D4" w:rsidRPr="00DB7876">
        <w:rPr>
          <w:lang w:val="fr-FR"/>
        </w:rPr>
        <w:t>.</w:t>
      </w:r>
    </w:p>
    <w:p w:rsidR="00852AB9" w:rsidRPr="00DB7876" w:rsidRDefault="00F30932" w:rsidP="00611CBF">
      <w:pPr>
        <w:pStyle w:val="ONUMFS"/>
        <w:rPr>
          <w:lang w:val="fr-FR"/>
        </w:rPr>
      </w:pPr>
      <w:r w:rsidRPr="00DB7876">
        <w:rPr>
          <w:lang w:val="fr-FR"/>
        </w:rPr>
        <w:t>La modification du point </w:t>
      </w:r>
      <w:r w:rsidR="00C20E53" w:rsidRPr="00DB7876">
        <w:rPr>
          <w:lang w:val="fr-FR"/>
        </w:rPr>
        <w:t xml:space="preserve">7.4 </w:t>
      </w:r>
      <w:r w:rsidRPr="00DB7876">
        <w:rPr>
          <w:lang w:val="fr-FR"/>
        </w:rPr>
        <w:t>du barème des émoluments et taxes permet de préciser que le montant dû pour une demande présentée au titre de la règle </w:t>
      </w:r>
      <w:r w:rsidR="00C20E53" w:rsidRPr="00DB7876">
        <w:rPr>
          <w:lang w:val="fr-FR"/>
        </w:rPr>
        <w:t>25</w:t>
      </w:r>
      <w:r w:rsidRPr="00DB7876">
        <w:rPr>
          <w:lang w:val="fr-FR"/>
        </w:rPr>
        <w:t>.</w:t>
      </w:r>
      <w:r w:rsidR="00C20E53" w:rsidRPr="00DB7876">
        <w:rPr>
          <w:lang w:val="fr-FR"/>
        </w:rPr>
        <w:t xml:space="preserve">1)a)iv) </w:t>
      </w:r>
      <w:r w:rsidRPr="00DB7876">
        <w:rPr>
          <w:lang w:val="fr-FR"/>
        </w:rPr>
        <w:t>du règlement d</w:t>
      </w:r>
      <w:r w:rsidR="00852AB9" w:rsidRPr="00DB7876">
        <w:rPr>
          <w:lang w:val="fr-FR"/>
        </w:rPr>
        <w:t>’</w:t>
      </w:r>
      <w:r w:rsidRPr="00DB7876">
        <w:rPr>
          <w:lang w:val="fr-FR"/>
        </w:rPr>
        <w:t xml:space="preserve">exécution commun reste de </w:t>
      </w:r>
      <w:r w:rsidR="00C20E53" w:rsidRPr="00DB7876">
        <w:rPr>
          <w:lang w:val="fr-FR"/>
        </w:rPr>
        <w:t>150</w:t>
      </w:r>
      <w:r w:rsidR="00183E9E" w:rsidRPr="00DB7876">
        <w:rPr>
          <w:lang w:val="fr-FR"/>
        </w:rPr>
        <w:t> </w:t>
      </w:r>
      <w:r w:rsidR="00C20E53" w:rsidRPr="00DB7876">
        <w:rPr>
          <w:lang w:val="fr-FR"/>
        </w:rPr>
        <w:t>francs</w:t>
      </w:r>
      <w:r w:rsidRPr="00DB7876">
        <w:rPr>
          <w:lang w:val="fr-FR"/>
        </w:rPr>
        <w:t> suisses</w:t>
      </w:r>
      <w:r w:rsidR="00C20E53" w:rsidRPr="00DB7876">
        <w:rPr>
          <w:lang w:val="fr-FR"/>
        </w:rPr>
        <w:t xml:space="preserve">, </w:t>
      </w:r>
      <w:r w:rsidRPr="00DB7876">
        <w:rPr>
          <w:lang w:val="fr-FR"/>
        </w:rPr>
        <w:t>pour autant que la même inscription ou le même changement soit demandé sur le même formulaire</w:t>
      </w:r>
      <w:r w:rsidR="00C20E53" w:rsidRPr="00DB7876">
        <w:rPr>
          <w:lang w:val="fr-FR"/>
        </w:rPr>
        <w:t>.</w:t>
      </w:r>
    </w:p>
    <w:p w:rsidR="00852AB9" w:rsidRPr="00DB7876" w:rsidRDefault="00F30932" w:rsidP="00611CBF">
      <w:pPr>
        <w:pStyle w:val="ONUMFS"/>
        <w:rPr>
          <w:lang w:val="fr-FR"/>
        </w:rPr>
      </w:pPr>
      <w:r w:rsidRPr="00DB7876">
        <w:rPr>
          <w:lang w:val="fr-FR"/>
        </w:rPr>
        <w:t>Le texte modifié du règlement d</w:t>
      </w:r>
      <w:r w:rsidR="00852AB9" w:rsidRPr="00DB7876">
        <w:rPr>
          <w:lang w:val="fr-FR"/>
        </w:rPr>
        <w:t>’</w:t>
      </w:r>
      <w:r w:rsidRPr="00DB7876">
        <w:rPr>
          <w:lang w:val="fr-FR"/>
        </w:rPr>
        <w:t>exécution commun et du formulaire </w:t>
      </w:r>
      <w:r w:rsidR="00CC3109" w:rsidRPr="00DB7876">
        <w:rPr>
          <w:lang w:val="fr-FR"/>
        </w:rPr>
        <w:t xml:space="preserve">MM9 </w:t>
      </w:r>
      <w:r w:rsidR="00603C76" w:rsidRPr="00DB7876">
        <w:rPr>
          <w:lang w:val="fr-FR"/>
        </w:rPr>
        <w:t>fait l</w:t>
      </w:r>
      <w:r w:rsidR="00852AB9" w:rsidRPr="00DB7876">
        <w:rPr>
          <w:lang w:val="fr-FR"/>
        </w:rPr>
        <w:t>’</w:t>
      </w:r>
      <w:r w:rsidR="00603C76" w:rsidRPr="00DB7876">
        <w:rPr>
          <w:lang w:val="fr-FR"/>
        </w:rPr>
        <w:t>objet des a</w:t>
      </w:r>
      <w:r w:rsidR="00CC3109" w:rsidRPr="00DB7876">
        <w:rPr>
          <w:lang w:val="fr-FR"/>
        </w:rPr>
        <w:t xml:space="preserve">nnexes I </w:t>
      </w:r>
      <w:r w:rsidR="00603C76" w:rsidRPr="00DB7876">
        <w:rPr>
          <w:lang w:val="fr-FR"/>
        </w:rPr>
        <w:t xml:space="preserve">et </w:t>
      </w:r>
      <w:r w:rsidR="00CC3109" w:rsidRPr="00DB7876">
        <w:rPr>
          <w:lang w:val="fr-FR"/>
        </w:rPr>
        <w:t>II</w:t>
      </w:r>
      <w:r w:rsidR="00603C76" w:rsidRPr="00DB7876">
        <w:rPr>
          <w:lang w:val="fr-FR"/>
        </w:rPr>
        <w:t>, respectivement</w:t>
      </w:r>
      <w:r w:rsidR="00CC3109" w:rsidRPr="00DB7876">
        <w:rPr>
          <w:lang w:val="fr-FR"/>
        </w:rPr>
        <w:t>.</w:t>
      </w:r>
    </w:p>
    <w:p w:rsidR="00183E9E" w:rsidRPr="00DB7876" w:rsidRDefault="00183E9E" w:rsidP="00611CBF">
      <w:pPr>
        <w:pStyle w:val="ONUME"/>
        <w:numPr>
          <w:ilvl w:val="0"/>
          <w:numId w:val="0"/>
        </w:numPr>
        <w:rPr>
          <w:lang w:val="fr-FR"/>
        </w:rPr>
      </w:pPr>
    </w:p>
    <w:p w:rsidR="00E600D3" w:rsidRPr="00DB7876" w:rsidRDefault="00603C76" w:rsidP="00611CBF">
      <w:pPr>
        <w:pStyle w:val="Endofdocument-Annex"/>
        <w:rPr>
          <w:lang w:val="fr-FR"/>
        </w:rPr>
      </w:pPr>
      <w:r w:rsidRPr="00DB7876">
        <w:rPr>
          <w:lang w:val="fr-FR" w:eastAsia="ja-JP"/>
        </w:rPr>
        <w:t xml:space="preserve">Le </w:t>
      </w:r>
      <w:r w:rsidR="00164A83">
        <w:rPr>
          <w:lang w:val="fr-FR" w:eastAsia="ja-JP"/>
        </w:rPr>
        <w:t>12</w:t>
      </w:r>
      <w:r w:rsidRPr="00DB7876">
        <w:rPr>
          <w:lang w:val="fr-FR" w:eastAsia="ja-JP"/>
        </w:rPr>
        <w:t> </w:t>
      </w:r>
      <w:r w:rsidR="00164A83">
        <w:rPr>
          <w:lang w:val="fr-FR" w:eastAsia="ja-JP"/>
        </w:rPr>
        <w:t>juin</w:t>
      </w:r>
      <w:r w:rsidRPr="00DB7876">
        <w:rPr>
          <w:lang w:val="fr-FR" w:eastAsia="ja-JP"/>
        </w:rPr>
        <w:t> </w:t>
      </w:r>
      <w:r w:rsidR="00751EEE" w:rsidRPr="00DB7876">
        <w:rPr>
          <w:lang w:val="fr-FR"/>
        </w:rPr>
        <w:t>2017</w:t>
      </w:r>
    </w:p>
    <w:p w:rsidR="00E600D3" w:rsidRPr="00DB7876" w:rsidRDefault="00E600D3" w:rsidP="00611CBF">
      <w:pPr>
        <w:pStyle w:val="Endofdocument-Annex"/>
        <w:rPr>
          <w:lang w:val="fr-FR"/>
        </w:rPr>
        <w:sectPr w:rsidR="00E600D3" w:rsidRPr="00DB7876" w:rsidSect="003C2450">
          <w:headerReference w:type="default" r:id="rId10"/>
          <w:endnotePr>
            <w:numFmt w:val="decimal"/>
          </w:endnotePr>
          <w:pgSz w:w="11907" w:h="16840" w:code="9"/>
          <w:pgMar w:top="567" w:right="1134" w:bottom="851" w:left="1418" w:header="510" w:footer="1021" w:gutter="0"/>
          <w:cols w:space="720"/>
          <w:titlePg/>
        </w:sectPr>
      </w:pPr>
    </w:p>
    <w:p w:rsidR="00E600D3" w:rsidRPr="00DB7876" w:rsidRDefault="00E600D3" w:rsidP="00E600D3">
      <w:pPr>
        <w:pStyle w:val="Heading1"/>
        <w:rPr>
          <w:lang w:val="fr-FR"/>
        </w:rPr>
      </w:pPr>
      <w:r w:rsidRPr="00DB7876">
        <w:rPr>
          <w:lang w:val="fr-FR"/>
        </w:rPr>
        <w:lastRenderedPageBreak/>
        <w:t>M</w:t>
      </w:r>
      <w:r w:rsidR="00603C76" w:rsidRPr="00DB7876">
        <w:rPr>
          <w:lang w:val="fr-FR"/>
        </w:rPr>
        <w:t xml:space="preserve">odifications </w:t>
      </w:r>
      <w:r w:rsidR="00D365EF" w:rsidRPr="00DB7876">
        <w:rPr>
          <w:lang w:val="fr-FR"/>
        </w:rPr>
        <w:t>apportées a</w:t>
      </w:r>
      <w:r w:rsidR="00603C76" w:rsidRPr="00DB7876">
        <w:rPr>
          <w:lang w:val="fr-FR"/>
        </w:rPr>
        <w:t>u règlement d</w:t>
      </w:r>
      <w:r w:rsidR="00852AB9" w:rsidRPr="00DB7876">
        <w:rPr>
          <w:lang w:val="fr-FR"/>
        </w:rPr>
        <w:t>’</w:t>
      </w:r>
      <w:r w:rsidR="00603C76" w:rsidRPr="00DB7876">
        <w:rPr>
          <w:lang w:val="fr-FR"/>
        </w:rPr>
        <w:t>exécution commun à l</w:t>
      </w:r>
      <w:r w:rsidR="00852AB9" w:rsidRPr="00DB7876">
        <w:rPr>
          <w:lang w:val="fr-FR"/>
        </w:rPr>
        <w:t>’</w:t>
      </w:r>
      <w:r w:rsidR="00603C76" w:rsidRPr="00DB7876">
        <w:rPr>
          <w:lang w:val="fr-FR"/>
        </w:rPr>
        <w:t xml:space="preserve">arrangement de </w:t>
      </w:r>
      <w:r w:rsidRPr="00DB7876">
        <w:rPr>
          <w:lang w:val="fr-FR"/>
        </w:rPr>
        <w:t xml:space="preserve">MADRID </w:t>
      </w:r>
      <w:r w:rsidR="00603C76" w:rsidRPr="00DB7876">
        <w:rPr>
          <w:lang w:val="fr-FR"/>
        </w:rPr>
        <w:t>concernant l</w:t>
      </w:r>
      <w:r w:rsidR="00852AB9" w:rsidRPr="00DB7876">
        <w:rPr>
          <w:lang w:val="fr-FR"/>
        </w:rPr>
        <w:t>’</w:t>
      </w:r>
      <w:r w:rsidR="00603C76" w:rsidRPr="00DB7876">
        <w:rPr>
          <w:lang w:val="fr-FR"/>
        </w:rPr>
        <w:t xml:space="preserve">enregistrement </w:t>
      </w:r>
      <w:r w:rsidRPr="00DB7876">
        <w:rPr>
          <w:lang w:val="fr-FR"/>
        </w:rPr>
        <w:t xml:space="preserve">INTERNATIONAL </w:t>
      </w:r>
      <w:r w:rsidR="00603C76" w:rsidRPr="00DB7876">
        <w:rPr>
          <w:lang w:val="fr-FR"/>
        </w:rPr>
        <w:t>des marques et</w:t>
      </w:r>
      <w:r w:rsidR="00852AB9" w:rsidRPr="00DB7876">
        <w:rPr>
          <w:lang w:val="fr-FR"/>
        </w:rPr>
        <w:t xml:space="preserve"> au PRO</w:t>
      </w:r>
      <w:r w:rsidRPr="00DB7876">
        <w:rPr>
          <w:lang w:val="fr-FR"/>
        </w:rPr>
        <w:t>TOCOL</w:t>
      </w:r>
      <w:r w:rsidR="00603C76" w:rsidRPr="00DB7876">
        <w:rPr>
          <w:lang w:val="fr-FR"/>
        </w:rPr>
        <w:t>e</w:t>
      </w:r>
      <w:r w:rsidRPr="00DB7876">
        <w:rPr>
          <w:lang w:val="fr-FR"/>
        </w:rPr>
        <w:t xml:space="preserve"> RELATI</w:t>
      </w:r>
      <w:r w:rsidR="00603C76" w:rsidRPr="00DB7876">
        <w:rPr>
          <w:lang w:val="fr-FR"/>
        </w:rPr>
        <w:t>f à cet arra</w:t>
      </w:r>
      <w:r w:rsidRPr="00DB7876">
        <w:rPr>
          <w:lang w:val="fr-FR"/>
        </w:rPr>
        <w:t>NG</w:t>
      </w:r>
      <w:r w:rsidR="00603C76" w:rsidRPr="00DB7876">
        <w:rPr>
          <w:lang w:val="fr-FR"/>
        </w:rPr>
        <w:t>ement</w:t>
      </w:r>
    </w:p>
    <w:p w:rsidR="00E600D3" w:rsidRPr="00DB7876" w:rsidRDefault="00E600D3" w:rsidP="00E600D3">
      <w:pPr>
        <w:rPr>
          <w:lang w:val="fr-FR"/>
        </w:rPr>
      </w:pPr>
    </w:p>
    <w:p w:rsidR="00E600D3" w:rsidRPr="00DB7876" w:rsidRDefault="00E600D3" w:rsidP="00E600D3">
      <w:pPr>
        <w:rPr>
          <w:lang w:val="fr-FR"/>
        </w:rPr>
      </w:pPr>
      <w:r w:rsidRPr="00DB7876">
        <w:rPr>
          <w:szCs w:val="24"/>
          <w:lang w:val="fr-FR"/>
        </w:rPr>
        <w:t>Adopt</w:t>
      </w:r>
      <w:r w:rsidR="00603C76" w:rsidRPr="00DB7876">
        <w:rPr>
          <w:szCs w:val="24"/>
          <w:lang w:val="fr-FR"/>
        </w:rPr>
        <w:t>ées le 11 octobre </w:t>
      </w:r>
      <w:r w:rsidRPr="00DB7876">
        <w:rPr>
          <w:szCs w:val="24"/>
          <w:lang w:val="fr-FR"/>
        </w:rPr>
        <w:t>2016</w:t>
      </w:r>
      <w:r w:rsidR="00603C76" w:rsidRPr="00DB7876">
        <w:rPr>
          <w:szCs w:val="24"/>
          <w:lang w:val="fr-FR"/>
        </w:rPr>
        <w:t xml:space="preserve"> par l</w:t>
      </w:r>
      <w:r w:rsidR="00852AB9" w:rsidRPr="00DB7876">
        <w:rPr>
          <w:szCs w:val="24"/>
          <w:lang w:val="fr-FR"/>
        </w:rPr>
        <w:t>’</w:t>
      </w:r>
      <w:r w:rsidR="00603C76" w:rsidRPr="00DB7876">
        <w:rPr>
          <w:szCs w:val="24"/>
          <w:lang w:val="fr-FR"/>
        </w:rPr>
        <w:t>Assemblée de l</w:t>
      </w:r>
      <w:r w:rsidR="00852AB9" w:rsidRPr="00DB7876">
        <w:rPr>
          <w:szCs w:val="24"/>
          <w:lang w:val="fr-FR"/>
        </w:rPr>
        <w:t>’</w:t>
      </w:r>
      <w:r w:rsidR="00603C76" w:rsidRPr="00DB7876">
        <w:rPr>
          <w:szCs w:val="24"/>
          <w:lang w:val="fr-FR"/>
        </w:rPr>
        <w:t>Union particulière pour l</w:t>
      </w:r>
      <w:r w:rsidR="00852AB9" w:rsidRPr="00DB7876">
        <w:rPr>
          <w:szCs w:val="24"/>
          <w:lang w:val="fr-FR"/>
        </w:rPr>
        <w:t>’</w:t>
      </w:r>
      <w:r w:rsidR="00603C76" w:rsidRPr="00DB7876">
        <w:rPr>
          <w:szCs w:val="24"/>
          <w:lang w:val="fr-FR"/>
        </w:rPr>
        <w:t xml:space="preserve">enregistrement international des marques </w:t>
      </w:r>
      <w:r w:rsidRPr="00DB7876">
        <w:rPr>
          <w:bCs/>
          <w:szCs w:val="24"/>
          <w:lang w:val="fr-FR"/>
        </w:rPr>
        <w:t>(Union</w:t>
      </w:r>
      <w:r w:rsidR="00603C76" w:rsidRPr="00DB7876">
        <w:rPr>
          <w:bCs/>
          <w:szCs w:val="24"/>
          <w:lang w:val="fr-FR"/>
        </w:rPr>
        <w:t xml:space="preserve"> de Madrid</w:t>
      </w:r>
      <w:r w:rsidRPr="00DB7876">
        <w:rPr>
          <w:bCs/>
          <w:szCs w:val="24"/>
          <w:lang w:val="fr-FR"/>
        </w:rPr>
        <w:t>)</w:t>
      </w:r>
      <w:r w:rsidRPr="00DB7876">
        <w:rPr>
          <w:szCs w:val="24"/>
          <w:lang w:val="fr-FR"/>
        </w:rPr>
        <w:t xml:space="preserve"> </w:t>
      </w:r>
      <w:r w:rsidR="00603C76" w:rsidRPr="00DB7876">
        <w:rPr>
          <w:szCs w:val="24"/>
          <w:lang w:val="fr-FR"/>
        </w:rPr>
        <w:t>à sa cinquant</w:t>
      </w:r>
      <w:r w:rsidR="00852AB9" w:rsidRPr="00DB7876">
        <w:rPr>
          <w:szCs w:val="24"/>
          <w:lang w:val="fr-FR"/>
        </w:rPr>
        <w:t>ième session</w:t>
      </w:r>
      <w:r w:rsidRPr="00DB7876">
        <w:rPr>
          <w:szCs w:val="24"/>
          <w:lang w:val="fr-FR"/>
        </w:rPr>
        <w:t xml:space="preserve"> (29</w:t>
      </w:r>
      <w:r w:rsidR="00603C76" w:rsidRPr="00DB7876">
        <w:rPr>
          <w:szCs w:val="24"/>
          <w:vertAlign w:val="superscript"/>
          <w:lang w:val="fr-FR"/>
        </w:rPr>
        <w:t>e</w:t>
      </w:r>
      <w:r w:rsidR="00283D7A">
        <w:rPr>
          <w:szCs w:val="24"/>
          <w:lang w:val="fr-FR"/>
        </w:rPr>
        <w:t> </w:t>
      </w:r>
      <w:r w:rsidR="00603C76" w:rsidRPr="00DB7876">
        <w:rPr>
          <w:szCs w:val="24"/>
          <w:lang w:val="fr-FR"/>
        </w:rPr>
        <w:t>session extraordinaire</w:t>
      </w:r>
      <w:r w:rsidRPr="00DB7876">
        <w:rPr>
          <w:szCs w:val="24"/>
          <w:lang w:val="fr-FR"/>
        </w:rPr>
        <w:t xml:space="preserve">) </w:t>
      </w:r>
      <w:r w:rsidR="00603C76" w:rsidRPr="00DB7876">
        <w:rPr>
          <w:szCs w:val="24"/>
          <w:lang w:val="fr-FR"/>
        </w:rPr>
        <w:t>tenue du 3 au 11 octobre </w:t>
      </w:r>
      <w:r w:rsidRPr="00DB7876">
        <w:rPr>
          <w:szCs w:val="24"/>
          <w:lang w:val="fr-FR"/>
        </w:rPr>
        <w:t xml:space="preserve">2016, </w:t>
      </w:r>
      <w:r w:rsidR="00603C76" w:rsidRPr="00DB7876">
        <w:rPr>
          <w:szCs w:val="24"/>
          <w:lang w:val="fr-FR"/>
        </w:rPr>
        <w:t>avec effet au</w:t>
      </w:r>
      <w:r w:rsidR="00852AB9" w:rsidRPr="00DB7876">
        <w:rPr>
          <w:szCs w:val="24"/>
          <w:lang w:val="fr-FR"/>
        </w:rPr>
        <w:t xml:space="preserve"> 1</w:t>
      </w:r>
      <w:r w:rsidR="00852AB9" w:rsidRPr="00DB7876">
        <w:rPr>
          <w:szCs w:val="24"/>
          <w:vertAlign w:val="superscript"/>
          <w:lang w:val="fr-FR"/>
        </w:rPr>
        <w:t>er</w:t>
      </w:r>
      <w:r w:rsidR="00852AB9" w:rsidRPr="00DB7876">
        <w:rPr>
          <w:szCs w:val="24"/>
          <w:lang w:val="fr-FR"/>
        </w:rPr>
        <w:t> </w:t>
      </w:r>
      <w:r w:rsidR="00603C76" w:rsidRPr="00DB7876">
        <w:rPr>
          <w:szCs w:val="24"/>
          <w:lang w:val="fr-FR"/>
        </w:rPr>
        <w:t>juillet </w:t>
      </w:r>
      <w:r w:rsidRPr="00DB7876">
        <w:rPr>
          <w:szCs w:val="24"/>
          <w:lang w:val="fr-FR"/>
        </w:rPr>
        <w:t>2017</w:t>
      </w:r>
    </w:p>
    <w:p w:rsidR="00E600D3" w:rsidRPr="00DB7876" w:rsidRDefault="00E600D3" w:rsidP="00E600D3">
      <w:pPr>
        <w:rPr>
          <w:lang w:val="fr-FR"/>
        </w:rPr>
      </w:pPr>
    </w:p>
    <w:p w:rsidR="00E600D3" w:rsidRPr="00DB7876" w:rsidRDefault="00E600D3" w:rsidP="00E600D3">
      <w:pPr>
        <w:rPr>
          <w:lang w:val="fr-FR"/>
        </w:rPr>
      </w:pPr>
    </w:p>
    <w:p w:rsidR="00E600D3" w:rsidRPr="00DB7876" w:rsidRDefault="00D91A5F" w:rsidP="00E600D3">
      <w:pPr>
        <w:jc w:val="center"/>
        <w:rPr>
          <w:lang w:val="fr-FR" w:eastAsia="en-US"/>
        </w:rPr>
      </w:pPr>
      <w:r w:rsidRPr="00DB7876">
        <w:rPr>
          <w:b/>
          <w:lang w:val="fr-FR" w:eastAsia="en-US"/>
        </w:rPr>
        <w:t>Règlement d</w:t>
      </w:r>
      <w:r w:rsidR="00852AB9" w:rsidRPr="00DB7876">
        <w:rPr>
          <w:b/>
          <w:lang w:val="fr-FR" w:eastAsia="en-US"/>
        </w:rPr>
        <w:t>’</w:t>
      </w:r>
      <w:r w:rsidRPr="00DB7876">
        <w:rPr>
          <w:b/>
          <w:lang w:val="fr-FR" w:eastAsia="en-US"/>
        </w:rPr>
        <w:t>exécution commu</w:t>
      </w:r>
      <w:r w:rsidR="00E600D3" w:rsidRPr="00DB7876">
        <w:rPr>
          <w:b/>
          <w:lang w:val="fr-FR" w:eastAsia="en-US"/>
        </w:rPr>
        <w:t xml:space="preserve">n </w:t>
      </w:r>
      <w:r w:rsidRPr="00DB7876">
        <w:rPr>
          <w:b/>
          <w:lang w:val="fr-FR" w:eastAsia="en-US"/>
        </w:rPr>
        <w:t xml:space="preserve">à </w:t>
      </w:r>
      <w:r w:rsidR="00E600D3" w:rsidRPr="00DB7876">
        <w:rPr>
          <w:b/>
          <w:lang w:val="fr-FR" w:eastAsia="en-US"/>
        </w:rPr>
        <w:br/>
      </w:r>
      <w:r w:rsidRPr="00DB7876">
        <w:rPr>
          <w:b/>
          <w:lang w:val="fr-FR" w:eastAsia="en-US"/>
        </w:rPr>
        <w:t>l</w:t>
      </w:r>
      <w:r w:rsidR="00852AB9" w:rsidRPr="00DB7876">
        <w:rPr>
          <w:b/>
          <w:lang w:val="fr-FR" w:eastAsia="en-US"/>
        </w:rPr>
        <w:t>’</w:t>
      </w:r>
      <w:r w:rsidRPr="00DB7876">
        <w:rPr>
          <w:b/>
          <w:lang w:val="fr-FR" w:eastAsia="en-US"/>
        </w:rPr>
        <w:t xml:space="preserve">Arrangement de </w:t>
      </w:r>
      <w:r w:rsidR="00E600D3" w:rsidRPr="00DB7876">
        <w:rPr>
          <w:b/>
          <w:lang w:val="fr-FR" w:eastAsia="en-US"/>
        </w:rPr>
        <w:t xml:space="preserve">Madrid </w:t>
      </w:r>
      <w:r w:rsidRPr="00DB7876">
        <w:rPr>
          <w:b/>
          <w:lang w:val="fr-FR" w:eastAsia="en-US"/>
        </w:rPr>
        <w:t>co</w:t>
      </w:r>
      <w:r w:rsidR="00E600D3" w:rsidRPr="00DB7876">
        <w:rPr>
          <w:b/>
          <w:lang w:val="fr-FR" w:eastAsia="en-US"/>
        </w:rPr>
        <w:t>ncern</w:t>
      </w:r>
      <w:r w:rsidRPr="00DB7876">
        <w:rPr>
          <w:b/>
          <w:lang w:val="fr-FR" w:eastAsia="en-US"/>
        </w:rPr>
        <w:t>ant</w:t>
      </w:r>
      <w:r w:rsidR="00E600D3" w:rsidRPr="00DB7876">
        <w:rPr>
          <w:b/>
          <w:lang w:val="fr-FR" w:eastAsia="en-US"/>
        </w:rPr>
        <w:br/>
      </w:r>
      <w:r w:rsidRPr="00DB7876">
        <w:rPr>
          <w:b/>
          <w:lang w:val="fr-FR" w:eastAsia="en-US"/>
        </w:rPr>
        <w:t>l</w:t>
      </w:r>
      <w:r w:rsidR="00852AB9" w:rsidRPr="00DB7876">
        <w:rPr>
          <w:b/>
          <w:lang w:val="fr-FR" w:eastAsia="en-US"/>
        </w:rPr>
        <w:t>’</w:t>
      </w:r>
      <w:r w:rsidRPr="00DB7876">
        <w:rPr>
          <w:b/>
          <w:lang w:val="fr-FR" w:eastAsia="en-US"/>
        </w:rPr>
        <w:t>enregistrement i</w:t>
      </w:r>
      <w:r w:rsidR="00E600D3" w:rsidRPr="00DB7876">
        <w:rPr>
          <w:b/>
          <w:lang w:val="fr-FR" w:eastAsia="en-US"/>
        </w:rPr>
        <w:t xml:space="preserve">nternational </w:t>
      </w:r>
      <w:r w:rsidRPr="00DB7876">
        <w:rPr>
          <w:b/>
          <w:lang w:val="fr-FR" w:eastAsia="en-US"/>
        </w:rPr>
        <w:t>des marques</w:t>
      </w:r>
      <w:r w:rsidR="00E600D3" w:rsidRPr="00DB7876">
        <w:rPr>
          <w:b/>
          <w:lang w:val="fr-FR" w:eastAsia="en-US"/>
        </w:rPr>
        <w:br/>
      </w:r>
      <w:r w:rsidRPr="00DB7876">
        <w:rPr>
          <w:b/>
          <w:lang w:val="fr-FR" w:eastAsia="en-US"/>
        </w:rPr>
        <w:t xml:space="preserve">et au </w:t>
      </w:r>
      <w:r w:rsidR="00E600D3" w:rsidRPr="00DB7876">
        <w:rPr>
          <w:b/>
          <w:lang w:val="fr-FR" w:eastAsia="en-US"/>
        </w:rPr>
        <w:t>Protocol</w:t>
      </w:r>
      <w:r w:rsidRPr="00DB7876">
        <w:rPr>
          <w:b/>
          <w:lang w:val="fr-FR" w:eastAsia="en-US"/>
        </w:rPr>
        <w:t>e relatif à cet Arrangement</w:t>
      </w:r>
      <w:r w:rsidR="00E600D3" w:rsidRPr="00DB7876">
        <w:rPr>
          <w:b/>
          <w:lang w:val="fr-FR" w:eastAsia="en-US"/>
        </w:rPr>
        <w:br/>
      </w:r>
    </w:p>
    <w:p w:rsidR="00E600D3" w:rsidRPr="00DB7876" w:rsidRDefault="00E600D3" w:rsidP="00E600D3">
      <w:pPr>
        <w:jc w:val="center"/>
        <w:rPr>
          <w:lang w:val="fr-FR" w:eastAsia="en-US"/>
        </w:rPr>
      </w:pPr>
      <w:r w:rsidRPr="00DB7876">
        <w:rPr>
          <w:lang w:val="fr-FR" w:eastAsia="en-US"/>
        </w:rPr>
        <w:t>(</w:t>
      </w:r>
      <w:proofErr w:type="gramStart"/>
      <w:r w:rsidR="00D91A5F" w:rsidRPr="00DB7876">
        <w:rPr>
          <w:lang w:val="fr-FR" w:eastAsia="en-US"/>
        </w:rPr>
        <w:t>texte</w:t>
      </w:r>
      <w:proofErr w:type="gramEnd"/>
      <w:r w:rsidR="00D91A5F" w:rsidRPr="00DB7876">
        <w:rPr>
          <w:lang w:val="fr-FR" w:eastAsia="en-US"/>
        </w:rPr>
        <w:t xml:space="preserve"> en vigueur le</w:t>
      </w:r>
      <w:r w:rsidR="00852AB9" w:rsidRPr="00DB7876">
        <w:rPr>
          <w:lang w:val="fr-FR" w:eastAsia="en-US"/>
        </w:rPr>
        <w:t xml:space="preserve"> 1</w:t>
      </w:r>
      <w:r w:rsidR="00852AB9" w:rsidRPr="00DB7876">
        <w:rPr>
          <w:vertAlign w:val="superscript"/>
          <w:lang w:val="fr-FR" w:eastAsia="en-US"/>
        </w:rPr>
        <w:t>er</w:t>
      </w:r>
      <w:r w:rsidR="00852AB9" w:rsidRPr="00DB7876">
        <w:rPr>
          <w:lang w:val="fr-FR" w:eastAsia="en-US"/>
        </w:rPr>
        <w:t> </w:t>
      </w:r>
      <w:r w:rsidR="00D91A5F" w:rsidRPr="00DB7876">
        <w:rPr>
          <w:lang w:val="fr-FR" w:eastAsia="en-US"/>
        </w:rPr>
        <w:t>juillet </w:t>
      </w:r>
      <w:r w:rsidRPr="00DB7876">
        <w:rPr>
          <w:lang w:val="fr-FR" w:eastAsia="en-US"/>
        </w:rPr>
        <w:t>2017)</w:t>
      </w:r>
    </w:p>
    <w:p w:rsidR="00E600D3" w:rsidRPr="00DB7876" w:rsidRDefault="00E600D3" w:rsidP="00E600D3">
      <w:pPr>
        <w:jc w:val="center"/>
        <w:rPr>
          <w:lang w:val="fr-FR" w:eastAsia="en-US"/>
        </w:rPr>
      </w:pPr>
    </w:p>
    <w:p w:rsidR="00E600D3" w:rsidRPr="00DB7876" w:rsidRDefault="00E600D3" w:rsidP="00E600D3">
      <w:pPr>
        <w:jc w:val="center"/>
        <w:rPr>
          <w:lang w:val="fr-FR" w:eastAsia="en-US"/>
        </w:rPr>
      </w:pPr>
      <w:r w:rsidRPr="00DB7876">
        <w:rPr>
          <w:lang w:val="fr-FR" w:eastAsia="en-US"/>
        </w:rPr>
        <w:t>[…]</w:t>
      </w:r>
    </w:p>
    <w:p w:rsidR="00E600D3" w:rsidRPr="00DB7876" w:rsidRDefault="00E600D3" w:rsidP="00E600D3">
      <w:pPr>
        <w:jc w:val="center"/>
        <w:rPr>
          <w:lang w:val="fr-FR" w:eastAsia="en-US"/>
        </w:rPr>
      </w:pPr>
    </w:p>
    <w:p w:rsidR="00E600D3" w:rsidRPr="00DB7876" w:rsidRDefault="00852AB9" w:rsidP="00E600D3">
      <w:pPr>
        <w:jc w:val="center"/>
        <w:rPr>
          <w:b/>
          <w:lang w:val="fr-FR" w:eastAsia="en-US"/>
        </w:rPr>
      </w:pPr>
      <w:r w:rsidRPr="00DB7876">
        <w:rPr>
          <w:b/>
          <w:lang w:val="fr-FR" w:eastAsia="en-US"/>
        </w:rPr>
        <w:t>Chapitre 2</w:t>
      </w:r>
    </w:p>
    <w:p w:rsidR="00E600D3" w:rsidRPr="00DB7876" w:rsidRDefault="00D91A5F" w:rsidP="00E600D3">
      <w:pPr>
        <w:jc w:val="center"/>
        <w:rPr>
          <w:b/>
          <w:lang w:val="fr-FR" w:eastAsia="en-US"/>
        </w:rPr>
      </w:pPr>
      <w:r w:rsidRPr="00DB7876">
        <w:rPr>
          <w:b/>
          <w:lang w:val="fr-FR" w:eastAsia="en-US"/>
        </w:rPr>
        <w:t>Demande i</w:t>
      </w:r>
      <w:r w:rsidR="00E600D3" w:rsidRPr="00DB7876">
        <w:rPr>
          <w:b/>
          <w:lang w:val="fr-FR" w:eastAsia="en-US"/>
        </w:rPr>
        <w:t>nternational</w:t>
      </w:r>
      <w:r w:rsidRPr="00DB7876">
        <w:rPr>
          <w:b/>
          <w:lang w:val="fr-FR" w:eastAsia="en-US"/>
        </w:rPr>
        <w:t>e</w:t>
      </w:r>
    </w:p>
    <w:p w:rsidR="00E600D3" w:rsidRPr="00DB7876" w:rsidRDefault="00E600D3" w:rsidP="00E600D3">
      <w:pPr>
        <w:jc w:val="center"/>
        <w:rPr>
          <w:lang w:val="fr-FR" w:eastAsia="en-US"/>
        </w:rPr>
      </w:pPr>
    </w:p>
    <w:p w:rsidR="00E600D3" w:rsidRPr="00DB7876" w:rsidRDefault="00E600D3" w:rsidP="00E600D3">
      <w:pPr>
        <w:jc w:val="center"/>
        <w:rPr>
          <w:lang w:val="fr-FR" w:eastAsia="en-US"/>
        </w:rPr>
      </w:pPr>
      <w:r w:rsidRPr="00DB7876">
        <w:rPr>
          <w:lang w:val="fr-FR" w:eastAsia="en-US"/>
        </w:rPr>
        <w:t>[…]</w:t>
      </w:r>
    </w:p>
    <w:p w:rsidR="00E600D3" w:rsidRPr="00DB7876" w:rsidRDefault="00E600D3" w:rsidP="00E600D3">
      <w:pPr>
        <w:jc w:val="center"/>
        <w:rPr>
          <w:b/>
          <w:lang w:val="fr-FR" w:eastAsia="en-US"/>
        </w:rPr>
      </w:pPr>
    </w:p>
    <w:p w:rsidR="00E600D3" w:rsidRPr="00DB7876" w:rsidRDefault="00852AB9" w:rsidP="00E600D3">
      <w:pPr>
        <w:jc w:val="center"/>
        <w:rPr>
          <w:i/>
          <w:lang w:val="fr-FR" w:eastAsia="en-US"/>
        </w:rPr>
      </w:pPr>
      <w:r w:rsidRPr="00DB7876">
        <w:rPr>
          <w:i/>
          <w:lang w:val="fr-FR" w:eastAsia="en-US"/>
        </w:rPr>
        <w:t>Règle 1</w:t>
      </w:r>
      <w:r w:rsidR="00E600D3" w:rsidRPr="00DB7876">
        <w:rPr>
          <w:i/>
          <w:lang w:val="fr-FR" w:eastAsia="en-US"/>
        </w:rPr>
        <w:t>2</w:t>
      </w:r>
    </w:p>
    <w:p w:rsidR="00852AB9" w:rsidRPr="00DB7876" w:rsidRDefault="00D91A5F" w:rsidP="00D91A5F">
      <w:pPr>
        <w:jc w:val="center"/>
        <w:rPr>
          <w:i/>
          <w:iCs/>
          <w:lang w:val="fr-FR" w:eastAsia="en-US"/>
        </w:rPr>
      </w:pPr>
      <w:r w:rsidRPr="00DB7876">
        <w:rPr>
          <w:i/>
          <w:iCs/>
          <w:lang w:val="fr-FR" w:eastAsia="en-US"/>
        </w:rPr>
        <w:t>Irrégularités concernant le classement</w:t>
      </w:r>
    </w:p>
    <w:p w:rsidR="00E600D3" w:rsidRPr="00DB7876" w:rsidRDefault="00D91A5F" w:rsidP="00D91A5F">
      <w:pPr>
        <w:jc w:val="center"/>
        <w:rPr>
          <w:i/>
          <w:lang w:val="fr-FR" w:eastAsia="en-US"/>
        </w:rPr>
      </w:pPr>
      <w:proofErr w:type="gramStart"/>
      <w:r w:rsidRPr="00DB7876">
        <w:rPr>
          <w:i/>
          <w:iCs/>
          <w:lang w:val="fr-FR" w:eastAsia="en-US"/>
        </w:rPr>
        <w:t>des</w:t>
      </w:r>
      <w:proofErr w:type="gramEnd"/>
      <w:r w:rsidRPr="00DB7876">
        <w:rPr>
          <w:i/>
          <w:iCs/>
          <w:lang w:val="fr-FR" w:eastAsia="en-US"/>
        </w:rPr>
        <w:t xml:space="preserve"> produits et des services</w:t>
      </w:r>
    </w:p>
    <w:p w:rsidR="00E600D3" w:rsidRPr="00DB7876" w:rsidRDefault="00E600D3" w:rsidP="00E600D3">
      <w:pPr>
        <w:jc w:val="center"/>
        <w:rPr>
          <w:b/>
          <w:lang w:val="fr-FR" w:eastAsia="en-US"/>
        </w:rPr>
      </w:pPr>
    </w:p>
    <w:p w:rsidR="00E600D3" w:rsidRPr="00DB7876" w:rsidRDefault="00E600D3" w:rsidP="00E600D3">
      <w:pPr>
        <w:tabs>
          <w:tab w:val="left" w:pos="567"/>
        </w:tabs>
        <w:rPr>
          <w:lang w:val="fr-FR" w:eastAsia="en-US"/>
        </w:rPr>
      </w:pPr>
      <w:r w:rsidRPr="00DB7876">
        <w:rPr>
          <w:lang w:val="fr-FR" w:eastAsia="en-US"/>
        </w:rPr>
        <w:tab/>
        <w:t>[…]</w:t>
      </w:r>
    </w:p>
    <w:p w:rsidR="00E600D3" w:rsidRPr="00DB7876" w:rsidRDefault="00E600D3" w:rsidP="00E600D3">
      <w:pPr>
        <w:rPr>
          <w:lang w:val="fr-FR" w:eastAsia="en-US"/>
        </w:rPr>
      </w:pPr>
    </w:p>
    <w:p w:rsidR="00852AB9" w:rsidRPr="00DB7876" w:rsidRDefault="00E600D3" w:rsidP="00D91A5F">
      <w:pPr>
        <w:autoSpaceDE w:val="0"/>
        <w:autoSpaceDN w:val="0"/>
        <w:adjustRightInd w:val="0"/>
        <w:rPr>
          <w:rFonts w:eastAsia="Times New Roman"/>
          <w:szCs w:val="22"/>
          <w:lang w:val="fr-FR" w:eastAsia="en-US"/>
        </w:rPr>
      </w:pPr>
      <w:r w:rsidRPr="00DB7876">
        <w:rPr>
          <w:rFonts w:ascii="Times New Roman" w:eastAsia="Times New Roman" w:hAnsi="Times New Roman" w:cs="Times New Roman"/>
          <w:sz w:val="30"/>
          <w:szCs w:val="30"/>
          <w:lang w:val="fr-FR" w:eastAsia="en-US"/>
        </w:rPr>
        <w:tab/>
      </w:r>
      <w:r w:rsidRPr="00DB7876">
        <w:rPr>
          <w:rFonts w:eastAsia="Times New Roman"/>
          <w:szCs w:val="22"/>
          <w:lang w:val="fr-FR" w:eastAsia="en-US"/>
        </w:rPr>
        <w:t>8</w:t>
      </w:r>
      <w:r w:rsidRPr="00DB7876">
        <w:rPr>
          <w:rFonts w:eastAsia="Times New Roman"/>
          <w:i/>
          <w:szCs w:val="22"/>
          <w:lang w:val="fr-FR" w:eastAsia="en-US"/>
        </w:rPr>
        <w:t>bis</w:t>
      </w:r>
      <w:r w:rsidRPr="00DB7876">
        <w:rPr>
          <w:rFonts w:eastAsia="Times New Roman"/>
          <w:szCs w:val="22"/>
          <w:lang w:val="fr-FR" w:eastAsia="en-US"/>
        </w:rPr>
        <w:t>)  </w:t>
      </w:r>
      <w:r w:rsidRPr="00DB7876">
        <w:rPr>
          <w:rFonts w:eastAsia="Times New Roman"/>
          <w:i/>
          <w:szCs w:val="22"/>
          <w:lang w:val="fr-FR" w:eastAsia="en-US"/>
        </w:rPr>
        <w:t>[</w:t>
      </w:r>
      <w:r w:rsidR="00D91A5F" w:rsidRPr="00DB7876">
        <w:rPr>
          <w:rFonts w:eastAsia="Times New Roman"/>
          <w:i/>
          <w:iCs/>
          <w:szCs w:val="22"/>
          <w:lang w:val="fr-FR" w:eastAsia="en-US"/>
        </w:rPr>
        <w:t>Examen des limitations</w:t>
      </w:r>
      <w:r w:rsidRPr="00DB7876">
        <w:rPr>
          <w:rFonts w:eastAsia="Times New Roman"/>
          <w:i/>
          <w:szCs w:val="22"/>
          <w:lang w:val="fr-FR" w:eastAsia="en-US"/>
        </w:rPr>
        <w:t>]  </w:t>
      </w:r>
      <w:r w:rsidR="00D91A5F" w:rsidRPr="00DB7876">
        <w:rPr>
          <w:rFonts w:eastAsia="Times New Roman"/>
          <w:szCs w:val="22"/>
          <w:lang w:val="fr-FR" w:eastAsia="en-US"/>
        </w:rPr>
        <w:t xml:space="preserve">Le Bureau international examine les limitations contenues dans une demande internationale, en appliquant les </w:t>
      </w:r>
      <w:r w:rsidR="00852AB9" w:rsidRPr="00DB7876">
        <w:rPr>
          <w:rFonts w:eastAsia="Times New Roman"/>
          <w:szCs w:val="22"/>
          <w:lang w:val="fr-FR" w:eastAsia="en-US"/>
        </w:rPr>
        <w:t>alinéas 1</w:t>
      </w:r>
      <w:r w:rsidR="00283D7A">
        <w:rPr>
          <w:rFonts w:eastAsia="Times New Roman"/>
          <w:szCs w:val="22"/>
          <w:lang w:val="fr-FR" w:eastAsia="en-US"/>
        </w:rPr>
        <w:t>)a) et 2) à </w:t>
      </w:r>
      <w:r w:rsidR="00D91A5F" w:rsidRPr="00DB7876">
        <w:rPr>
          <w:rFonts w:eastAsia="Times New Roman"/>
          <w:szCs w:val="22"/>
          <w:lang w:val="fr-FR" w:eastAsia="en-US"/>
        </w:rPr>
        <w:t xml:space="preserve">6) </w:t>
      </w:r>
      <w:r w:rsidR="00D91A5F" w:rsidRPr="00DB7876">
        <w:rPr>
          <w:rFonts w:eastAsia="Times New Roman"/>
          <w:i/>
          <w:iCs/>
          <w:szCs w:val="22"/>
          <w:lang w:val="fr-FR" w:eastAsia="en-US"/>
        </w:rPr>
        <w:t>mutatis mutand</w:t>
      </w:r>
      <w:r w:rsidR="00DB7876" w:rsidRPr="00DB7876">
        <w:rPr>
          <w:rFonts w:eastAsia="Times New Roman"/>
          <w:i/>
          <w:iCs/>
          <w:szCs w:val="22"/>
          <w:lang w:val="fr-FR" w:eastAsia="en-US"/>
        </w:rPr>
        <w:t xml:space="preserve">is.  </w:t>
      </w:r>
      <w:r w:rsidR="00DB7876" w:rsidRPr="00DB7876">
        <w:rPr>
          <w:rFonts w:eastAsia="Times New Roman"/>
          <w:szCs w:val="22"/>
          <w:lang w:val="fr-FR" w:eastAsia="en-US"/>
        </w:rPr>
        <w:t>Lo</w:t>
      </w:r>
      <w:r w:rsidR="00D91A5F" w:rsidRPr="00DB7876">
        <w:rPr>
          <w:rFonts w:eastAsia="Times New Roman"/>
          <w:szCs w:val="22"/>
          <w:lang w:val="fr-FR" w:eastAsia="en-US"/>
        </w:rPr>
        <w:t>rsqu</w:t>
      </w:r>
      <w:r w:rsidR="00852AB9" w:rsidRPr="00DB7876">
        <w:rPr>
          <w:rFonts w:eastAsia="Times New Roman"/>
          <w:szCs w:val="22"/>
          <w:lang w:val="fr-FR" w:eastAsia="en-US"/>
        </w:rPr>
        <w:t>’</w:t>
      </w:r>
      <w:r w:rsidR="00D91A5F" w:rsidRPr="00DB7876">
        <w:rPr>
          <w:rFonts w:eastAsia="Times New Roman"/>
          <w:szCs w:val="22"/>
          <w:lang w:val="fr-FR" w:eastAsia="en-US"/>
        </w:rPr>
        <w:t>il n</w:t>
      </w:r>
      <w:r w:rsidR="00852AB9" w:rsidRPr="00DB7876">
        <w:rPr>
          <w:rFonts w:eastAsia="Times New Roman"/>
          <w:szCs w:val="22"/>
          <w:lang w:val="fr-FR" w:eastAsia="en-US"/>
        </w:rPr>
        <w:t>’</w:t>
      </w:r>
      <w:r w:rsidR="00D91A5F" w:rsidRPr="00DB7876">
        <w:rPr>
          <w:rFonts w:eastAsia="Times New Roman"/>
          <w:szCs w:val="22"/>
          <w:lang w:val="fr-FR" w:eastAsia="en-US"/>
        </w:rPr>
        <w:t xml:space="preserve">est pas en mesure de grouper les produits et services énumérés dans la limitation selon les classes de la classification internationale des produits et des services énumérées dans la demande internationale concernée, modifiée le cas échéant en vertu des </w:t>
      </w:r>
      <w:r w:rsidR="00852AB9" w:rsidRPr="00DB7876">
        <w:rPr>
          <w:rFonts w:eastAsia="Times New Roman"/>
          <w:szCs w:val="22"/>
          <w:lang w:val="fr-FR" w:eastAsia="en-US"/>
        </w:rPr>
        <w:t>alinéas 1</w:t>
      </w:r>
      <w:r w:rsidR="00283D7A">
        <w:rPr>
          <w:rFonts w:eastAsia="Times New Roman"/>
          <w:szCs w:val="22"/>
          <w:lang w:val="fr-FR" w:eastAsia="en-US"/>
        </w:rPr>
        <w:t>) à </w:t>
      </w:r>
      <w:r w:rsidR="00D91A5F" w:rsidRPr="00DB7876">
        <w:rPr>
          <w:rFonts w:eastAsia="Times New Roman"/>
          <w:szCs w:val="22"/>
          <w:lang w:val="fr-FR" w:eastAsia="en-US"/>
        </w:rPr>
        <w:t>6), le Bureau international soulève une irrégulari</w:t>
      </w:r>
      <w:r w:rsidR="00DB7876" w:rsidRPr="00DB7876">
        <w:rPr>
          <w:rFonts w:eastAsia="Times New Roman"/>
          <w:szCs w:val="22"/>
          <w:lang w:val="fr-FR" w:eastAsia="en-US"/>
        </w:rPr>
        <w:t>té.  Lo</w:t>
      </w:r>
      <w:r w:rsidR="00D91A5F" w:rsidRPr="00DB7876">
        <w:rPr>
          <w:rFonts w:eastAsia="Times New Roman"/>
          <w:szCs w:val="22"/>
          <w:lang w:val="fr-FR" w:eastAsia="en-US"/>
        </w:rPr>
        <w:t>rsque l</w:t>
      </w:r>
      <w:r w:rsidR="00852AB9" w:rsidRPr="00DB7876">
        <w:rPr>
          <w:rFonts w:eastAsia="Times New Roman"/>
          <w:szCs w:val="22"/>
          <w:lang w:val="fr-FR" w:eastAsia="en-US"/>
        </w:rPr>
        <w:t>’</w:t>
      </w:r>
      <w:r w:rsidR="00D91A5F" w:rsidRPr="00DB7876">
        <w:rPr>
          <w:rFonts w:eastAsia="Times New Roman"/>
          <w:szCs w:val="22"/>
          <w:lang w:val="fr-FR" w:eastAsia="en-US"/>
        </w:rPr>
        <w:t>irrégularité n</w:t>
      </w:r>
      <w:r w:rsidR="00852AB9" w:rsidRPr="00DB7876">
        <w:rPr>
          <w:rFonts w:eastAsia="Times New Roman"/>
          <w:szCs w:val="22"/>
          <w:lang w:val="fr-FR" w:eastAsia="en-US"/>
        </w:rPr>
        <w:t>’</w:t>
      </w:r>
      <w:r w:rsidR="00D91A5F" w:rsidRPr="00DB7876">
        <w:rPr>
          <w:rFonts w:eastAsia="Times New Roman"/>
          <w:szCs w:val="22"/>
          <w:lang w:val="fr-FR" w:eastAsia="en-US"/>
        </w:rPr>
        <w:t>est pas corrigée dans un délai de trois</w:t>
      </w:r>
      <w:r w:rsidR="0067045F" w:rsidRPr="00DB7876">
        <w:rPr>
          <w:rFonts w:eastAsia="Times New Roman"/>
          <w:szCs w:val="22"/>
          <w:lang w:val="fr-FR" w:eastAsia="en-US"/>
        </w:rPr>
        <w:t> </w:t>
      </w:r>
      <w:r w:rsidR="00D91A5F" w:rsidRPr="00DB7876">
        <w:rPr>
          <w:rFonts w:eastAsia="Times New Roman"/>
          <w:szCs w:val="22"/>
          <w:lang w:val="fr-FR" w:eastAsia="en-US"/>
        </w:rPr>
        <w:t>mois à compter de la date de la notification de l</w:t>
      </w:r>
      <w:r w:rsidR="00852AB9" w:rsidRPr="00DB7876">
        <w:rPr>
          <w:rFonts w:eastAsia="Times New Roman"/>
          <w:szCs w:val="22"/>
          <w:lang w:val="fr-FR" w:eastAsia="en-US"/>
        </w:rPr>
        <w:t>’</w:t>
      </w:r>
      <w:r w:rsidR="00D91A5F" w:rsidRPr="00DB7876">
        <w:rPr>
          <w:rFonts w:eastAsia="Times New Roman"/>
          <w:szCs w:val="22"/>
          <w:lang w:val="fr-FR" w:eastAsia="en-US"/>
        </w:rPr>
        <w:t>irrégularité, la limitation est réputée ne pas contenir les produits et services concernés</w:t>
      </w:r>
      <w:r w:rsidRPr="00DB7876">
        <w:rPr>
          <w:rFonts w:eastAsia="Times New Roman"/>
          <w:szCs w:val="22"/>
          <w:lang w:val="fr-FR" w:eastAsia="en-US"/>
        </w:rPr>
        <w:t>.</w:t>
      </w:r>
    </w:p>
    <w:p w:rsidR="00E600D3" w:rsidRPr="00DB7876" w:rsidRDefault="00E600D3" w:rsidP="00E600D3">
      <w:pPr>
        <w:rPr>
          <w:lang w:val="fr-FR" w:eastAsia="en-US"/>
        </w:rPr>
      </w:pPr>
    </w:p>
    <w:p w:rsidR="00E600D3" w:rsidRPr="00DB7876" w:rsidRDefault="00E600D3" w:rsidP="00E600D3">
      <w:pPr>
        <w:tabs>
          <w:tab w:val="left" w:pos="567"/>
        </w:tabs>
        <w:rPr>
          <w:lang w:val="fr-FR" w:eastAsia="en-US"/>
        </w:rPr>
      </w:pPr>
      <w:r w:rsidRPr="00DB7876">
        <w:rPr>
          <w:lang w:val="fr-FR" w:eastAsia="en-US"/>
        </w:rPr>
        <w:tab/>
        <w:t>[…]</w:t>
      </w:r>
    </w:p>
    <w:p w:rsidR="00E600D3" w:rsidRPr="00DB7876" w:rsidRDefault="00E600D3" w:rsidP="00E600D3">
      <w:pPr>
        <w:pStyle w:val="Endofdocument-Annex"/>
        <w:ind w:left="0"/>
        <w:rPr>
          <w:lang w:val="fr-FR"/>
        </w:rPr>
      </w:pPr>
    </w:p>
    <w:p w:rsidR="00E600D3" w:rsidRPr="00DB7876" w:rsidRDefault="00E600D3" w:rsidP="00E600D3">
      <w:pPr>
        <w:pStyle w:val="Endofdocument-Annex"/>
        <w:ind w:left="0"/>
        <w:rPr>
          <w:lang w:val="fr-FR"/>
        </w:rPr>
        <w:sectPr w:rsidR="00E600D3" w:rsidRPr="00DB7876" w:rsidSect="00D365EF">
          <w:headerReference w:type="first" r:id="rId11"/>
          <w:endnotePr>
            <w:numFmt w:val="decimal"/>
          </w:endnotePr>
          <w:pgSz w:w="11907" w:h="16840" w:code="9"/>
          <w:pgMar w:top="567" w:right="1134" w:bottom="568" w:left="1418" w:header="510" w:footer="1021" w:gutter="0"/>
          <w:pgNumType w:start="2"/>
          <w:cols w:space="720"/>
          <w:titlePg/>
          <w:docGrid w:linePitch="299"/>
        </w:sectPr>
      </w:pPr>
    </w:p>
    <w:p w:rsidR="00D8093F" w:rsidRPr="00DB7876" w:rsidRDefault="00852AB9" w:rsidP="00D8093F">
      <w:pPr>
        <w:tabs>
          <w:tab w:val="left" w:pos="567"/>
          <w:tab w:val="left" w:pos="1134"/>
          <w:tab w:val="left" w:pos="1701"/>
          <w:tab w:val="left" w:pos="2268"/>
          <w:tab w:val="left" w:pos="2835"/>
          <w:tab w:val="left" w:pos="3402"/>
        </w:tabs>
        <w:ind w:left="567" w:hanging="567"/>
        <w:jc w:val="center"/>
        <w:rPr>
          <w:b/>
          <w:bCs/>
          <w:szCs w:val="22"/>
          <w:lang w:val="fr-FR"/>
        </w:rPr>
      </w:pPr>
      <w:r w:rsidRPr="00DB7876">
        <w:rPr>
          <w:b/>
          <w:bCs/>
          <w:szCs w:val="22"/>
          <w:lang w:val="fr-FR"/>
        </w:rPr>
        <w:t>Chapitre 5</w:t>
      </w:r>
    </w:p>
    <w:p w:rsidR="00E600D3" w:rsidRPr="00DB7876" w:rsidRDefault="00D8093F" w:rsidP="00D8093F">
      <w:pPr>
        <w:tabs>
          <w:tab w:val="left" w:pos="567"/>
          <w:tab w:val="left" w:pos="1134"/>
          <w:tab w:val="left" w:pos="1701"/>
          <w:tab w:val="left" w:pos="2268"/>
          <w:tab w:val="left" w:pos="2835"/>
          <w:tab w:val="left" w:pos="3402"/>
        </w:tabs>
        <w:ind w:left="567" w:hanging="567"/>
        <w:jc w:val="center"/>
        <w:rPr>
          <w:b/>
          <w:szCs w:val="22"/>
          <w:lang w:val="fr-FR"/>
        </w:rPr>
      </w:pPr>
      <w:r w:rsidRPr="00DB7876">
        <w:rPr>
          <w:b/>
          <w:bCs/>
          <w:szCs w:val="22"/>
          <w:lang w:val="fr-FR"/>
        </w:rPr>
        <w:t>Désignations postérieures;  modifications</w:t>
      </w:r>
    </w:p>
    <w:p w:rsidR="00E600D3" w:rsidRPr="00DB7876" w:rsidRDefault="00E600D3" w:rsidP="00E600D3">
      <w:pPr>
        <w:jc w:val="both"/>
        <w:rPr>
          <w:lang w:val="fr-FR" w:eastAsia="en-US"/>
        </w:rPr>
      </w:pPr>
    </w:p>
    <w:p w:rsidR="00E600D3" w:rsidRPr="00DB7876" w:rsidRDefault="00E600D3" w:rsidP="00E600D3">
      <w:pPr>
        <w:tabs>
          <w:tab w:val="left" w:pos="567"/>
          <w:tab w:val="left" w:pos="1134"/>
          <w:tab w:val="left" w:pos="1701"/>
          <w:tab w:val="left" w:pos="2268"/>
          <w:tab w:val="left" w:pos="2835"/>
          <w:tab w:val="left" w:pos="3402"/>
        </w:tabs>
        <w:jc w:val="center"/>
        <w:rPr>
          <w:szCs w:val="22"/>
          <w:lang w:val="fr-FR"/>
        </w:rPr>
      </w:pPr>
      <w:r w:rsidRPr="00DB7876">
        <w:rPr>
          <w:szCs w:val="22"/>
          <w:lang w:val="fr-FR"/>
        </w:rPr>
        <w:t>[…]</w:t>
      </w:r>
    </w:p>
    <w:p w:rsidR="00E600D3" w:rsidRPr="00DB7876" w:rsidRDefault="00E600D3" w:rsidP="00E600D3">
      <w:pPr>
        <w:jc w:val="center"/>
        <w:rPr>
          <w:lang w:val="fr-FR" w:eastAsia="en-US"/>
        </w:rPr>
      </w:pPr>
    </w:p>
    <w:p w:rsidR="00E600D3" w:rsidRPr="00DB7876" w:rsidRDefault="00852AB9" w:rsidP="00E600D3">
      <w:pPr>
        <w:jc w:val="center"/>
        <w:rPr>
          <w:i/>
          <w:szCs w:val="22"/>
          <w:lang w:val="fr-FR"/>
        </w:rPr>
      </w:pPr>
      <w:r w:rsidRPr="00DB7876">
        <w:rPr>
          <w:i/>
          <w:szCs w:val="22"/>
          <w:lang w:val="fr-FR"/>
        </w:rPr>
        <w:t>Règle 2</w:t>
      </w:r>
      <w:r w:rsidR="00E600D3" w:rsidRPr="00DB7876">
        <w:rPr>
          <w:i/>
          <w:szCs w:val="22"/>
          <w:lang w:val="fr-FR"/>
        </w:rPr>
        <w:t>5</w:t>
      </w:r>
    </w:p>
    <w:p w:rsidR="00E600D3" w:rsidRPr="00DB7876" w:rsidRDefault="00D8093F" w:rsidP="00E600D3">
      <w:pPr>
        <w:jc w:val="center"/>
        <w:rPr>
          <w:szCs w:val="22"/>
          <w:lang w:val="fr-FR"/>
        </w:rPr>
      </w:pPr>
      <w:r w:rsidRPr="00DB7876">
        <w:rPr>
          <w:i/>
          <w:szCs w:val="22"/>
          <w:lang w:val="fr-FR"/>
        </w:rPr>
        <w:t>Demande d</w:t>
      </w:r>
      <w:r w:rsidR="00852AB9" w:rsidRPr="00DB7876">
        <w:rPr>
          <w:i/>
          <w:szCs w:val="22"/>
          <w:lang w:val="fr-FR"/>
        </w:rPr>
        <w:t>’</w:t>
      </w:r>
      <w:r w:rsidRPr="00DB7876">
        <w:rPr>
          <w:i/>
          <w:szCs w:val="22"/>
          <w:lang w:val="fr-FR"/>
        </w:rPr>
        <w:t>inscription</w:t>
      </w:r>
    </w:p>
    <w:p w:rsidR="00E600D3" w:rsidRPr="00DB7876" w:rsidRDefault="00E600D3" w:rsidP="00E600D3">
      <w:pPr>
        <w:jc w:val="center"/>
        <w:rPr>
          <w:lang w:val="fr-FR" w:eastAsia="en-US"/>
        </w:rPr>
      </w:pPr>
    </w:p>
    <w:p w:rsidR="00E600D3" w:rsidRPr="00DB7876" w:rsidRDefault="00E600D3" w:rsidP="00D8093F">
      <w:pPr>
        <w:jc w:val="both"/>
        <w:rPr>
          <w:lang w:val="fr-FR" w:eastAsia="en-US"/>
        </w:rPr>
      </w:pPr>
      <w:r w:rsidRPr="00DB7876">
        <w:rPr>
          <w:lang w:val="fr-FR" w:eastAsia="en-US"/>
        </w:rPr>
        <w:tab/>
        <w:t>1)</w:t>
      </w:r>
      <w:r w:rsidRPr="00DB7876">
        <w:rPr>
          <w:lang w:val="fr-FR" w:eastAsia="en-US"/>
        </w:rPr>
        <w:tab/>
      </w:r>
      <w:r w:rsidRPr="00DB7876">
        <w:rPr>
          <w:i/>
          <w:lang w:val="fr-FR" w:eastAsia="en-US"/>
        </w:rPr>
        <w:t>[</w:t>
      </w:r>
      <w:r w:rsidR="00D8093F" w:rsidRPr="00DB7876">
        <w:rPr>
          <w:i/>
          <w:iCs/>
          <w:lang w:val="fr-FR" w:eastAsia="en-US"/>
        </w:rPr>
        <w:t xml:space="preserve">Présentation de la demande] </w:t>
      </w:r>
      <w:r w:rsidR="00D8093F" w:rsidRPr="00DB7876">
        <w:rPr>
          <w:lang w:val="fr-FR" w:eastAsia="en-US"/>
        </w:rPr>
        <w:t>a) Une demande d</w:t>
      </w:r>
      <w:r w:rsidR="00852AB9" w:rsidRPr="00DB7876">
        <w:rPr>
          <w:lang w:val="fr-FR" w:eastAsia="en-US"/>
        </w:rPr>
        <w:t>’</w:t>
      </w:r>
      <w:r w:rsidR="00D8093F" w:rsidRPr="00DB7876">
        <w:rPr>
          <w:lang w:val="fr-FR" w:eastAsia="en-US"/>
        </w:rPr>
        <w:t>inscription doit être présentée au Bureau international, en un seul exemplaire, sur le formulaire officiel correspondant lorsque cette demande se rapporte à</w:t>
      </w:r>
    </w:p>
    <w:p w:rsidR="00E600D3" w:rsidRPr="00DB7876" w:rsidRDefault="00E600D3" w:rsidP="00E600D3">
      <w:pPr>
        <w:jc w:val="both"/>
        <w:rPr>
          <w:lang w:val="fr-FR" w:eastAsia="en-US"/>
        </w:rPr>
      </w:pPr>
      <w:r w:rsidRPr="00DB7876">
        <w:rPr>
          <w:lang w:val="fr-FR" w:eastAsia="en-US"/>
        </w:rPr>
        <w:tab/>
      </w:r>
      <w:r w:rsidRPr="00DB7876">
        <w:rPr>
          <w:lang w:val="fr-FR" w:eastAsia="en-US"/>
        </w:rPr>
        <w:tab/>
      </w:r>
      <w:r w:rsidRPr="00DB7876">
        <w:rPr>
          <w:lang w:val="fr-FR" w:eastAsia="en-US"/>
        </w:rPr>
        <w:tab/>
        <w:t>[…]</w:t>
      </w:r>
    </w:p>
    <w:p w:rsidR="00852AB9" w:rsidRPr="00DB7876" w:rsidRDefault="00E600D3" w:rsidP="00D8093F">
      <w:pPr>
        <w:jc w:val="both"/>
        <w:rPr>
          <w:lang w:val="fr-FR" w:eastAsia="en-US"/>
        </w:rPr>
      </w:pPr>
      <w:r w:rsidRPr="00DB7876">
        <w:rPr>
          <w:lang w:val="fr-FR" w:eastAsia="en-US"/>
        </w:rPr>
        <w:tab/>
      </w:r>
      <w:r w:rsidRPr="00DB7876">
        <w:rPr>
          <w:lang w:val="fr-FR" w:eastAsia="en-US"/>
        </w:rPr>
        <w:tab/>
      </w:r>
      <w:r w:rsidRPr="00DB7876">
        <w:rPr>
          <w:lang w:val="fr-FR" w:eastAsia="en-US"/>
        </w:rPr>
        <w:tab/>
        <w:t>iv)</w:t>
      </w:r>
      <w:r w:rsidRPr="00DB7876">
        <w:rPr>
          <w:lang w:val="fr-FR" w:eastAsia="en-US"/>
        </w:rPr>
        <w:tab/>
      </w:r>
      <w:r w:rsidR="00D8093F" w:rsidRPr="00DB7876">
        <w:rPr>
          <w:lang w:val="fr-FR" w:eastAsia="en-US"/>
        </w:rPr>
        <w:t>une modification du nom ou de l</w:t>
      </w:r>
      <w:r w:rsidR="00852AB9" w:rsidRPr="00DB7876">
        <w:rPr>
          <w:lang w:val="fr-FR" w:eastAsia="en-US"/>
        </w:rPr>
        <w:t>’</w:t>
      </w:r>
      <w:r w:rsidR="00D8093F" w:rsidRPr="00DB7876">
        <w:rPr>
          <w:lang w:val="fr-FR" w:eastAsia="en-US"/>
        </w:rPr>
        <w:t>adresse du titulaire ou, lorsque le titulaire est une personne morale, l</w:t>
      </w:r>
      <w:r w:rsidR="00852AB9" w:rsidRPr="00DB7876">
        <w:rPr>
          <w:lang w:val="fr-FR" w:eastAsia="en-US"/>
        </w:rPr>
        <w:t>’</w:t>
      </w:r>
      <w:r w:rsidR="00D8093F" w:rsidRPr="00DB7876">
        <w:rPr>
          <w:lang w:val="fr-FR" w:eastAsia="en-US"/>
        </w:rPr>
        <w:t>introduction ou une modification des indications relatives à la forme juridique du titulaire ainsi qu</w:t>
      </w:r>
      <w:r w:rsidR="00852AB9" w:rsidRPr="00DB7876">
        <w:rPr>
          <w:lang w:val="fr-FR" w:eastAsia="en-US"/>
        </w:rPr>
        <w:t>’</w:t>
      </w:r>
      <w:r w:rsidR="00D8093F" w:rsidRPr="00DB7876">
        <w:rPr>
          <w:lang w:val="fr-FR" w:eastAsia="en-US"/>
        </w:rPr>
        <w:t>à l</w:t>
      </w:r>
      <w:r w:rsidR="00852AB9" w:rsidRPr="00DB7876">
        <w:rPr>
          <w:lang w:val="fr-FR" w:eastAsia="en-US"/>
        </w:rPr>
        <w:t>’</w:t>
      </w:r>
      <w:r w:rsidR="00D8093F" w:rsidRPr="00DB7876">
        <w:rPr>
          <w:lang w:val="fr-FR" w:eastAsia="en-US"/>
        </w:rPr>
        <w:t>État et, le cas échéant, à l</w:t>
      </w:r>
      <w:r w:rsidR="00852AB9" w:rsidRPr="00DB7876">
        <w:rPr>
          <w:lang w:val="fr-FR" w:eastAsia="en-US"/>
        </w:rPr>
        <w:t>’</w:t>
      </w:r>
      <w:r w:rsidR="00D8093F" w:rsidRPr="00DB7876">
        <w:rPr>
          <w:lang w:val="fr-FR" w:eastAsia="en-US"/>
        </w:rPr>
        <w:t>entité territoriale à l</w:t>
      </w:r>
      <w:r w:rsidR="00852AB9" w:rsidRPr="00DB7876">
        <w:rPr>
          <w:lang w:val="fr-FR" w:eastAsia="en-US"/>
        </w:rPr>
        <w:t>’</w:t>
      </w:r>
      <w:r w:rsidR="00D8093F" w:rsidRPr="00DB7876">
        <w:rPr>
          <w:lang w:val="fr-FR" w:eastAsia="en-US"/>
        </w:rPr>
        <w:t>intérieur de cet État selon la législation duquel ou desquels ladite personne morale a été constituée</w:t>
      </w:r>
      <w:r w:rsidRPr="00DB7876">
        <w:rPr>
          <w:lang w:val="fr-FR" w:eastAsia="en-US"/>
        </w:rPr>
        <w:t>;</w:t>
      </w:r>
    </w:p>
    <w:p w:rsidR="00E600D3" w:rsidRPr="00DB7876" w:rsidRDefault="00E600D3" w:rsidP="00E600D3">
      <w:pPr>
        <w:jc w:val="both"/>
        <w:rPr>
          <w:lang w:val="fr-FR" w:eastAsia="en-US"/>
        </w:rPr>
      </w:pPr>
      <w:r w:rsidRPr="00DB7876">
        <w:rPr>
          <w:lang w:val="fr-FR" w:eastAsia="en-US"/>
        </w:rPr>
        <w:tab/>
      </w:r>
      <w:r w:rsidRPr="00DB7876">
        <w:rPr>
          <w:lang w:val="fr-FR" w:eastAsia="en-US"/>
        </w:rPr>
        <w:tab/>
      </w:r>
      <w:r w:rsidRPr="00DB7876">
        <w:rPr>
          <w:lang w:val="fr-FR" w:eastAsia="en-US"/>
        </w:rPr>
        <w:tab/>
        <w:t>[…]</w:t>
      </w:r>
    </w:p>
    <w:p w:rsidR="00E600D3" w:rsidRPr="00DB7876" w:rsidRDefault="00E600D3" w:rsidP="00E600D3">
      <w:pPr>
        <w:jc w:val="both"/>
        <w:rPr>
          <w:lang w:val="fr-FR" w:eastAsia="en-US"/>
        </w:rPr>
      </w:pPr>
    </w:p>
    <w:p w:rsidR="00E600D3" w:rsidRPr="00DB7876" w:rsidRDefault="00E600D3" w:rsidP="00D8093F">
      <w:pPr>
        <w:jc w:val="both"/>
        <w:rPr>
          <w:lang w:val="fr-FR" w:eastAsia="en-US"/>
        </w:rPr>
      </w:pPr>
      <w:r w:rsidRPr="00DB7876">
        <w:rPr>
          <w:lang w:val="fr-FR" w:eastAsia="en-US"/>
        </w:rPr>
        <w:tab/>
        <w:t>2)</w:t>
      </w:r>
      <w:r w:rsidRPr="00DB7876">
        <w:rPr>
          <w:lang w:val="fr-FR" w:eastAsia="en-US"/>
        </w:rPr>
        <w:tab/>
      </w:r>
      <w:r w:rsidRPr="00DB7876">
        <w:rPr>
          <w:i/>
          <w:lang w:val="fr-FR" w:eastAsia="en-US"/>
        </w:rPr>
        <w:t>[</w:t>
      </w:r>
      <w:r w:rsidR="00D8093F" w:rsidRPr="00DB7876">
        <w:rPr>
          <w:i/>
          <w:iCs/>
          <w:lang w:val="fr-FR" w:eastAsia="en-US"/>
        </w:rPr>
        <w:t>Contenu de la demande</w:t>
      </w:r>
      <w:r w:rsidRPr="00DB7876">
        <w:rPr>
          <w:i/>
          <w:lang w:val="fr-FR" w:eastAsia="en-US"/>
        </w:rPr>
        <w:t>]  </w:t>
      </w:r>
      <w:r w:rsidRPr="00DB7876">
        <w:rPr>
          <w:lang w:val="fr-FR" w:eastAsia="en-US"/>
        </w:rPr>
        <w:t>a)  </w:t>
      </w:r>
      <w:r w:rsidR="00D8093F" w:rsidRPr="00DB7876">
        <w:rPr>
          <w:lang w:val="fr-FR" w:eastAsia="en-US"/>
        </w:rPr>
        <w:t>Une demande en vertu de l</w:t>
      </w:r>
      <w:r w:rsidR="00852AB9" w:rsidRPr="00DB7876">
        <w:rPr>
          <w:lang w:val="fr-FR" w:eastAsia="en-US"/>
        </w:rPr>
        <w:t>’alinéa 1</w:t>
      </w:r>
      <w:r w:rsidR="00D8093F" w:rsidRPr="00DB7876">
        <w:rPr>
          <w:lang w:val="fr-FR" w:eastAsia="en-US"/>
        </w:rPr>
        <w:t>)a) doit contenir ou indiquer, en sus de l</w:t>
      </w:r>
      <w:r w:rsidR="00852AB9" w:rsidRPr="00DB7876">
        <w:rPr>
          <w:lang w:val="fr-FR" w:eastAsia="en-US"/>
        </w:rPr>
        <w:t>’</w:t>
      </w:r>
      <w:r w:rsidR="00D8093F" w:rsidRPr="00DB7876">
        <w:rPr>
          <w:lang w:val="fr-FR" w:eastAsia="en-US"/>
        </w:rPr>
        <w:t>inscription demandée,</w:t>
      </w:r>
    </w:p>
    <w:p w:rsidR="00E600D3" w:rsidRPr="00DB7876" w:rsidRDefault="00E600D3" w:rsidP="00E600D3">
      <w:pPr>
        <w:jc w:val="both"/>
        <w:rPr>
          <w:lang w:val="fr-FR" w:eastAsia="en-US"/>
        </w:rPr>
      </w:pPr>
      <w:r w:rsidRPr="00DB7876">
        <w:rPr>
          <w:lang w:val="fr-FR" w:eastAsia="en-US"/>
        </w:rPr>
        <w:tab/>
      </w:r>
      <w:r w:rsidRPr="00DB7876">
        <w:rPr>
          <w:lang w:val="fr-FR" w:eastAsia="en-US"/>
        </w:rPr>
        <w:tab/>
        <w:t>[…]</w:t>
      </w:r>
    </w:p>
    <w:p w:rsidR="00E600D3" w:rsidRPr="00DB7876" w:rsidRDefault="00E600D3" w:rsidP="00D8093F">
      <w:pPr>
        <w:jc w:val="both"/>
        <w:rPr>
          <w:lang w:val="fr-FR" w:eastAsia="en-US"/>
        </w:rPr>
      </w:pPr>
      <w:r w:rsidRPr="00DB7876">
        <w:rPr>
          <w:lang w:val="fr-FR" w:eastAsia="en-US"/>
        </w:rPr>
        <w:tab/>
      </w:r>
      <w:r w:rsidRPr="00DB7876">
        <w:rPr>
          <w:lang w:val="fr-FR" w:eastAsia="en-US"/>
        </w:rPr>
        <w:tab/>
        <w:t>d)</w:t>
      </w:r>
      <w:r w:rsidRPr="00DB7876">
        <w:rPr>
          <w:lang w:val="fr-FR" w:eastAsia="en-US"/>
        </w:rPr>
        <w:tab/>
      </w:r>
      <w:r w:rsidR="00D8093F" w:rsidRPr="00DB7876">
        <w:rPr>
          <w:lang w:val="fr-FR" w:eastAsia="en-US"/>
        </w:rPr>
        <w:t>La demande d</w:t>
      </w:r>
      <w:r w:rsidR="00852AB9" w:rsidRPr="00DB7876">
        <w:rPr>
          <w:lang w:val="fr-FR" w:eastAsia="en-US"/>
        </w:rPr>
        <w:t>’</w:t>
      </w:r>
      <w:r w:rsidR="00D8093F" w:rsidRPr="00DB7876">
        <w:rPr>
          <w:lang w:val="fr-FR" w:eastAsia="en-US"/>
        </w:rPr>
        <w:t>inscription d</w:t>
      </w:r>
      <w:r w:rsidR="00852AB9" w:rsidRPr="00DB7876">
        <w:rPr>
          <w:lang w:val="fr-FR" w:eastAsia="en-US"/>
        </w:rPr>
        <w:t>’</w:t>
      </w:r>
      <w:r w:rsidR="00D8093F" w:rsidRPr="00DB7876">
        <w:rPr>
          <w:lang w:val="fr-FR" w:eastAsia="en-US"/>
        </w:rPr>
        <w:t>une limitation doit grouper uniquement les produits et services limités selon les numéros correspondants des classes de la classification internationale des produits et des services figurant dans l</w:t>
      </w:r>
      <w:r w:rsidR="00852AB9" w:rsidRPr="00DB7876">
        <w:rPr>
          <w:lang w:val="fr-FR" w:eastAsia="en-US"/>
        </w:rPr>
        <w:t>’</w:t>
      </w:r>
      <w:r w:rsidR="00D8093F" w:rsidRPr="00DB7876">
        <w:rPr>
          <w:lang w:val="fr-FR" w:eastAsia="en-US"/>
        </w:rPr>
        <w:t>enregistrement international ou, lorsque la limitation vise tous les produits et services dans une ou plusieurs de ces classes, indiquer les classes à supprimer</w:t>
      </w:r>
      <w:r w:rsidRPr="00DB7876">
        <w:rPr>
          <w:lang w:val="fr-FR" w:eastAsia="en-US"/>
        </w:rPr>
        <w:t>.</w:t>
      </w:r>
    </w:p>
    <w:p w:rsidR="00E600D3" w:rsidRPr="00DB7876" w:rsidRDefault="00E600D3" w:rsidP="00E600D3">
      <w:pPr>
        <w:jc w:val="both"/>
        <w:rPr>
          <w:lang w:val="fr-FR" w:eastAsia="en-US"/>
        </w:rPr>
      </w:pPr>
    </w:p>
    <w:p w:rsidR="00E600D3" w:rsidRPr="00DB7876" w:rsidRDefault="00E600D3" w:rsidP="00E600D3">
      <w:pPr>
        <w:jc w:val="both"/>
        <w:rPr>
          <w:lang w:val="fr-FR" w:eastAsia="en-US"/>
        </w:rPr>
      </w:pPr>
      <w:r w:rsidRPr="00DB7876">
        <w:rPr>
          <w:lang w:val="fr-FR" w:eastAsia="en-US"/>
        </w:rPr>
        <w:tab/>
        <w:t>[…]</w:t>
      </w:r>
    </w:p>
    <w:p w:rsidR="00E600D3" w:rsidRPr="00DB7876" w:rsidRDefault="00E600D3" w:rsidP="00E600D3">
      <w:pPr>
        <w:jc w:val="center"/>
        <w:rPr>
          <w:lang w:val="fr-FR" w:eastAsia="en-US"/>
        </w:rPr>
      </w:pPr>
    </w:p>
    <w:p w:rsidR="00E600D3" w:rsidRPr="00DB7876" w:rsidRDefault="00E600D3" w:rsidP="00E600D3">
      <w:pPr>
        <w:jc w:val="center"/>
        <w:rPr>
          <w:lang w:val="fr-FR" w:eastAsia="en-US"/>
        </w:rPr>
      </w:pPr>
    </w:p>
    <w:p w:rsidR="00D8093F" w:rsidRPr="00DB7876" w:rsidRDefault="00852AB9" w:rsidP="00D8093F">
      <w:pPr>
        <w:jc w:val="center"/>
        <w:rPr>
          <w:i/>
          <w:iCs/>
          <w:lang w:val="fr-FR" w:eastAsia="en-US"/>
        </w:rPr>
      </w:pPr>
      <w:r w:rsidRPr="00DB7876">
        <w:rPr>
          <w:i/>
          <w:iCs/>
          <w:lang w:val="fr-FR" w:eastAsia="en-US"/>
        </w:rPr>
        <w:t>Règle 2</w:t>
      </w:r>
      <w:r w:rsidR="00D8093F" w:rsidRPr="00DB7876">
        <w:rPr>
          <w:i/>
          <w:iCs/>
          <w:lang w:val="fr-FR" w:eastAsia="en-US"/>
        </w:rPr>
        <w:t>6</w:t>
      </w:r>
    </w:p>
    <w:p w:rsidR="00E600D3" w:rsidRPr="00DB7876" w:rsidRDefault="00D8093F" w:rsidP="00D8093F">
      <w:pPr>
        <w:jc w:val="center"/>
        <w:rPr>
          <w:i/>
          <w:lang w:val="fr-FR" w:eastAsia="en-US"/>
        </w:rPr>
      </w:pPr>
      <w:r w:rsidRPr="00DB7876">
        <w:rPr>
          <w:i/>
          <w:iCs/>
          <w:lang w:val="fr-FR" w:eastAsia="en-US"/>
        </w:rPr>
        <w:t>Irrégularités dans les demandes d</w:t>
      </w:r>
      <w:r w:rsidR="00852AB9" w:rsidRPr="00DB7876">
        <w:rPr>
          <w:i/>
          <w:iCs/>
          <w:lang w:val="fr-FR" w:eastAsia="en-US"/>
        </w:rPr>
        <w:t>’</w:t>
      </w:r>
      <w:r w:rsidRPr="00DB7876">
        <w:rPr>
          <w:i/>
          <w:iCs/>
          <w:lang w:val="fr-FR" w:eastAsia="en-US"/>
        </w:rPr>
        <w:t xml:space="preserve">inscription en vertu de la </w:t>
      </w:r>
      <w:r w:rsidR="00852AB9" w:rsidRPr="00DB7876">
        <w:rPr>
          <w:i/>
          <w:iCs/>
          <w:lang w:val="fr-FR" w:eastAsia="en-US"/>
        </w:rPr>
        <w:t>règle 2</w:t>
      </w:r>
      <w:r w:rsidRPr="00DB7876">
        <w:rPr>
          <w:i/>
          <w:iCs/>
          <w:lang w:val="fr-FR" w:eastAsia="en-US"/>
        </w:rPr>
        <w:t>5</w:t>
      </w:r>
    </w:p>
    <w:p w:rsidR="00E600D3" w:rsidRPr="00DB7876" w:rsidRDefault="00E600D3" w:rsidP="00E600D3">
      <w:pPr>
        <w:jc w:val="both"/>
        <w:rPr>
          <w:lang w:val="fr-FR" w:eastAsia="en-US"/>
        </w:rPr>
      </w:pPr>
    </w:p>
    <w:p w:rsidR="00E600D3" w:rsidRPr="00DB7876" w:rsidRDefault="00E600D3" w:rsidP="00D8093F">
      <w:pPr>
        <w:jc w:val="both"/>
        <w:rPr>
          <w:lang w:val="fr-FR" w:eastAsia="en-US"/>
        </w:rPr>
      </w:pPr>
      <w:r w:rsidRPr="00DB7876">
        <w:rPr>
          <w:lang w:val="fr-FR" w:eastAsia="en-US"/>
        </w:rPr>
        <w:tab/>
        <w:t>1)</w:t>
      </w:r>
      <w:r w:rsidRPr="00DB7876">
        <w:rPr>
          <w:lang w:val="fr-FR" w:eastAsia="en-US"/>
        </w:rPr>
        <w:tab/>
      </w:r>
      <w:r w:rsidRPr="00DB7876">
        <w:rPr>
          <w:i/>
          <w:lang w:val="fr-FR" w:eastAsia="en-US"/>
        </w:rPr>
        <w:t>[</w:t>
      </w:r>
      <w:r w:rsidR="00D8093F" w:rsidRPr="00DB7876">
        <w:rPr>
          <w:i/>
          <w:iCs/>
          <w:lang w:val="fr-FR" w:eastAsia="en-US"/>
        </w:rPr>
        <w:t>Demande irrégulière</w:t>
      </w:r>
      <w:r w:rsidRPr="00DB7876">
        <w:rPr>
          <w:i/>
          <w:lang w:val="fr-FR" w:eastAsia="en-US"/>
        </w:rPr>
        <w:t>]</w:t>
      </w:r>
      <w:r w:rsidRPr="00DB7876">
        <w:rPr>
          <w:lang w:val="fr-FR" w:eastAsia="en-US"/>
        </w:rPr>
        <w:t>  </w:t>
      </w:r>
      <w:r w:rsidR="00D8093F" w:rsidRPr="00DB7876">
        <w:rPr>
          <w:lang w:val="fr-FR" w:eastAsia="en-US"/>
        </w:rPr>
        <w:t>Lorsqu</w:t>
      </w:r>
      <w:r w:rsidR="00852AB9" w:rsidRPr="00DB7876">
        <w:rPr>
          <w:lang w:val="fr-FR" w:eastAsia="en-US"/>
        </w:rPr>
        <w:t>’</w:t>
      </w:r>
      <w:r w:rsidR="00D8093F" w:rsidRPr="00DB7876">
        <w:rPr>
          <w:lang w:val="fr-FR" w:eastAsia="en-US"/>
        </w:rPr>
        <w:t xml:space="preserve">une demande en vertu de la </w:t>
      </w:r>
      <w:r w:rsidR="00852AB9" w:rsidRPr="00DB7876">
        <w:rPr>
          <w:lang w:val="fr-FR" w:eastAsia="en-US"/>
        </w:rPr>
        <w:t>règle 2</w:t>
      </w:r>
      <w:r w:rsidR="00D8093F" w:rsidRPr="00DB7876">
        <w:rPr>
          <w:lang w:val="fr-FR" w:eastAsia="en-US"/>
        </w:rPr>
        <w:t>5.1)a) ne remplit pas les conditions requises, et sous réserve de l</w:t>
      </w:r>
      <w:r w:rsidR="00852AB9" w:rsidRPr="00DB7876">
        <w:rPr>
          <w:lang w:val="fr-FR" w:eastAsia="en-US"/>
        </w:rPr>
        <w:t>’alinéa 3</w:t>
      </w:r>
      <w:r w:rsidR="00D8093F" w:rsidRPr="00DB7876">
        <w:rPr>
          <w:lang w:val="fr-FR" w:eastAsia="en-US"/>
        </w:rPr>
        <w:t>), le Bureau international notifie ce fait au titulaire et, si la demande a été présentée par un Office, à cet Offi</w:t>
      </w:r>
      <w:r w:rsidR="00DB7876" w:rsidRPr="00DB7876">
        <w:rPr>
          <w:lang w:val="fr-FR" w:eastAsia="en-US"/>
        </w:rPr>
        <w:t>ce.  Au</w:t>
      </w:r>
      <w:r w:rsidR="00D8093F" w:rsidRPr="00DB7876">
        <w:rPr>
          <w:lang w:val="fr-FR" w:eastAsia="en-US"/>
        </w:rPr>
        <w:t>x fins de la présente règle, lorsque la demande porte sur l</w:t>
      </w:r>
      <w:r w:rsidR="00852AB9" w:rsidRPr="00DB7876">
        <w:rPr>
          <w:lang w:val="fr-FR" w:eastAsia="en-US"/>
        </w:rPr>
        <w:t>’</w:t>
      </w:r>
      <w:r w:rsidR="00D8093F" w:rsidRPr="00DB7876">
        <w:rPr>
          <w:lang w:val="fr-FR" w:eastAsia="en-US"/>
        </w:rPr>
        <w:t>inscription d</w:t>
      </w:r>
      <w:r w:rsidR="00852AB9" w:rsidRPr="00DB7876">
        <w:rPr>
          <w:lang w:val="fr-FR" w:eastAsia="en-US"/>
        </w:rPr>
        <w:t>’</w:t>
      </w:r>
      <w:r w:rsidR="00D8093F" w:rsidRPr="00DB7876">
        <w:rPr>
          <w:lang w:val="fr-FR" w:eastAsia="en-US"/>
        </w:rPr>
        <w:t>une limitation, le Bureau international examine uniquement si les numéros des classes indiqués dans la limitation figurent dans l</w:t>
      </w:r>
      <w:r w:rsidR="00852AB9" w:rsidRPr="00DB7876">
        <w:rPr>
          <w:lang w:val="fr-FR" w:eastAsia="en-US"/>
        </w:rPr>
        <w:t>’</w:t>
      </w:r>
      <w:r w:rsidR="00D8093F" w:rsidRPr="00DB7876">
        <w:rPr>
          <w:lang w:val="fr-FR" w:eastAsia="en-US"/>
        </w:rPr>
        <w:t>enregistrement international concerné</w:t>
      </w:r>
      <w:r w:rsidRPr="00DB7876">
        <w:rPr>
          <w:lang w:val="fr-FR" w:eastAsia="en-US"/>
        </w:rPr>
        <w:t>.</w:t>
      </w:r>
    </w:p>
    <w:p w:rsidR="00E600D3" w:rsidRPr="00DB7876" w:rsidRDefault="00E600D3" w:rsidP="00E600D3">
      <w:pPr>
        <w:jc w:val="both"/>
        <w:rPr>
          <w:lang w:val="fr-FR" w:eastAsia="en-US"/>
        </w:rPr>
      </w:pPr>
    </w:p>
    <w:p w:rsidR="00852AB9" w:rsidRPr="00DB7876" w:rsidRDefault="00E600D3" w:rsidP="00D8093F">
      <w:pPr>
        <w:jc w:val="both"/>
        <w:rPr>
          <w:lang w:val="fr-FR" w:eastAsia="en-US"/>
        </w:rPr>
      </w:pPr>
      <w:r w:rsidRPr="00DB7876">
        <w:rPr>
          <w:lang w:val="fr-FR" w:eastAsia="en-US"/>
        </w:rPr>
        <w:tab/>
        <w:t>2)</w:t>
      </w:r>
      <w:r w:rsidRPr="00DB7876">
        <w:rPr>
          <w:lang w:val="fr-FR" w:eastAsia="en-US"/>
        </w:rPr>
        <w:tab/>
      </w:r>
      <w:r w:rsidRPr="00DB7876">
        <w:rPr>
          <w:i/>
          <w:lang w:val="fr-FR" w:eastAsia="en-US"/>
        </w:rPr>
        <w:t>[</w:t>
      </w:r>
      <w:r w:rsidR="00D8093F" w:rsidRPr="00DB7876">
        <w:rPr>
          <w:i/>
          <w:iCs/>
          <w:lang w:val="fr-FR" w:eastAsia="en-US"/>
        </w:rPr>
        <w:t>Délai pour corriger l</w:t>
      </w:r>
      <w:r w:rsidR="00852AB9" w:rsidRPr="00DB7876">
        <w:rPr>
          <w:i/>
          <w:iCs/>
          <w:lang w:val="fr-FR" w:eastAsia="en-US"/>
        </w:rPr>
        <w:t>’</w:t>
      </w:r>
      <w:r w:rsidR="00D8093F" w:rsidRPr="00DB7876">
        <w:rPr>
          <w:i/>
          <w:iCs/>
          <w:lang w:val="fr-FR" w:eastAsia="en-US"/>
        </w:rPr>
        <w:t>irrégularité</w:t>
      </w:r>
      <w:r w:rsidRPr="00DB7876">
        <w:rPr>
          <w:i/>
          <w:lang w:val="fr-FR" w:eastAsia="en-US"/>
        </w:rPr>
        <w:t>]</w:t>
      </w:r>
      <w:r w:rsidRPr="00DB7876">
        <w:rPr>
          <w:lang w:val="fr-FR" w:eastAsia="en-US"/>
        </w:rPr>
        <w:t>  </w:t>
      </w:r>
      <w:r w:rsidR="00D8093F" w:rsidRPr="00DB7876">
        <w:rPr>
          <w:lang w:val="fr-FR" w:eastAsia="en-US"/>
        </w:rPr>
        <w:t>L</w:t>
      </w:r>
      <w:r w:rsidR="00852AB9" w:rsidRPr="00DB7876">
        <w:rPr>
          <w:lang w:val="fr-FR" w:eastAsia="en-US"/>
        </w:rPr>
        <w:t>’</w:t>
      </w:r>
      <w:r w:rsidR="00D8093F" w:rsidRPr="00DB7876">
        <w:rPr>
          <w:lang w:val="fr-FR" w:eastAsia="en-US"/>
        </w:rPr>
        <w:t>irrégularité peut être corrigée dans un délai de trois</w:t>
      </w:r>
      <w:r w:rsidR="0067045F" w:rsidRPr="00DB7876">
        <w:rPr>
          <w:lang w:val="fr-FR" w:eastAsia="en-US"/>
        </w:rPr>
        <w:t> </w:t>
      </w:r>
      <w:r w:rsidR="00D8093F" w:rsidRPr="00DB7876">
        <w:rPr>
          <w:lang w:val="fr-FR" w:eastAsia="en-US"/>
        </w:rPr>
        <w:t>mois à compter de la date de la notification de l</w:t>
      </w:r>
      <w:r w:rsidR="00852AB9" w:rsidRPr="00DB7876">
        <w:rPr>
          <w:lang w:val="fr-FR" w:eastAsia="en-US"/>
        </w:rPr>
        <w:t>’</w:t>
      </w:r>
      <w:r w:rsidR="00D8093F" w:rsidRPr="00DB7876">
        <w:rPr>
          <w:lang w:val="fr-FR" w:eastAsia="en-US"/>
        </w:rPr>
        <w:t>irrégularité par le Bureau internation</w:t>
      </w:r>
      <w:r w:rsidR="00DB7876" w:rsidRPr="00DB7876">
        <w:rPr>
          <w:lang w:val="fr-FR" w:eastAsia="en-US"/>
        </w:rPr>
        <w:t>al.  Si</w:t>
      </w:r>
      <w:r w:rsidR="00D8093F" w:rsidRPr="00DB7876">
        <w:rPr>
          <w:lang w:val="fr-FR" w:eastAsia="en-US"/>
        </w:rPr>
        <w:t xml:space="preserve"> l</w:t>
      </w:r>
      <w:r w:rsidR="00852AB9" w:rsidRPr="00DB7876">
        <w:rPr>
          <w:lang w:val="fr-FR" w:eastAsia="en-US"/>
        </w:rPr>
        <w:t>’</w:t>
      </w:r>
      <w:r w:rsidR="00D8093F" w:rsidRPr="00DB7876">
        <w:rPr>
          <w:lang w:val="fr-FR" w:eastAsia="en-US"/>
        </w:rPr>
        <w:t>irrégularité n</w:t>
      </w:r>
      <w:r w:rsidR="00852AB9" w:rsidRPr="00DB7876">
        <w:rPr>
          <w:lang w:val="fr-FR" w:eastAsia="en-US"/>
        </w:rPr>
        <w:t>’</w:t>
      </w:r>
      <w:r w:rsidR="00D8093F" w:rsidRPr="00DB7876">
        <w:rPr>
          <w:lang w:val="fr-FR" w:eastAsia="en-US"/>
        </w:rPr>
        <w:t>est pas corrigée dans un délai de trois</w:t>
      </w:r>
      <w:r w:rsidR="0067045F" w:rsidRPr="00DB7876">
        <w:rPr>
          <w:lang w:val="fr-FR" w:eastAsia="en-US"/>
        </w:rPr>
        <w:t> </w:t>
      </w:r>
      <w:r w:rsidR="00D8093F" w:rsidRPr="00DB7876">
        <w:rPr>
          <w:lang w:val="fr-FR" w:eastAsia="en-US"/>
        </w:rPr>
        <w:t>mois à compter de la date de la notification de l</w:t>
      </w:r>
      <w:r w:rsidR="00852AB9" w:rsidRPr="00DB7876">
        <w:rPr>
          <w:lang w:val="fr-FR" w:eastAsia="en-US"/>
        </w:rPr>
        <w:t>’</w:t>
      </w:r>
      <w:r w:rsidR="00D8093F" w:rsidRPr="00DB7876">
        <w:rPr>
          <w:lang w:val="fr-FR" w:eastAsia="en-US"/>
        </w:rPr>
        <w:t xml:space="preserve">irrégularité par le Bureau international, la demande est réputée abandonnée, et le Bureau international notifie ce fait en même temps au titulaire ainsi que, si la demande en vertu de la </w:t>
      </w:r>
      <w:r w:rsidR="00852AB9" w:rsidRPr="00DB7876">
        <w:rPr>
          <w:lang w:val="fr-FR" w:eastAsia="en-US"/>
        </w:rPr>
        <w:t>règle 2</w:t>
      </w:r>
      <w:r w:rsidR="00D8093F" w:rsidRPr="00DB7876">
        <w:rPr>
          <w:lang w:val="fr-FR" w:eastAsia="en-US"/>
        </w:rPr>
        <w:t>5.1)a) a été présentée par un Office, à cet Office, et il rembourse toutes les taxes payées à l</w:t>
      </w:r>
      <w:r w:rsidR="00852AB9" w:rsidRPr="00DB7876">
        <w:rPr>
          <w:lang w:val="fr-FR" w:eastAsia="en-US"/>
        </w:rPr>
        <w:t>’</w:t>
      </w:r>
      <w:r w:rsidR="00D8093F" w:rsidRPr="00DB7876">
        <w:rPr>
          <w:lang w:val="fr-FR" w:eastAsia="en-US"/>
        </w:rPr>
        <w:t>auteur du paiement de ces taxes, après déduction d</w:t>
      </w:r>
      <w:r w:rsidR="00852AB9" w:rsidRPr="00DB7876">
        <w:rPr>
          <w:lang w:val="fr-FR" w:eastAsia="en-US"/>
        </w:rPr>
        <w:t>’</w:t>
      </w:r>
      <w:r w:rsidR="00D8093F" w:rsidRPr="00DB7876">
        <w:rPr>
          <w:lang w:val="fr-FR" w:eastAsia="en-US"/>
        </w:rPr>
        <w:t xml:space="preserve">un montant correspondant à la moitié des taxes pertinentes visées au </w:t>
      </w:r>
      <w:r w:rsidR="00852AB9" w:rsidRPr="00DB7876">
        <w:rPr>
          <w:lang w:val="fr-FR" w:eastAsia="en-US"/>
        </w:rPr>
        <w:t>point 7</w:t>
      </w:r>
      <w:r w:rsidR="00D8093F" w:rsidRPr="00DB7876">
        <w:rPr>
          <w:lang w:val="fr-FR" w:eastAsia="en-US"/>
        </w:rPr>
        <w:t xml:space="preserve"> du barème des émoluments et taxes</w:t>
      </w:r>
      <w:r w:rsidRPr="00DB7876">
        <w:rPr>
          <w:lang w:val="fr-FR" w:eastAsia="en-US"/>
        </w:rPr>
        <w:t>.</w:t>
      </w:r>
    </w:p>
    <w:p w:rsidR="00E600D3" w:rsidRPr="00DB7876" w:rsidRDefault="00E600D3" w:rsidP="00E600D3">
      <w:pPr>
        <w:jc w:val="both"/>
        <w:rPr>
          <w:lang w:val="fr-FR" w:eastAsia="en-US"/>
        </w:rPr>
      </w:pPr>
    </w:p>
    <w:p w:rsidR="00E600D3" w:rsidRPr="00DB7876" w:rsidRDefault="00E600D3" w:rsidP="00E600D3">
      <w:pPr>
        <w:pStyle w:val="Endofdocument-Annex"/>
        <w:ind w:left="0"/>
        <w:rPr>
          <w:lang w:val="fr-FR" w:eastAsia="en-US"/>
        </w:rPr>
      </w:pPr>
      <w:r w:rsidRPr="00DB7876">
        <w:rPr>
          <w:lang w:val="fr-FR" w:eastAsia="en-US"/>
        </w:rPr>
        <w:tab/>
        <w:t>[…]</w:t>
      </w:r>
    </w:p>
    <w:p w:rsidR="00E600D3" w:rsidRPr="00DB7876" w:rsidRDefault="00E600D3" w:rsidP="00E600D3">
      <w:pPr>
        <w:pStyle w:val="Endofdocument-Annex"/>
        <w:ind w:left="0"/>
        <w:rPr>
          <w:lang w:val="fr-FR" w:eastAsia="en-US"/>
        </w:rPr>
      </w:pPr>
      <w:r w:rsidRPr="00DB7876">
        <w:rPr>
          <w:lang w:val="fr-FR" w:eastAsia="en-US"/>
        </w:rPr>
        <w:br w:type="page"/>
      </w:r>
    </w:p>
    <w:p w:rsidR="00E600D3" w:rsidRPr="00DB7876" w:rsidRDefault="00852AB9" w:rsidP="00E600D3">
      <w:pPr>
        <w:jc w:val="center"/>
        <w:rPr>
          <w:i/>
          <w:lang w:val="fr-FR" w:eastAsia="en-US"/>
        </w:rPr>
      </w:pPr>
      <w:r w:rsidRPr="00DB7876">
        <w:rPr>
          <w:i/>
          <w:lang w:val="fr-FR" w:eastAsia="en-US"/>
        </w:rPr>
        <w:t>Règle 2</w:t>
      </w:r>
      <w:r w:rsidR="00E600D3" w:rsidRPr="00DB7876">
        <w:rPr>
          <w:i/>
          <w:lang w:val="fr-FR" w:eastAsia="en-US"/>
        </w:rPr>
        <w:t>7</w:t>
      </w:r>
    </w:p>
    <w:p w:rsidR="00E600D3" w:rsidRPr="00DB7876" w:rsidRDefault="00D365EF" w:rsidP="00D365EF">
      <w:pPr>
        <w:jc w:val="center"/>
        <w:rPr>
          <w:i/>
          <w:lang w:val="fr-FR" w:eastAsia="en-US"/>
        </w:rPr>
      </w:pPr>
      <w:r w:rsidRPr="00DB7876">
        <w:rPr>
          <w:i/>
          <w:iCs/>
          <w:lang w:val="fr-FR" w:eastAsia="en-US"/>
        </w:rPr>
        <w:t xml:space="preserve">Inscription et notification relatives à la </w:t>
      </w:r>
      <w:r w:rsidR="00852AB9" w:rsidRPr="00DB7876">
        <w:rPr>
          <w:i/>
          <w:iCs/>
          <w:lang w:val="fr-FR" w:eastAsia="en-US"/>
        </w:rPr>
        <w:t>règle 2</w:t>
      </w:r>
      <w:r w:rsidRPr="00DB7876">
        <w:rPr>
          <w:i/>
          <w:iCs/>
          <w:lang w:val="fr-FR" w:eastAsia="en-US"/>
        </w:rPr>
        <w:t xml:space="preserve">5; </w:t>
      </w:r>
      <w:r w:rsidR="0067045F" w:rsidRPr="00DB7876">
        <w:rPr>
          <w:i/>
          <w:iCs/>
          <w:lang w:val="fr-FR" w:eastAsia="en-US"/>
        </w:rPr>
        <w:t xml:space="preserve"> </w:t>
      </w:r>
      <w:r w:rsidRPr="00DB7876">
        <w:rPr>
          <w:i/>
          <w:iCs/>
          <w:lang w:val="fr-FR" w:eastAsia="en-US"/>
        </w:rPr>
        <w:t>fusion d</w:t>
      </w:r>
      <w:r w:rsidR="00852AB9" w:rsidRPr="00DB7876">
        <w:rPr>
          <w:i/>
          <w:iCs/>
          <w:lang w:val="fr-FR" w:eastAsia="en-US"/>
        </w:rPr>
        <w:t>’</w:t>
      </w:r>
      <w:r w:rsidRPr="00DB7876">
        <w:rPr>
          <w:i/>
          <w:iCs/>
          <w:lang w:val="fr-FR" w:eastAsia="en-US"/>
        </w:rPr>
        <w:t>enregistrements internationaux;  déclaration selon laquelle un changement de titulaire ou une limitation est sans effet</w:t>
      </w:r>
    </w:p>
    <w:p w:rsidR="00E600D3" w:rsidRPr="00DB7876" w:rsidRDefault="00E600D3" w:rsidP="00E600D3">
      <w:pPr>
        <w:jc w:val="both"/>
        <w:rPr>
          <w:lang w:val="fr-FR" w:eastAsia="en-US"/>
        </w:rPr>
      </w:pPr>
    </w:p>
    <w:p w:rsidR="00852AB9" w:rsidRPr="00DB7876" w:rsidRDefault="00E600D3" w:rsidP="00D365EF">
      <w:pPr>
        <w:jc w:val="both"/>
        <w:rPr>
          <w:lang w:val="fr-FR" w:eastAsia="en-US"/>
        </w:rPr>
      </w:pPr>
      <w:r w:rsidRPr="00DB7876">
        <w:rPr>
          <w:lang w:val="fr-FR" w:eastAsia="en-US"/>
        </w:rPr>
        <w:tab/>
        <w:t>1)</w:t>
      </w:r>
      <w:r w:rsidRPr="00DB7876">
        <w:rPr>
          <w:lang w:val="fr-FR" w:eastAsia="en-US"/>
        </w:rPr>
        <w:tab/>
      </w:r>
      <w:r w:rsidRPr="00DB7876">
        <w:rPr>
          <w:i/>
          <w:lang w:val="fr-FR" w:eastAsia="en-US"/>
        </w:rPr>
        <w:t>[</w:t>
      </w:r>
      <w:r w:rsidR="00D365EF" w:rsidRPr="00DB7876">
        <w:rPr>
          <w:i/>
          <w:iCs/>
          <w:lang w:val="fr-FR" w:eastAsia="en-US"/>
        </w:rPr>
        <w:t>Inscription et notification</w:t>
      </w:r>
      <w:r w:rsidRPr="00DB7876">
        <w:rPr>
          <w:i/>
          <w:lang w:val="fr-FR" w:eastAsia="en-US"/>
        </w:rPr>
        <w:t>]</w:t>
      </w:r>
      <w:r w:rsidRPr="00DB7876">
        <w:rPr>
          <w:lang w:val="fr-FR" w:eastAsia="en-US"/>
        </w:rPr>
        <w:t>  a)  </w:t>
      </w:r>
      <w:r w:rsidR="00D365EF" w:rsidRPr="00DB7876">
        <w:rPr>
          <w:lang w:val="fr-FR" w:eastAsia="en-US"/>
        </w:rPr>
        <w:t xml:space="preserve">Pour autant que la demande visée à la </w:t>
      </w:r>
      <w:r w:rsidR="00852AB9" w:rsidRPr="00DB7876">
        <w:rPr>
          <w:lang w:val="fr-FR" w:eastAsia="en-US"/>
        </w:rPr>
        <w:t>règle 2</w:t>
      </w:r>
      <w:r w:rsidR="00D365EF" w:rsidRPr="00DB7876">
        <w:rPr>
          <w:lang w:val="fr-FR" w:eastAsia="en-US"/>
        </w:rPr>
        <w:t>5.1)a) soit régulière, le Bureau international inscrit à bref délai les indications, la modification ou la radiation au registre international et notifie ce fait aux Offices des parties contractantes désignées dans lesquelles l</w:t>
      </w:r>
      <w:r w:rsidR="00852AB9" w:rsidRPr="00DB7876">
        <w:rPr>
          <w:lang w:val="fr-FR" w:eastAsia="en-US"/>
        </w:rPr>
        <w:t>’</w:t>
      </w:r>
      <w:r w:rsidR="00D365EF" w:rsidRPr="00DB7876">
        <w:rPr>
          <w:lang w:val="fr-FR" w:eastAsia="en-US"/>
        </w:rPr>
        <w:t>inscription a effet ou, dans le cas d</w:t>
      </w:r>
      <w:r w:rsidR="00852AB9" w:rsidRPr="00DB7876">
        <w:rPr>
          <w:lang w:val="fr-FR" w:eastAsia="en-US"/>
        </w:rPr>
        <w:t>’</w:t>
      </w:r>
      <w:r w:rsidR="00D365EF" w:rsidRPr="00DB7876">
        <w:rPr>
          <w:lang w:val="fr-FR" w:eastAsia="en-US"/>
        </w:rPr>
        <w:t>une radiation, aux Offices de toutes les parties contractantes désignées, et il en informe en même temps le titulaire et, si la demande a été présentée par un Office, cet Offi</w:t>
      </w:r>
      <w:r w:rsidR="00DB7876" w:rsidRPr="00DB7876">
        <w:rPr>
          <w:lang w:val="fr-FR" w:eastAsia="en-US"/>
        </w:rPr>
        <w:t>ce.  Lo</w:t>
      </w:r>
      <w:r w:rsidR="00D365EF" w:rsidRPr="00DB7876">
        <w:rPr>
          <w:lang w:val="fr-FR" w:eastAsia="en-US"/>
        </w:rPr>
        <w:t>rsque l</w:t>
      </w:r>
      <w:r w:rsidR="00852AB9" w:rsidRPr="00DB7876">
        <w:rPr>
          <w:lang w:val="fr-FR" w:eastAsia="en-US"/>
        </w:rPr>
        <w:t>’</w:t>
      </w:r>
      <w:r w:rsidR="00D365EF" w:rsidRPr="00DB7876">
        <w:rPr>
          <w:lang w:val="fr-FR" w:eastAsia="en-US"/>
        </w:rPr>
        <w:t>inscription a trait à un changement de titulaire, le Bureau international doit aussi informer l</w:t>
      </w:r>
      <w:r w:rsidR="00852AB9" w:rsidRPr="00DB7876">
        <w:rPr>
          <w:lang w:val="fr-FR" w:eastAsia="en-US"/>
        </w:rPr>
        <w:t>’</w:t>
      </w:r>
      <w:r w:rsidR="00D365EF" w:rsidRPr="00DB7876">
        <w:rPr>
          <w:lang w:val="fr-FR" w:eastAsia="en-US"/>
        </w:rPr>
        <w:t>ancien titulaire, s</w:t>
      </w:r>
      <w:r w:rsidR="00852AB9" w:rsidRPr="00DB7876">
        <w:rPr>
          <w:lang w:val="fr-FR" w:eastAsia="en-US"/>
        </w:rPr>
        <w:t>’</w:t>
      </w:r>
      <w:r w:rsidR="00D365EF" w:rsidRPr="00DB7876">
        <w:rPr>
          <w:lang w:val="fr-FR" w:eastAsia="en-US"/>
        </w:rPr>
        <w:t>il s</w:t>
      </w:r>
      <w:r w:rsidR="00852AB9" w:rsidRPr="00DB7876">
        <w:rPr>
          <w:lang w:val="fr-FR" w:eastAsia="en-US"/>
        </w:rPr>
        <w:t>’</w:t>
      </w:r>
      <w:r w:rsidR="00D365EF" w:rsidRPr="00DB7876">
        <w:rPr>
          <w:lang w:val="fr-FR" w:eastAsia="en-US"/>
        </w:rPr>
        <w:t>agit d</w:t>
      </w:r>
      <w:r w:rsidR="00852AB9" w:rsidRPr="00DB7876">
        <w:rPr>
          <w:lang w:val="fr-FR" w:eastAsia="en-US"/>
        </w:rPr>
        <w:t>’</w:t>
      </w:r>
      <w:r w:rsidR="00D365EF" w:rsidRPr="00DB7876">
        <w:rPr>
          <w:lang w:val="fr-FR" w:eastAsia="en-US"/>
        </w:rPr>
        <w:t>un changement global de titulaire, et le titulaire de la partie de l</w:t>
      </w:r>
      <w:r w:rsidR="00852AB9" w:rsidRPr="00DB7876">
        <w:rPr>
          <w:lang w:val="fr-FR" w:eastAsia="en-US"/>
        </w:rPr>
        <w:t>’</w:t>
      </w:r>
      <w:r w:rsidR="00D365EF" w:rsidRPr="00DB7876">
        <w:rPr>
          <w:lang w:val="fr-FR" w:eastAsia="en-US"/>
        </w:rPr>
        <w:t>enregistrement international qui a été cédée ou transmise, s</w:t>
      </w:r>
      <w:r w:rsidR="00852AB9" w:rsidRPr="00DB7876">
        <w:rPr>
          <w:lang w:val="fr-FR" w:eastAsia="en-US"/>
        </w:rPr>
        <w:t>’</w:t>
      </w:r>
      <w:r w:rsidR="00D365EF" w:rsidRPr="00DB7876">
        <w:rPr>
          <w:lang w:val="fr-FR" w:eastAsia="en-US"/>
        </w:rPr>
        <w:t>il s</w:t>
      </w:r>
      <w:r w:rsidR="00852AB9" w:rsidRPr="00DB7876">
        <w:rPr>
          <w:lang w:val="fr-FR" w:eastAsia="en-US"/>
        </w:rPr>
        <w:t>’</w:t>
      </w:r>
      <w:r w:rsidR="00D365EF" w:rsidRPr="00DB7876">
        <w:rPr>
          <w:lang w:val="fr-FR" w:eastAsia="en-US"/>
        </w:rPr>
        <w:t>agit d</w:t>
      </w:r>
      <w:r w:rsidR="00852AB9" w:rsidRPr="00DB7876">
        <w:rPr>
          <w:lang w:val="fr-FR" w:eastAsia="en-US"/>
        </w:rPr>
        <w:t>’</w:t>
      </w:r>
      <w:r w:rsidR="00D365EF" w:rsidRPr="00DB7876">
        <w:rPr>
          <w:lang w:val="fr-FR" w:eastAsia="en-US"/>
        </w:rPr>
        <w:t>un changement partiel de titulai</w:t>
      </w:r>
      <w:r w:rsidR="00DB7876" w:rsidRPr="00DB7876">
        <w:rPr>
          <w:lang w:val="fr-FR" w:eastAsia="en-US"/>
        </w:rPr>
        <w:t>re.  Lo</w:t>
      </w:r>
      <w:r w:rsidR="00D365EF" w:rsidRPr="00DB7876">
        <w:rPr>
          <w:lang w:val="fr-FR" w:eastAsia="en-US"/>
        </w:rPr>
        <w:t>rsque la demande d</w:t>
      </w:r>
      <w:r w:rsidR="00852AB9" w:rsidRPr="00DB7876">
        <w:rPr>
          <w:lang w:val="fr-FR" w:eastAsia="en-US"/>
        </w:rPr>
        <w:t>’</w:t>
      </w:r>
      <w:r w:rsidR="00D365EF" w:rsidRPr="00DB7876">
        <w:rPr>
          <w:lang w:val="fr-FR" w:eastAsia="en-US"/>
        </w:rPr>
        <w:t>inscription d</w:t>
      </w:r>
      <w:r w:rsidR="00852AB9" w:rsidRPr="00DB7876">
        <w:rPr>
          <w:lang w:val="fr-FR" w:eastAsia="en-US"/>
        </w:rPr>
        <w:t>’</w:t>
      </w:r>
      <w:r w:rsidR="00D365EF" w:rsidRPr="00DB7876">
        <w:rPr>
          <w:lang w:val="fr-FR" w:eastAsia="en-US"/>
        </w:rPr>
        <w:t>une radiation a été présentée par le titulaire ou par un Office autre que l</w:t>
      </w:r>
      <w:r w:rsidR="00852AB9" w:rsidRPr="00DB7876">
        <w:rPr>
          <w:lang w:val="fr-FR" w:eastAsia="en-US"/>
        </w:rPr>
        <w:t>’</w:t>
      </w:r>
      <w:r w:rsidR="00D365EF" w:rsidRPr="00DB7876">
        <w:rPr>
          <w:lang w:val="fr-FR" w:eastAsia="en-US"/>
        </w:rPr>
        <w:t>Office d</w:t>
      </w:r>
      <w:r w:rsidR="00852AB9" w:rsidRPr="00DB7876">
        <w:rPr>
          <w:lang w:val="fr-FR" w:eastAsia="en-US"/>
        </w:rPr>
        <w:t>’</w:t>
      </w:r>
      <w:r w:rsidR="00D365EF" w:rsidRPr="00DB7876">
        <w:rPr>
          <w:lang w:val="fr-FR" w:eastAsia="en-US"/>
        </w:rPr>
        <w:t>origine au cours de la période de cinq</w:t>
      </w:r>
      <w:r w:rsidR="0067045F" w:rsidRPr="00DB7876">
        <w:rPr>
          <w:lang w:val="fr-FR" w:eastAsia="en-US"/>
        </w:rPr>
        <w:t> </w:t>
      </w:r>
      <w:r w:rsidR="00D365EF" w:rsidRPr="00DB7876">
        <w:rPr>
          <w:lang w:val="fr-FR" w:eastAsia="en-US"/>
        </w:rPr>
        <w:t>ans visée à l</w:t>
      </w:r>
      <w:r w:rsidR="00852AB9" w:rsidRPr="00DB7876">
        <w:rPr>
          <w:lang w:val="fr-FR" w:eastAsia="en-US"/>
        </w:rPr>
        <w:t>’article 6</w:t>
      </w:r>
      <w:r w:rsidR="00D365EF" w:rsidRPr="00DB7876">
        <w:rPr>
          <w:lang w:val="fr-FR" w:eastAsia="en-US"/>
        </w:rPr>
        <w:t>.3) de l</w:t>
      </w:r>
      <w:r w:rsidR="00852AB9" w:rsidRPr="00DB7876">
        <w:rPr>
          <w:lang w:val="fr-FR" w:eastAsia="en-US"/>
        </w:rPr>
        <w:t>’</w:t>
      </w:r>
      <w:r w:rsidR="00D365EF" w:rsidRPr="00DB7876">
        <w:rPr>
          <w:lang w:val="fr-FR" w:eastAsia="en-US"/>
        </w:rPr>
        <w:t>Arrangement et à l</w:t>
      </w:r>
      <w:r w:rsidR="00852AB9" w:rsidRPr="00DB7876">
        <w:rPr>
          <w:lang w:val="fr-FR" w:eastAsia="en-US"/>
        </w:rPr>
        <w:t>’article 6</w:t>
      </w:r>
      <w:r w:rsidR="00D365EF" w:rsidRPr="00DB7876">
        <w:rPr>
          <w:lang w:val="fr-FR" w:eastAsia="en-US"/>
        </w:rPr>
        <w:t>.3) du Protocole, le Bureau international informe aussi l</w:t>
      </w:r>
      <w:r w:rsidR="00852AB9" w:rsidRPr="00DB7876">
        <w:rPr>
          <w:lang w:val="fr-FR" w:eastAsia="en-US"/>
        </w:rPr>
        <w:t>’</w:t>
      </w:r>
      <w:r w:rsidR="00D365EF" w:rsidRPr="00DB7876">
        <w:rPr>
          <w:lang w:val="fr-FR" w:eastAsia="en-US"/>
        </w:rPr>
        <w:t>Office d</w:t>
      </w:r>
      <w:r w:rsidR="00852AB9" w:rsidRPr="00DB7876">
        <w:rPr>
          <w:lang w:val="fr-FR" w:eastAsia="en-US"/>
        </w:rPr>
        <w:t>’</w:t>
      </w:r>
      <w:r w:rsidR="00D365EF" w:rsidRPr="00DB7876">
        <w:rPr>
          <w:lang w:val="fr-FR" w:eastAsia="en-US"/>
        </w:rPr>
        <w:t>origine</w:t>
      </w:r>
      <w:r w:rsidRPr="00DB7876">
        <w:rPr>
          <w:lang w:val="fr-FR" w:eastAsia="en-US"/>
        </w:rPr>
        <w:t>.</w:t>
      </w:r>
    </w:p>
    <w:p w:rsidR="00852AB9" w:rsidRPr="00DB7876" w:rsidRDefault="00E600D3" w:rsidP="00D365EF">
      <w:pPr>
        <w:jc w:val="both"/>
        <w:rPr>
          <w:lang w:val="fr-FR" w:eastAsia="en-US"/>
        </w:rPr>
      </w:pPr>
      <w:r w:rsidRPr="00DB7876">
        <w:rPr>
          <w:lang w:val="fr-FR" w:eastAsia="en-US"/>
        </w:rPr>
        <w:tab/>
      </w:r>
      <w:r w:rsidRPr="00DB7876">
        <w:rPr>
          <w:lang w:val="fr-FR" w:eastAsia="en-US"/>
        </w:rPr>
        <w:tab/>
      </w:r>
      <w:proofErr w:type="gramStart"/>
      <w:r w:rsidRPr="00DB7876">
        <w:rPr>
          <w:lang w:val="fr-FR" w:eastAsia="en-US"/>
        </w:rPr>
        <w:t>b</w:t>
      </w:r>
      <w:proofErr w:type="gramEnd"/>
      <w:r w:rsidRPr="00DB7876">
        <w:rPr>
          <w:lang w:val="fr-FR" w:eastAsia="en-US"/>
        </w:rPr>
        <w:t>)</w:t>
      </w:r>
      <w:r w:rsidRPr="00DB7876">
        <w:rPr>
          <w:lang w:val="fr-FR" w:eastAsia="en-US"/>
        </w:rPr>
        <w:tab/>
      </w:r>
      <w:r w:rsidR="00D365EF" w:rsidRPr="00DB7876">
        <w:rPr>
          <w:lang w:val="fr-FR" w:eastAsia="en-US"/>
        </w:rPr>
        <w:t>Les indications, la modification ou la radiation sont inscrites à la date de réception par le Bureau international de la demande d</w:t>
      </w:r>
      <w:r w:rsidR="00852AB9" w:rsidRPr="00DB7876">
        <w:rPr>
          <w:lang w:val="fr-FR" w:eastAsia="en-US"/>
        </w:rPr>
        <w:t>’</w:t>
      </w:r>
      <w:r w:rsidR="00D365EF" w:rsidRPr="00DB7876">
        <w:rPr>
          <w:lang w:val="fr-FR" w:eastAsia="en-US"/>
        </w:rPr>
        <w:t xml:space="preserve">inscription remplissant les conditions requises; </w:t>
      </w:r>
      <w:r w:rsidR="0067045F" w:rsidRPr="00DB7876">
        <w:rPr>
          <w:lang w:val="fr-FR" w:eastAsia="en-US"/>
        </w:rPr>
        <w:t xml:space="preserve"> </w:t>
      </w:r>
      <w:r w:rsidR="00D365EF" w:rsidRPr="00DB7876">
        <w:rPr>
          <w:lang w:val="fr-FR" w:eastAsia="en-US"/>
        </w:rPr>
        <w:t>toutefois, lorsqu</w:t>
      </w:r>
      <w:r w:rsidR="00852AB9" w:rsidRPr="00DB7876">
        <w:rPr>
          <w:lang w:val="fr-FR" w:eastAsia="en-US"/>
        </w:rPr>
        <w:t>’</w:t>
      </w:r>
      <w:r w:rsidR="00D365EF" w:rsidRPr="00DB7876">
        <w:rPr>
          <w:lang w:val="fr-FR" w:eastAsia="en-US"/>
        </w:rPr>
        <w:t xml:space="preserve">une requête a été présentée conformément à la </w:t>
      </w:r>
      <w:r w:rsidR="00852AB9" w:rsidRPr="00DB7876">
        <w:rPr>
          <w:lang w:val="fr-FR" w:eastAsia="en-US"/>
        </w:rPr>
        <w:t>règle 2</w:t>
      </w:r>
      <w:r w:rsidR="00D365EF" w:rsidRPr="00DB7876">
        <w:rPr>
          <w:lang w:val="fr-FR" w:eastAsia="en-US"/>
        </w:rPr>
        <w:t>5.2)c), elle peut être inscrite à une date ultérieure</w:t>
      </w:r>
      <w:r w:rsidRPr="00DB7876">
        <w:rPr>
          <w:lang w:val="fr-FR" w:eastAsia="en-US"/>
        </w:rPr>
        <w:t>.</w:t>
      </w:r>
    </w:p>
    <w:p w:rsidR="00E600D3" w:rsidRPr="00DB7876" w:rsidRDefault="00E600D3" w:rsidP="00E600D3">
      <w:pPr>
        <w:jc w:val="both"/>
        <w:rPr>
          <w:lang w:val="fr-FR" w:eastAsia="en-US"/>
        </w:rPr>
      </w:pPr>
    </w:p>
    <w:p w:rsidR="00E600D3" w:rsidRPr="00DB7876" w:rsidRDefault="00E600D3" w:rsidP="00E600D3">
      <w:pPr>
        <w:jc w:val="both"/>
        <w:rPr>
          <w:b/>
          <w:lang w:val="fr-FR" w:eastAsia="en-US"/>
        </w:rPr>
      </w:pPr>
    </w:p>
    <w:p w:rsidR="00E600D3" w:rsidRPr="00DB7876" w:rsidRDefault="00E600D3" w:rsidP="00E600D3">
      <w:pPr>
        <w:jc w:val="both"/>
        <w:rPr>
          <w:b/>
          <w:lang w:val="fr-FR" w:eastAsia="en-US"/>
        </w:rPr>
      </w:pPr>
    </w:p>
    <w:p w:rsidR="00D365EF" w:rsidRPr="00DB7876" w:rsidRDefault="00852AB9" w:rsidP="00D365EF">
      <w:pPr>
        <w:jc w:val="center"/>
        <w:rPr>
          <w:b/>
          <w:lang w:val="fr-FR" w:eastAsia="en-US"/>
        </w:rPr>
      </w:pPr>
      <w:r w:rsidRPr="00DB7876">
        <w:rPr>
          <w:b/>
          <w:lang w:val="fr-FR" w:eastAsia="en-US"/>
        </w:rPr>
        <w:t>Chapitre 7</w:t>
      </w:r>
    </w:p>
    <w:p w:rsidR="00E600D3" w:rsidRPr="00DB7876" w:rsidRDefault="00D365EF" w:rsidP="00D365EF">
      <w:pPr>
        <w:jc w:val="center"/>
        <w:rPr>
          <w:b/>
          <w:lang w:val="fr-FR" w:eastAsia="en-US"/>
        </w:rPr>
      </w:pPr>
      <w:r w:rsidRPr="00DB7876">
        <w:rPr>
          <w:b/>
          <w:lang w:val="fr-FR" w:eastAsia="en-US"/>
        </w:rPr>
        <w:t>Gazette et base de données</w:t>
      </w:r>
    </w:p>
    <w:p w:rsidR="00E600D3" w:rsidRPr="00DB7876" w:rsidRDefault="00E600D3" w:rsidP="00E600D3">
      <w:pPr>
        <w:jc w:val="center"/>
        <w:rPr>
          <w:b/>
          <w:lang w:val="fr-FR" w:eastAsia="en-US"/>
        </w:rPr>
      </w:pPr>
    </w:p>
    <w:p w:rsidR="00E600D3" w:rsidRPr="00DB7876" w:rsidRDefault="00852AB9" w:rsidP="00E600D3">
      <w:pPr>
        <w:jc w:val="center"/>
        <w:rPr>
          <w:i/>
          <w:lang w:val="fr-FR" w:eastAsia="en-US"/>
        </w:rPr>
      </w:pPr>
      <w:r w:rsidRPr="00DB7876">
        <w:rPr>
          <w:i/>
          <w:lang w:val="fr-FR" w:eastAsia="en-US"/>
        </w:rPr>
        <w:t>Règle 3</w:t>
      </w:r>
      <w:r w:rsidR="00E600D3" w:rsidRPr="00DB7876">
        <w:rPr>
          <w:i/>
          <w:lang w:val="fr-FR" w:eastAsia="en-US"/>
        </w:rPr>
        <w:t>2</w:t>
      </w:r>
    </w:p>
    <w:p w:rsidR="00E600D3" w:rsidRPr="00DB7876" w:rsidRDefault="00E600D3" w:rsidP="00E600D3">
      <w:pPr>
        <w:jc w:val="center"/>
        <w:rPr>
          <w:i/>
          <w:lang w:val="fr-FR" w:eastAsia="en-US"/>
        </w:rPr>
      </w:pPr>
      <w:r w:rsidRPr="00DB7876">
        <w:rPr>
          <w:i/>
          <w:lang w:val="fr-FR" w:eastAsia="en-US"/>
        </w:rPr>
        <w:t>Gazette</w:t>
      </w:r>
    </w:p>
    <w:p w:rsidR="00E600D3" w:rsidRPr="00DB7876" w:rsidRDefault="00E600D3" w:rsidP="00E600D3">
      <w:pPr>
        <w:jc w:val="center"/>
        <w:rPr>
          <w:lang w:val="fr-FR" w:eastAsia="en-US"/>
        </w:rPr>
      </w:pPr>
    </w:p>
    <w:p w:rsidR="00E600D3" w:rsidRPr="00DB7876" w:rsidRDefault="00E600D3" w:rsidP="00E600D3">
      <w:pPr>
        <w:jc w:val="center"/>
        <w:rPr>
          <w:lang w:val="fr-FR" w:eastAsia="en-US"/>
        </w:rPr>
      </w:pPr>
    </w:p>
    <w:p w:rsidR="00E600D3" w:rsidRPr="00DB7876" w:rsidRDefault="00E600D3" w:rsidP="00D365EF">
      <w:pPr>
        <w:jc w:val="both"/>
        <w:rPr>
          <w:lang w:val="fr-FR" w:eastAsia="en-US"/>
        </w:rPr>
      </w:pPr>
      <w:r w:rsidRPr="00DB7876">
        <w:rPr>
          <w:lang w:val="fr-FR" w:eastAsia="en-US"/>
        </w:rPr>
        <w:tab/>
        <w:t>1)</w:t>
      </w:r>
      <w:r w:rsidRPr="00DB7876">
        <w:rPr>
          <w:lang w:val="fr-FR" w:eastAsia="en-US"/>
        </w:rPr>
        <w:tab/>
      </w:r>
      <w:r w:rsidRPr="00DB7876">
        <w:rPr>
          <w:i/>
          <w:lang w:val="fr-FR" w:eastAsia="en-US"/>
        </w:rPr>
        <w:t>[</w:t>
      </w:r>
      <w:r w:rsidR="00D365EF" w:rsidRPr="00DB7876">
        <w:rPr>
          <w:i/>
          <w:lang w:val="fr-FR" w:eastAsia="en-US"/>
        </w:rPr>
        <w:t>Informations concernant les enregistrements internationaux</w:t>
      </w:r>
      <w:r w:rsidRPr="00DB7876">
        <w:rPr>
          <w:i/>
          <w:lang w:val="fr-FR" w:eastAsia="en-US"/>
        </w:rPr>
        <w:t>]</w:t>
      </w:r>
      <w:r w:rsidRPr="00DB7876">
        <w:rPr>
          <w:lang w:val="fr-FR" w:eastAsia="en-US"/>
        </w:rPr>
        <w:t>  a)  </w:t>
      </w:r>
      <w:r w:rsidR="00D365EF" w:rsidRPr="00DB7876">
        <w:rPr>
          <w:lang w:val="fr-FR" w:eastAsia="en-US"/>
        </w:rPr>
        <w:t>Le Bureau international publie dans la gazette les données pertinentes relatives</w:t>
      </w:r>
    </w:p>
    <w:p w:rsidR="00E600D3" w:rsidRPr="00DB7876" w:rsidRDefault="00E600D3" w:rsidP="00E600D3">
      <w:pPr>
        <w:jc w:val="both"/>
        <w:rPr>
          <w:lang w:val="fr-FR" w:eastAsia="en-US"/>
        </w:rPr>
      </w:pPr>
      <w:r w:rsidRPr="00DB7876">
        <w:rPr>
          <w:lang w:val="fr-FR" w:eastAsia="en-US"/>
        </w:rPr>
        <w:tab/>
      </w:r>
      <w:r w:rsidRPr="00DB7876">
        <w:rPr>
          <w:lang w:val="fr-FR" w:eastAsia="en-US"/>
        </w:rPr>
        <w:tab/>
      </w:r>
      <w:r w:rsidRPr="00DB7876">
        <w:rPr>
          <w:lang w:val="fr-FR" w:eastAsia="en-US"/>
        </w:rPr>
        <w:tab/>
        <w:t>[…]</w:t>
      </w:r>
    </w:p>
    <w:p w:rsidR="00E600D3" w:rsidRPr="00DB7876" w:rsidRDefault="00E600D3" w:rsidP="00E600D3">
      <w:pPr>
        <w:jc w:val="both"/>
        <w:rPr>
          <w:lang w:val="fr-FR" w:eastAsia="en-US"/>
        </w:rPr>
      </w:pPr>
      <w:r w:rsidRPr="00DB7876">
        <w:rPr>
          <w:lang w:val="fr-FR" w:eastAsia="en-US"/>
        </w:rPr>
        <w:tab/>
      </w:r>
      <w:r w:rsidRPr="00DB7876">
        <w:rPr>
          <w:lang w:val="fr-FR" w:eastAsia="en-US"/>
        </w:rPr>
        <w:tab/>
      </w:r>
      <w:r w:rsidRPr="00DB7876">
        <w:rPr>
          <w:lang w:val="fr-FR" w:eastAsia="en-US"/>
        </w:rPr>
        <w:tab/>
        <w:t>vii)</w:t>
      </w:r>
      <w:r w:rsidRPr="00DB7876">
        <w:rPr>
          <w:lang w:val="fr-FR" w:eastAsia="en-US"/>
        </w:rPr>
        <w:tab/>
      </w:r>
      <w:r w:rsidR="00D365EF" w:rsidRPr="00DB7876">
        <w:rPr>
          <w:lang w:val="fr-FR" w:eastAsia="en-US"/>
        </w:rPr>
        <w:t xml:space="preserve">aux inscriptions effectuées en vertu de la </w:t>
      </w:r>
      <w:r w:rsidR="00852AB9" w:rsidRPr="00DB7876">
        <w:rPr>
          <w:lang w:val="fr-FR" w:eastAsia="en-US"/>
        </w:rPr>
        <w:t>règle 2</w:t>
      </w:r>
      <w:r w:rsidR="00D365EF" w:rsidRPr="00DB7876">
        <w:rPr>
          <w:lang w:val="fr-FR" w:eastAsia="en-US"/>
        </w:rPr>
        <w:t>7</w:t>
      </w:r>
      <w:r w:rsidRPr="00DB7876">
        <w:rPr>
          <w:lang w:val="fr-FR" w:eastAsia="en-US"/>
        </w:rPr>
        <w:t>;</w:t>
      </w:r>
    </w:p>
    <w:p w:rsidR="00E600D3" w:rsidRPr="00DB7876" w:rsidRDefault="00E600D3" w:rsidP="00E600D3">
      <w:pPr>
        <w:jc w:val="both"/>
        <w:rPr>
          <w:lang w:val="fr-FR" w:eastAsia="en-US"/>
        </w:rPr>
      </w:pPr>
      <w:r w:rsidRPr="00DB7876">
        <w:rPr>
          <w:lang w:val="fr-FR" w:eastAsia="en-US"/>
        </w:rPr>
        <w:tab/>
      </w:r>
      <w:r w:rsidRPr="00DB7876">
        <w:rPr>
          <w:lang w:val="fr-FR" w:eastAsia="en-US"/>
        </w:rPr>
        <w:tab/>
      </w:r>
      <w:r w:rsidRPr="00DB7876">
        <w:rPr>
          <w:lang w:val="fr-FR" w:eastAsia="en-US"/>
        </w:rPr>
        <w:tab/>
        <w:t>[…]</w:t>
      </w:r>
    </w:p>
    <w:p w:rsidR="00E600D3" w:rsidRPr="00DB7876" w:rsidRDefault="00E600D3" w:rsidP="00E600D3">
      <w:pPr>
        <w:jc w:val="both"/>
        <w:rPr>
          <w:lang w:val="fr-FR" w:eastAsia="en-US"/>
        </w:rPr>
      </w:pPr>
    </w:p>
    <w:p w:rsidR="00E600D3" w:rsidRPr="00DB7876" w:rsidRDefault="00E600D3" w:rsidP="00E600D3">
      <w:pPr>
        <w:jc w:val="both"/>
        <w:rPr>
          <w:lang w:val="fr-FR" w:eastAsia="en-US"/>
        </w:rPr>
      </w:pPr>
      <w:r w:rsidRPr="00DB7876">
        <w:rPr>
          <w:lang w:val="fr-FR" w:eastAsia="en-US"/>
        </w:rPr>
        <w:tab/>
        <w:t>[…]</w:t>
      </w:r>
    </w:p>
    <w:p w:rsidR="00E600D3" w:rsidRPr="00DB7876" w:rsidRDefault="00E600D3" w:rsidP="00E600D3">
      <w:pPr>
        <w:jc w:val="both"/>
        <w:rPr>
          <w:lang w:val="fr-FR" w:eastAsia="en-US"/>
        </w:rPr>
      </w:pPr>
    </w:p>
    <w:p w:rsidR="00E600D3" w:rsidRPr="00DB7876" w:rsidRDefault="00E600D3" w:rsidP="00E600D3">
      <w:pPr>
        <w:jc w:val="both"/>
        <w:rPr>
          <w:lang w:val="fr-FR" w:eastAsia="en-US"/>
        </w:rPr>
      </w:pPr>
    </w:p>
    <w:p w:rsidR="00E600D3" w:rsidRPr="00DB7876" w:rsidRDefault="00E600D3" w:rsidP="00E600D3">
      <w:pPr>
        <w:pStyle w:val="Endofdocument-Annex"/>
        <w:ind w:left="0"/>
        <w:rPr>
          <w:lang w:val="fr-FR"/>
        </w:rPr>
      </w:pPr>
      <w:r w:rsidRPr="00DB7876">
        <w:rPr>
          <w:lang w:val="fr-FR"/>
        </w:rPr>
        <w:br w:type="page"/>
      </w:r>
    </w:p>
    <w:p w:rsidR="00E600D3" w:rsidRPr="00DB7876" w:rsidRDefault="00D365EF" w:rsidP="00E600D3">
      <w:pPr>
        <w:keepNext/>
        <w:spacing w:before="240" w:after="60"/>
        <w:outlineLvl w:val="0"/>
        <w:rPr>
          <w:b/>
          <w:bCs/>
          <w:caps/>
          <w:kern w:val="32"/>
          <w:szCs w:val="32"/>
          <w:lang w:val="fr-FR"/>
        </w:rPr>
      </w:pPr>
      <w:r w:rsidRPr="00DB7876">
        <w:rPr>
          <w:b/>
          <w:bCs/>
          <w:caps/>
          <w:kern w:val="32"/>
          <w:szCs w:val="32"/>
          <w:lang w:val="fr-FR"/>
        </w:rPr>
        <w:t>MODIFICATIONs apportées aU BARÈME DES ÉMOLUMENTS ET TAXES</w:t>
      </w:r>
    </w:p>
    <w:p w:rsidR="00E600D3" w:rsidRPr="00DB7876" w:rsidRDefault="00E600D3" w:rsidP="00E600D3">
      <w:pPr>
        <w:rPr>
          <w:lang w:val="fr-FR"/>
        </w:rPr>
      </w:pPr>
    </w:p>
    <w:p w:rsidR="00E600D3" w:rsidRPr="00DB7876" w:rsidRDefault="00D365EF" w:rsidP="00E600D3">
      <w:pPr>
        <w:rPr>
          <w:lang w:val="fr-FR"/>
        </w:rPr>
      </w:pPr>
      <w:r w:rsidRPr="00DB7876">
        <w:rPr>
          <w:szCs w:val="24"/>
          <w:lang w:val="fr-FR"/>
        </w:rPr>
        <w:t>Adoptées le 1</w:t>
      </w:r>
      <w:r w:rsidR="00852AB9" w:rsidRPr="00DB7876">
        <w:rPr>
          <w:szCs w:val="24"/>
          <w:lang w:val="fr-FR"/>
        </w:rPr>
        <w:t>1 octobre 20</w:t>
      </w:r>
      <w:r w:rsidRPr="00DB7876">
        <w:rPr>
          <w:szCs w:val="24"/>
          <w:lang w:val="fr-FR"/>
        </w:rPr>
        <w:t>16 par l</w:t>
      </w:r>
      <w:r w:rsidR="00852AB9" w:rsidRPr="00DB7876">
        <w:rPr>
          <w:szCs w:val="24"/>
          <w:lang w:val="fr-FR"/>
        </w:rPr>
        <w:t>’</w:t>
      </w:r>
      <w:r w:rsidRPr="00DB7876">
        <w:rPr>
          <w:szCs w:val="24"/>
          <w:lang w:val="fr-FR"/>
        </w:rPr>
        <w:t>Assemblée de l</w:t>
      </w:r>
      <w:r w:rsidR="00852AB9" w:rsidRPr="00DB7876">
        <w:rPr>
          <w:szCs w:val="24"/>
          <w:lang w:val="fr-FR"/>
        </w:rPr>
        <w:t>’</w:t>
      </w:r>
      <w:r w:rsidRPr="00DB7876">
        <w:rPr>
          <w:szCs w:val="24"/>
          <w:lang w:val="fr-FR"/>
        </w:rPr>
        <w:t>Union particulière pour l</w:t>
      </w:r>
      <w:r w:rsidR="00852AB9" w:rsidRPr="00DB7876">
        <w:rPr>
          <w:szCs w:val="24"/>
          <w:lang w:val="fr-FR"/>
        </w:rPr>
        <w:t>’</w:t>
      </w:r>
      <w:r w:rsidRPr="00DB7876">
        <w:rPr>
          <w:szCs w:val="24"/>
          <w:lang w:val="fr-FR"/>
        </w:rPr>
        <w:t>enregistrement international des marques (Union de Madrid) à sa cinquant</w:t>
      </w:r>
      <w:r w:rsidR="00852AB9" w:rsidRPr="00DB7876">
        <w:rPr>
          <w:szCs w:val="24"/>
          <w:lang w:val="fr-FR"/>
        </w:rPr>
        <w:t>ième session</w:t>
      </w:r>
      <w:r w:rsidRPr="00DB7876">
        <w:rPr>
          <w:szCs w:val="24"/>
          <w:lang w:val="fr-FR"/>
        </w:rPr>
        <w:t xml:space="preserve"> (29</w:t>
      </w:r>
      <w:r w:rsidRPr="00283D7A">
        <w:rPr>
          <w:szCs w:val="24"/>
          <w:vertAlign w:val="superscript"/>
          <w:lang w:val="fr-FR"/>
        </w:rPr>
        <w:t>e</w:t>
      </w:r>
      <w:r w:rsidR="00283D7A">
        <w:rPr>
          <w:szCs w:val="24"/>
          <w:lang w:val="fr-FR"/>
        </w:rPr>
        <w:t> </w:t>
      </w:r>
      <w:r w:rsidRPr="00DB7876">
        <w:rPr>
          <w:szCs w:val="24"/>
          <w:lang w:val="fr-FR"/>
        </w:rPr>
        <w:t>session extraordinaire) tenue du 3 au 1</w:t>
      </w:r>
      <w:r w:rsidR="00852AB9" w:rsidRPr="00DB7876">
        <w:rPr>
          <w:szCs w:val="24"/>
          <w:lang w:val="fr-FR"/>
        </w:rPr>
        <w:t>1 octobre 20</w:t>
      </w:r>
      <w:r w:rsidRPr="00DB7876">
        <w:rPr>
          <w:szCs w:val="24"/>
          <w:lang w:val="fr-FR"/>
        </w:rPr>
        <w:t>16, avec effet au</w:t>
      </w:r>
      <w:r w:rsidR="00852AB9" w:rsidRPr="00DB7876">
        <w:rPr>
          <w:szCs w:val="24"/>
          <w:lang w:val="fr-FR"/>
        </w:rPr>
        <w:t xml:space="preserve"> 1</w:t>
      </w:r>
      <w:r w:rsidR="00852AB9" w:rsidRPr="00DB7876">
        <w:rPr>
          <w:szCs w:val="24"/>
          <w:vertAlign w:val="superscript"/>
          <w:lang w:val="fr-FR"/>
        </w:rPr>
        <w:t>er</w:t>
      </w:r>
      <w:r w:rsidR="00852AB9" w:rsidRPr="00DB7876">
        <w:rPr>
          <w:szCs w:val="24"/>
          <w:lang w:val="fr-FR"/>
        </w:rPr>
        <w:t> juillet 20</w:t>
      </w:r>
      <w:r w:rsidRPr="00DB7876">
        <w:rPr>
          <w:szCs w:val="24"/>
          <w:lang w:val="fr-FR"/>
        </w:rPr>
        <w:t>17</w:t>
      </w:r>
    </w:p>
    <w:p w:rsidR="00E600D3" w:rsidRPr="00DB7876" w:rsidRDefault="00E600D3" w:rsidP="00E600D3">
      <w:pPr>
        <w:rPr>
          <w:lang w:val="fr-FR"/>
        </w:rPr>
      </w:pPr>
    </w:p>
    <w:p w:rsidR="00E600D3" w:rsidRPr="00DB7876" w:rsidRDefault="00E600D3" w:rsidP="00E600D3">
      <w:pPr>
        <w:rPr>
          <w:lang w:val="fr-FR"/>
        </w:rPr>
      </w:pPr>
    </w:p>
    <w:p w:rsidR="00E600D3" w:rsidRPr="00DB7876" w:rsidRDefault="00D365EF" w:rsidP="00E600D3">
      <w:pPr>
        <w:jc w:val="center"/>
        <w:rPr>
          <w:bCs/>
          <w:lang w:val="fr-FR"/>
        </w:rPr>
      </w:pPr>
      <w:r w:rsidRPr="00DB7876">
        <w:rPr>
          <w:bCs/>
          <w:lang w:val="fr-FR"/>
        </w:rPr>
        <w:t>BARÈME DES ÉMOLUMENTS ET TAXES</w:t>
      </w:r>
    </w:p>
    <w:p w:rsidR="00E600D3" w:rsidRPr="00DB7876" w:rsidRDefault="00E600D3" w:rsidP="00E600D3">
      <w:pPr>
        <w:jc w:val="center"/>
        <w:rPr>
          <w:bCs/>
          <w:lang w:val="fr-FR"/>
        </w:rPr>
      </w:pPr>
    </w:p>
    <w:p w:rsidR="00E600D3" w:rsidRPr="00DB7876" w:rsidRDefault="00E600D3" w:rsidP="00E600D3">
      <w:pPr>
        <w:jc w:val="center"/>
        <w:rPr>
          <w:bCs/>
          <w:lang w:val="fr-FR"/>
        </w:rPr>
      </w:pPr>
      <w:r w:rsidRPr="00DB7876">
        <w:rPr>
          <w:bCs/>
          <w:lang w:val="fr-FR"/>
        </w:rPr>
        <w:t>(</w:t>
      </w:r>
      <w:proofErr w:type="gramStart"/>
      <w:r w:rsidR="00D365EF" w:rsidRPr="00DB7876">
        <w:rPr>
          <w:bCs/>
          <w:lang w:val="fr-FR"/>
        </w:rPr>
        <w:t>texte</w:t>
      </w:r>
      <w:proofErr w:type="gramEnd"/>
      <w:r w:rsidR="00D365EF" w:rsidRPr="00DB7876">
        <w:rPr>
          <w:bCs/>
          <w:lang w:val="fr-FR"/>
        </w:rPr>
        <w:t xml:space="preserve"> en vigueur le</w:t>
      </w:r>
      <w:r w:rsidR="003041A1">
        <w:rPr>
          <w:bCs/>
          <w:lang w:val="fr-FR"/>
        </w:rPr>
        <w:t xml:space="preserve"> 1</w:t>
      </w:r>
      <w:r w:rsidR="00D365EF" w:rsidRPr="00DB7876">
        <w:rPr>
          <w:bCs/>
          <w:vertAlign w:val="superscript"/>
          <w:lang w:val="fr-FR"/>
        </w:rPr>
        <w:t>er</w:t>
      </w:r>
      <w:r w:rsidR="00D365EF" w:rsidRPr="00DB7876">
        <w:rPr>
          <w:bCs/>
          <w:lang w:val="fr-FR"/>
        </w:rPr>
        <w:t> juillet 2017</w:t>
      </w:r>
      <w:r w:rsidRPr="00DB7876">
        <w:rPr>
          <w:bCs/>
          <w:lang w:val="fr-FR"/>
        </w:rPr>
        <w:t>)</w:t>
      </w:r>
    </w:p>
    <w:p w:rsidR="00E600D3" w:rsidRPr="00DB7876" w:rsidRDefault="00E600D3" w:rsidP="00E600D3">
      <w:pPr>
        <w:jc w:val="center"/>
        <w:rPr>
          <w:lang w:val="fr-FR"/>
        </w:rPr>
      </w:pPr>
    </w:p>
    <w:p w:rsidR="00E600D3" w:rsidRPr="00DB7876" w:rsidRDefault="00D365EF" w:rsidP="00E600D3">
      <w:pPr>
        <w:ind w:left="7921"/>
        <w:jc w:val="center"/>
        <w:rPr>
          <w:i/>
          <w:lang w:val="fr-FR"/>
        </w:rPr>
      </w:pPr>
      <w:proofErr w:type="gramStart"/>
      <w:r w:rsidRPr="00DB7876">
        <w:rPr>
          <w:i/>
          <w:lang w:val="fr-FR"/>
        </w:rPr>
        <w:t>francs</w:t>
      </w:r>
      <w:proofErr w:type="gramEnd"/>
      <w:r w:rsidRPr="00DB7876">
        <w:rPr>
          <w:i/>
          <w:lang w:val="fr-FR"/>
        </w:rPr>
        <w:t xml:space="preserve"> suisses</w:t>
      </w:r>
    </w:p>
    <w:p w:rsidR="00E600D3" w:rsidRPr="00DB7876" w:rsidRDefault="00E600D3" w:rsidP="00E600D3">
      <w:pPr>
        <w:jc w:val="center"/>
        <w:rPr>
          <w:lang w:val="fr-FR"/>
        </w:rPr>
      </w:pPr>
    </w:p>
    <w:p w:rsidR="00E600D3" w:rsidRPr="00DB7876" w:rsidRDefault="00E600D3" w:rsidP="00E600D3">
      <w:pPr>
        <w:rPr>
          <w:lang w:val="fr-FR"/>
        </w:rPr>
      </w:pPr>
      <w:r w:rsidRPr="00DB7876">
        <w:rPr>
          <w:lang w:val="fr-FR"/>
        </w:rPr>
        <w:t>[…]</w:t>
      </w:r>
    </w:p>
    <w:p w:rsidR="00E600D3" w:rsidRPr="00DB7876" w:rsidRDefault="00E600D3" w:rsidP="00E600D3">
      <w:pPr>
        <w:rPr>
          <w:lang w:val="fr-FR"/>
        </w:rPr>
      </w:pPr>
    </w:p>
    <w:p w:rsidR="00E600D3" w:rsidRPr="00DB7876" w:rsidRDefault="00E600D3" w:rsidP="00E600D3">
      <w:pPr>
        <w:rPr>
          <w:lang w:val="fr-FR"/>
        </w:rPr>
      </w:pPr>
    </w:p>
    <w:p w:rsidR="00E600D3" w:rsidRPr="00DB7876" w:rsidRDefault="00E600D3" w:rsidP="00E600D3">
      <w:pPr>
        <w:rPr>
          <w:lang w:val="fr-FR"/>
        </w:rPr>
      </w:pPr>
      <w:r w:rsidRPr="00DB7876">
        <w:rPr>
          <w:lang w:val="fr-FR"/>
        </w:rPr>
        <w:t>7.</w:t>
      </w:r>
      <w:r w:rsidRPr="00DB7876">
        <w:rPr>
          <w:lang w:val="fr-FR"/>
        </w:rPr>
        <w:tab/>
      </w:r>
      <w:r w:rsidR="00D365EF" w:rsidRPr="00DB7876">
        <w:rPr>
          <w:i/>
          <w:iCs/>
          <w:lang w:val="fr-FR"/>
        </w:rPr>
        <w:t>Inscriptions diverses</w:t>
      </w:r>
    </w:p>
    <w:p w:rsidR="00E600D3" w:rsidRPr="00DB7876" w:rsidRDefault="00E600D3" w:rsidP="00E600D3">
      <w:pPr>
        <w:rPr>
          <w:lang w:val="fr-FR"/>
        </w:rPr>
      </w:pPr>
    </w:p>
    <w:p w:rsidR="00E600D3" w:rsidRPr="00DB7876" w:rsidRDefault="00E600D3" w:rsidP="00E600D3">
      <w:pPr>
        <w:rPr>
          <w:lang w:val="fr-FR"/>
        </w:rPr>
      </w:pPr>
      <w:r w:rsidRPr="00DB7876">
        <w:rPr>
          <w:lang w:val="fr-FR"/>
        </w:rPr>
        <w:tab/>
        <w:t>[…]</w:t>
      </w:r>
    </w:p>
    <w:p w:rsidR="00E600D3" w:rsidRPr="00DB7876" w:rsidRDefault="00E600D3" w:rsidP="00E600D3">
      <w:pPr>
        <w:rPr>
          <w:lang w:val="fr-FR"/>
        </w:rPr>
      </w:pPr>
    </w:p>
    <w:p w:rsidR="00E600D3" w:rsidRPr="00DB7876" w:rsidRDefault="00E600D3" w:rsidP="00D365EF">
      <w:pPr>
        <w:tabs>
          <w:tab w:val="right" w:pos="8789"/>
        </w:tabs>
        <w:ind w:left="567" w:right="1984" w:hanging="567"/>
        <w:jc w:val="both"/>
        <w:rPr>
          <w:lang w:val="fr-FR"/>
        </w:rPr>
      </w:pPr>
      <w:r w:rsidRPr="00DB7876">
        <w:rPr>
          <w:lang w:val="fr-FR"/>
        </w:rPr>
        <w:t>7.4</w:t>
      </w:r>
      <w:r w:rsidRPr="00DB7876">
        <w:rPr>
          <w:lang w:val="fr-FR"/>
        </w:rPr>
        <w:tab/>
      </w:r>
      <w:r w:rsidR="00D365EF" w:rsidRPr="00DB7876">
        <w:rPr>
          <w:lang w:val="fr-FR"/>
        </w:rPr>
        <w:t>Modification du nom ou de l</w:t>
      </w:r>
      <w:r w:rsidR="00852AB9" w:rsidRPr="00DB7876">
        <w:rPr>
          <w:lang w:val="fr-FR"/>
        </w:rPr>
        <w:t>’</w:t>
      </w:r>
      <w:r w:rsidR="00D365EF" w:rsidRPr="00DB7876">
        <w:rPr>
          <w:lang w:val="fr-FR"/>
        </w:rPr>
        <w:t>adresse du titulaire ou, lorsque le titulaire est une personne morale, introduction ou modification des indications relatives à la forme juridique du titulaire ainsi qu</w:t>
      </w:r>
      <w:r w:rsidR="00852AB9" w:rsidRPr="00DB7876">
        <w:rPr>
          <w:lang w:val="fr-FR"/>
        </w:rPr>
        <w:t>’</w:t>
      </w:r>
      <w:r w:rsidR="00D365EF" w:rsidRPr="00DB7876">
        <w:rPr>
          <w:lang w:val="fr-FR"/>
        </w:rPr>
        <w:t>à l</w:t>
      </w:r>
      <w:r w:rsidR="00852AB9" w:rsidRPr="00DB7876">
        <w:rPr>
          <w:lang w:val="fr-FR"/>
        </w:rPr>
        <w:t>’</w:t>
      </w:r>
      <w:r w:rsidR="00D365EF" w:rsidRPr="00DB7876">
        <w:rPr>
          <w:lang w:val="fr-FR"/>
        </w:rPr>
        <w:t>État et, le cas échéant, à l</w:t>
      </w:r>
      <w:r w:rsidR="00852AB9" w:rsidRPr="00DB7876">
        <w:rPr>
          <w:lang w:val="fr-FR"/>
        </w:rPr>
        <w:t>’</w:t>
      </w:r>
      <w:r w:rsidR="00D365EF" w:rsidRPr="00DB7876">
        <w:rPr>
          <w:lang w:val="fr-FR"/>
        </w:rPr>
        <w:t>entité territoriale à l</w:t>
      </w:r>
      <w:r w:rsidR="00852AB9" w:rsidRPr="00DB7876">
        <w:rPr>
          <w:lang w:val="fr-FR"/>
        </w:rPr>
        <w:t>’</w:t>
      </w:r>
      <w:r w:rsidR="00D365EF" w:rsidRPr="00DB7876">
        <w:rPr>
          <w:lang w:val="fr-FR"/>
        </w:rPr>
        <w:t>intérieur de cet État selon la législation duquel ou desquels ladite personne morale a été constituée, concernant un ou plusieurs enregistrements internationaux pour lesquels la même inscription ou modification est demandée dans le même formulaire</w:t>
      </w:r>
      <w:r w:rsidRPr="00DB7876">
        <w:rPr>
          <w:lang w:val="fr-FR"/>
        </w:rPr>
        <w:tab/>
        <w:t>150</w:t>
      </w:r>
    </w:p>
    <w:p w:rsidR="00E600D3" w:rsidRPr="00DB7876" w:rsidRDefault="00E600D3" w:rsidP="00E600D3">
      <w:pPr>
        <w:rPr>
          <w:lang w:val="fr-FR" w:eastAsia="en-US"/>
        </w:rPr>
      </w:pPr>
    </w:p>
    <w:p w:rsidR="00E600D3" w:rsidRPr="00DB7876" w:rsidRDefault="00E600D3" w:rsidP="00E600D3">
      <w:pPr>
        <w:rPr>
          <w:lang w:val="fr-FR"/>
        </w:rPr>
      </w:pPr>
      <w:r w:rsidRPr="00DB7876">
        <w:rPr>
          <w:lang w:val="fr-FR"/>
        </w:rPr>
        <w:t>[…]</w:t>
      </w:r>
    </w:p>
    <w:p w:rsidR="00E600D3" w:rsidRPr="00DB7876" w:rsidRDefault="00E600D3" w:rsidP="00E600D3">
      <w:pPr>
        <w:rPr>
          <w:lang w:val="fr-FR" w:eastAsia="en-US"/>
        </w:rPr>
      </w:pPr>
    </w:p>
    <w:p w:rsidR="00E600D3" w:rsidRPr="00DB7876" w:rsidRDefault="00E600D3" w:rsidP="00E600D3">
      <w:pPr>
        <w:rPr>
          <w:lang w:val="fr-FR" w:eastAsia="en-US"/>
        </w:rPr>
      </w:pPr>
    </w:p>
    <w:p w:rsidR="00E600D3" w:rsidRPr="00DB7876" w:rsidRDefault="00E600D3" w:rsidP="00E600D3">
      <w:pPr>
        <w:pStyle w:val="Default"/>
        <w:rPr>
          <w:lang w:val="fr-FR"/>
        </w:rPr>
      </w:pPr>
    </w:p>
    <w:p w:rsidR="00163F61" w:rsidRPr="00DB7876" w:rsidRDefault="00E600D3" w:rsidP="00E600D3">
      <w:pPr>
        <w:pStyle w:val="Endofdocument-Annex"/>
        <w:ind w:left="5533"/>
        <w:rPr>
          <w:lang w:val="fr-FR"/>
        </w:rPr>
      </w:pPr>
      <w:r w:rsidRPr="00DB7876">
        <w:rPr>
          <w:lang w:val="fr-FR"/>
        </w:rPr>
        <w:t>[</w:t>
      </w:r>
      <w:r w:rsidR="00D365EF" w:rsidRPr="00DB7876">
        <w:rPr>
          <w:lang w:val="fr-FR"/>
        </w:rPr>
        <w:t>L</w:t>
      </w:r>
      <w:r w:rsidR="00852AB9" w:rsidRPr="00DB7876">
        <w:rPr>
          <w:lang w:val="fr-FR"/>
        </w:rPr>
        <w:t>’annexe I</w:t>
      </w:r>
      <w:r w:rsidRPr="00DB7876">
        <w:rPr>
          <w:lang w:val="fr-FR"/>
        </w:rPr>
        <w:t xml:space="preserve">I </w:t>
      </w:r>
      <w:r w:rsidR="00D365EF" w:rsidRPr="00DB7876">
        <w:rPr>
          <w:lang w:val="fr-FR"/>
        </w:rPr>
        <w:t>suit</w:t>
      </w:r>
      <w:r w:rsidRPr="00DB7876">
        <w:rPr>
          <w:lang w:val="fr-FR"/>
        </w:rPr>
        <w:t>]</w:t>
      </w:r>
    </w:p>
    <w:p w:rsidR="00E600D3" w:rsidRPr="00DB7876" w:rsidRDefault="00E600D3" w:rsidP="00E600D3">
      <w:pPr>
        <w:pStyle w:val="Endofdocument-Annex"/>
        <w:ind w:left="5533"/>
        <w:rPr>
          <w:lang w:val="fr-FR"/>
        </w:rPr>
      </w:pPr>
    </w:p>
    <w:p w:rsidR="00E600D3" w:rsidRPr="00DB7876" w:rsidRDefault="00E600D3" w:rsidP="00E600D3">
      <w:pPr>
        <w:pStyle w:val="Endofdocument-Annex"/>
        <w:ind w:left="5533"/>
        <w:rPr>
          <w:lang w:val="fr-FR"/>
        </w:rPr>
        <w:sectPr w:rsidR="00E600D3" w:rsidRPr="00DB7876" w:rsidSect="00D365EF">
          <w:headerReference w:type="default" r:id="rId12"/>
          <w:headerReference w:type="first" r:id="rId13"/>
          <w:endnotePr>
            <w:numFmt w:val="decimal"/>
          </w:endnotePr>
          <w:pgSz w:w="11907" w:h="16840" w:code="9"/>
          <w:pgMar w:top="567" w:right="1134" w:bottom="568" w:left="1418" w:header="510" w:footer="1021" w:gutter="0"/>
          <w:pgNumType w:start="2"/>
          <w:cols w:space="720"/>
          <w:titlePg/>
          <w:docGrid w:linePitch="299"/>
        </w:sectPr>
      </w:pPr>
    </w:p>
    <w:p w:rsidR="00EF2DB1" w:rsidRPr="00DB7876" w:rsidRDefault="00510379" w:rsidP="00611CBF">
      <w:pPr>
        <w:pStyle w:val="Endofdocument-Annex"/>
        <w:ind w:left="0"/>
        <w:jc w:val="center"/>
        <w:rPr>
          <w:lang w:val="fr-FR"/>
        </w:rPr>
      </w:pPr>
      <w:r>
        <w:rPr>
          <w:noProof/>
          <w:lang w:eastAsia="en-US"/>
        </w:rPr>
        <w:drawing>
          <wp:anchor distT="0" distB="0" distL="114300" distR="114300" simplePos="0" relativeHeight="251658240" behindDoc="0" locked="0" layoutInCell="1" allowOverlap="1">
            <wp:simplePos x="899160" y="647700"/>
            <wp:positionH relativeFrom="margin">
              <wp:align>center</wp:align>
            </wp:positionH>
            <wp:positionV relativeFrom="margin">
              <wp:align>center</wp:align>
            </wp:positionV>
            <wp:extent cx="6800215" cy="958977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00215" cy="9589770"/>
                    </a:xfrm>
                    <a:prstGeom prst="rect">
                      <a:avLst/>
                    </a:prstGeom>
                    <a:noFill/>
                    <a:ln>
                      <a:noFill/>
                    </a:ln>
                  </pic:spPr>
                </pic:pic>
              </a:graphicData>
            </a:graphic>
          </wp:anchor>
        </w:drawing>
      </w:r>
    </w:p>
    <w:p w:rsidR="00EF2DB1" w:rsidRPr="00DB7876" w:rsidRDefault="00EF2DB1" w:rsidP="00EF2DB1">
      <w:pPr>
        <w:pStyle w:val="Endofdocument-Annex"/>
        <w:ind w:left="0"/>
        <w:rPr>
          <w:lang w:val="fr-FR"/>
        </w:rPr>
        <w:sectPr w:rsidR="00EF2DB1" w:rsidRPr="00DB7876" w:rsidSect="00D365EF">
          <w:headerReference w:type="first" r:id="rId15"/>
          <w:endnotePr>
            <w:numFmt w:val="decimal"/>
          </w:endnotePr>
          <w:pgSz w:w="11907" w:h="16840" w:code="9"/>
          <w:pgMar w:top="567" w:right="1134" w:bottom="568" w:left="1418" w:header="510" w:footer="1021" w:gutter="0"/>
          <w:pgNumType w:start="2"/>
          <w:cols w:space="720"/>
          <w:titlePg/>
          <w:docGrid w:linePitch="299"/>
        </w:sectPr>
      </w:pPr>
    </w:p>
    <w:p w:rsidR="00EF2DB1" w:rsidRPr="00DB7876" w:rsidRDefault="00510379" w:rsidP="00EF2DB1">
      <w:pPr>
        <w:pStyle w:val="Endofdocument-Annex"/>
        <w:ind w:left="0"/>
        <w:rPr>
          <w:lang w:val="fr-FR"/>
        </w:rPr>
      </w:pPr>
      <w:r>
        <w:rPr>
          <w:noProof/>
          <w:lang w:eastAsia="en-US"/>
        </w:rPr>
        <w:drawing>
          <wp:anchor distT="0" distB="0" distL="114300" distR="114300" simplePos="0" relativeHeight="251659264" behindDoc="0" locked="0" layoutInCell="1" allowOverlap="1">
            <wp:simplePos x="899160" y="647700"/>
            <wp:positionH relativeFrom="margin">
              <wp:align>center</wp:align>
            </wp:positionH>
            <wp:positionV relativeFrom="margin">
              <wp:align>center</wp:align>
            </wp:positionV>
            <wp:extent cx="6800215" cy="958977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00215" cy="9589770"/>
                    </a:xfrm>
                    <a:prstGeom prst="rect">
                      <a:avLst/>
                    </a:prstGeom>
                    <a:noFill/>
                    <a:ln>
                      <a:noFill/>
                    </a:ln>
                  </pic:spPr>
                </pic:pic>
              </a:graphicData>
            </a:graphic>
          </wp:anchor>
        </w:drawing>
      </w:r>
    </w:p>
    <w:p w:rsidR="00EF2DB1" w:rsidRPr="00DB7876" w:rsidRDefault="00EF2DB1" w:rsidP="00EF2DB1">
      <w:pPr>
        <w:pStyle w:val="Endofdocument-Annex"/>
        <w:ind w:left="0"/>
        <w:rPr>
          <w:lang w:val="fr-FR"/>
        </w:rPr>
        <w:sectPr w:rsidR="00EF2DB1" w:rsidRPr="00DB7876" w:rsidSect="00D365EF">
          <w:headerReference w:type="first" r:id="rId17"/>
          <w:endnotePr>
            <w:numFmt w:val="decimal"/>
          </w:endnotePr>
          <w:pgSz w:w="11907" w:h="16840" w:code="9"/>
          <w:pgMar w:top="567" w:right="1134" w:bottom="568" w:left="1418" w:header="510" w:footer="1021" w:gutter="0"/>
          <w:pgNumType w:start="2"/>
          <w:cols w:space="720"/>
          <w:titlePg/>
          <w:docGrid w:linePitch="299"/>
        </w:sectPr>
      </w:pPr>
    </w:p>
    <w:p w:rsidR="00EF2DB1" w:rsidRPr="00DB7876" w:rsidRDefault="00510379" w:rsidP="00EF2DB1">
      <w:pPr>
        <w:pStyle w:val="Endofdocument-Annex"/>
        <w:ind w:left="0"/>
        <w:rPr>
          <w:lang w:val="fr-FR"/>
        </w:rPr>
      </w:pPr>
      <w:r>
        <w:rPr>
          <w:noProof/>
          <w:lang w:eastAsia="en-US"/>
        </w:rPr>
        <w:drawing>
          <wp:anchor distT="0" distB="0" distL="114300" distR="114300" simplePos="0" relativeHeight="251660288" behindDoc="0" locked="0" layoutInCell="1" allowOverlap="1">
            <wp:simplePos x="899160" y="647700"/>
            <wp:positionH relativeFrom="margin">
              <wp:align>center</wp:align>
            </wp:positionH>
            <wp:positionV relativeFrom="margin">
              <wp:align>center</wp:align>
            </wp:positionV>
            <wp:extent cx="6800400" cy="9543600"/>
            <wp:effectExtent l="0" t="0" r="635"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00400" cy="954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2DB1" w:rsidRPr="00DB7876" w:rsidRDefault="00EF2DB1" w:rsidP="00EF2DB1">
      <w:pPr>
        <w:pStyle w:val="Endofdocument-Annex"/>
        <w:ind w:left="0"/>
        <w:rPr>
          <w:lang w:val="fr-FR"/>
        </w:rPr>
        <w:sectPr w:rsidR="00EF2DB1" w:rsidRPr="00DB7876" w:rsidSect="00EF2DB1">
          <w:endnotePr>
            <w:numFmt w:val="decimal"/>
          </w:endnotePr>
          <w:pgSz w:w="11907" w:h="16840" w:code="9"/>
          <w:pgMar w:top="567" w:right="1134" w:bottom="568" w:left="1418" w:header="510" w:footer="1021" w:gutter="0"/>
          <w:cols w:space="720"/>
          <w:titlePg/>
          <w:docGrid w:linePitch="299"/>
        </w:sectPr>
      </w:pPr>
    </w:p>
    <w:p w:rsidR="00EF2DB1" w:rsidRPr="00DB7876" w:rsidRDefault="00510379" w:rsidP="00EF2DB1">
      <w:pPr>
        <w:pStyle w:val="Endofdocument-Annex"/>
        <w:ind w:left="0"/>
        <w:rPr>
          <w:lang w:val="fr-FR"/>
        </w:rPr>
      </w:pPr>
      <w:r>
        <w:rPr>
          <w:noProof/>
          <w:lang w:eastAsia="en-US"/>
        </w:rPr>
        <w:drawing>
          <wp:anchor distT="0" distB="0" distL="114300" distR="114300" simplePos="0" relativeHeight="251661312" behindDoc="0" locked="0" layoutInCell="1" allowOverlap="1">
            <wp:simplePos x="899160" y="647700"/>
            <wp:positionH relativeFrom="margin">
              <wp:align>center</wp:align>
            </wp:positionH>
            <wp:positionV relativeFrom="margin">
              <wp:align>center</wp:align>
            </wp:positionV>
            <wp:extent cx="6800400" cy="959040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00400" cy="9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B1" w:rsidRPr="00DB7876">
        <w:rPr>
          <w:lang w:val="fr-FR"/>
        </w:rPr>
        <w:br w:type="page"/>
      </w:r>
    </w:p>
    <w:p w:rsidR="00280BC8" w:rsidRPr="00DB7876" w:rsidRDefault="00510379" w:rsidP="00D921F5">
      <w:pPr>
        <w:pStyle w:val="Endofdocument-Annex"/>
        <w:ind w:left="0"/>
        <w:rPr>
          <w:lang w:val="fr-FR"/>
        </w:rPr>
      </w:pPr>
      <w:r>
        <w:rPr>
          <w:noProof/>
          <w:lang w:eastAsia="en-US"/>
        </w:rPr>
        <w:drawing>
          <wp:anchor distT="0" distB="0" distL="114300" distR="114300" simplePos="0" relativeHeight="251662336" behindDoc="0" locked="0" layoutInCell="1" allowOverlap="1">
            <wp:simplePos x="899160" y="647700"/>
            <wp:positionH relativeFrom="margin">
              <wp:align>center</wp:align>
            </wp:positionH>
            <wp:positionV relativeFrom="margin">
              <wp:align>center</wp:align>
            </wp:positionV>
            <wp:extent cx="6800400" cy="95904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00400" cy="9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B1" w:rsidRPr="00DB7876">
        <w:rPr>
          <w:lang w:val="fr-FR"/>
        </w:rPr>
        <w:br w:type="page"/>
      </w:r>
    </w:p>
    <w:p w:rsidR="00510379" w:rsidRDefault="00510379" w:rsidP="00510379">
      <w:pPr>
        <w:pStyle w:val="Endofdocument-Annex"/>
        <w:ind w:left="0"/>
        <w:rPr>
          <w:lang w:val="fr-FR"/>
        </w:rPr>
      </w:pPr>
      <w:r>
        <w:rPr>
          <w:noProof/>
          <w:lang w:eastAsia="en-US"/>
        </w:rPr>
        <w:drawing>
          <wp:anchor distT="0" distB="0" distL="114300" distR="114300" simplePos="0" relativeHeight="251663360" behindDoc="0" locked="0" layoutInCell="1" allowOverlap="1" wp14:anchorId="059F27D4" wp14:editId="45C7AC68">
            <wp:simplePos x="0" y="0"/>
            <wp:positionH relativeFrom="margin">
              <wp:posOffset>-90170</wp:posOffset>
            </wp:positionH>
            <wp:positionV relativeFrom="margin">
              <wp:posOffset>93980</wp:posOffset>
            </wp:positionV>
            <wp:extent cx="6044400" cy="8524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4400" cy="85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2DB1" w:rsidRPr="00DB7876" w:rsidRDefault="00280BC8" w:rsidP="00280BC8">
      <w:pPr>
        <w:pStyle w:val="Endofdocument-Annex"/>
        <w:ind w:left="5533"/>
        <w:rPr>
          <w:lang w:val="fr-FR"/>
        </w:rPr>
      </w:pPr>
      <w:r w:rsidRPr="00DB7876">
        <w:rPr>
          <w:lang w:val="fr-FR"/>
        </w:rPr>
        <w:t>[</w:t>
      </w:r>
      <w:r w:rsidR="001115D1" w:rsidRPr="00DB7876">
        <w:rPr>
          <w:lang w:val="fr-FR"/>
        </w:rPr>
        <w:t>Fin de l</w:t>
      </w:r>
      <w:r w:rsidR="00852AB9" w:rsidRPr="00DB7876">
        <w:rPr>
          <w:lang w:val="fr-FR"/>
        </w:rPr>
        <w:t>’annexe I</w:t>
      </w:r>
      <w:r w:rsidRPr="00DB7876">
        <w:rPr>
          <w:lang w:val="fr-FR"/>
        </w:rPr>
        <w:t>I</w:t>
      </w:r>
      <w:bookmarkStart w:id="1" w:name="_GoBack"/>
      <w:bookmarkEnd w:id="1"/>
      <w:r w:rsidRPr="00DB7876">
        <w:rPr>
          <w:lang w:val="fr-FR"/>
        </w:rPr>
        <w:t>]</w:t>
      </w:r>
    </w:p>
    <w:sectPr w:rsidR="00EF2DB1" w:rsidRPr="00DB7876" w:rsidSect="00EF2DB1">
      <w:headerReference w:type="default" r:id="rId22"/>
      <w:headerReference w:type="first" r:id="rId23"/>
      <w:endnotePr>
        <w:numFmt w:val="decimal"/>
      </w:endnotePr>
      <w:pgSz w:w="11907" w:h="16840" w:code="9"/>
      <w:pgMar w:top="567" w:right="1134" w:bottom="56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5EF" w:rsidRDefault="00D365EF">
      <w:r>
        <w:separator/>
      </w:r>
    </w:p>
  </w:endnote>
  <w:endnote w:type="continuationSeparator" w:id="0">
    <w:p w:rsidR="00D365EF" w:rsidRDefault="00D365EF" w:rsidP="003B38C1">
      <w:r>
        <w:separator/>
      </w:r>
    </w:p>
    <w:p w:rsidR="00D365EF" w:rsidRPr="003B38C1" w:rsidRDefault="00D365EF" w:rsidP="003B38C1">
      <w:pPr>
        <w:spacing w:after="60"/>
        <w:rPr>
          <w:sz w:val="17"/>
        </w:rPr>
      </w:pPr>
      <w:r>
        <w:rPr>
          <w:sz w:val="17"/>
        </w:rPr>
        <w:t>[Endnote continued from previous page]</w:t>
      </w:r>
    </w:p>
  </w:endnote>
  <w:endnote w:type="continuationNotice" w:id="1">
    <w:p w:rsidR="00D365EF" w:rsidRPr="003B38C1" w:rsidRDefault="00D365E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5EF" w:rsidRDefault="00D365EF">
      <w:r>
        <w:separator/>
      </w:r>
    </w:p>
  </w:footnote>
  <w:footnote w:type="continuationSeparator" w:id="0">
    <w:p w:rsidR="00D365EF" w:rsidRDefault="00D365EF" w:rsidP="008B60B2">
      <w:r>
        <w:separator/>
      </w:r>
    </w:p>
    <w:p w:rsidR="00D365EF" w:rsidRPr="00ED77FB" w:rsidRDefault="00D365EF" w:rsidP="008B60B2">
      <w:pPr>
        <w:spacing w:after="60"/>
        <w:rPr>
          <w:sz w:val="17"/>
          <w:szCs w:val="17"/>
        </w:rPr>
      </w:pPr>
      <w:r w:rsidRPr="00ED77FB">
        <w:rPr>
          <w:sz w:val="17"/>
          <w:szCs w:val="17"/>
        </w:rPr>
        <w:t>[Footnote continued from previous page]</w:t>
      </w:r>
    </w:p>
  </w:footnote>
  <w:footnote w:type="continuationNotice" w:id="1">
    <w:p w:rsidR="00D365EF" w:rsidRPr="00ED77FB" w:rsidRDefault="00D365E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EF" w:rsidRDefault="00DB7876" w:rsidP="00477D6B">
    <w:pPr>
      <w:jc w:val="right"/>
    </w:pPr>
    <w:proofErr w:type="gramStart"/>
    <w:r>
      <w:t>p</w:t>
    </w:r>
    <w:r w:rsidR="00D365EF">
      <w:t>age</w:t>
    </w:r>
    <w:proofErr w:type="gramEnd"/>
    <w:r>
      <w:t> </w:t>
    </w:r>
    <w:r w:rsidR="00D365EF">
      <w:fldChar w:fldCharType="begin"/>
    </w:r>
    <w:r w:rsidR="00D365EF">
      <w:instrText xml:space="preserve"> PAGE  \* MERGEFORMAT </w:instrText>
    </w:r>
    <w:r w:rsidR="00D365EF">
      <w:fldChar w:fldCharType="separate"/>
    </w:r>
    <w:r w:rsidR="00510379">
      <w:rPr>
        <w:noProof/>
      </w:rPr>
      <w:t>2</w:t>
    </w:r>
    <w:r w:rsidR="00D365EF">
      <w:fldChar w:fldCharType="end"/>
    </w:r>
  </w:p>
  <w:p w:rsidR="00D365EF" w:rsidRDefault="00D365E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EF" w:rsidRDefault="00D365EF" w:rsidP="00E600D3">
    <w:pPr>
      <w:pStyle w:val="Header"/>
      <w:jc w:val="right"/>
    </w:pPr>
    <w:r>
      <w:t>ANNEX</w:t>
    </w:r>
    <w:r w:rsidR="00DB7876">
      <w:t>E </w:t>
    </w:r>
    <w:r>
      <w:t>I</w:t>
    </w:r>
  </w:p>
  <w:p w:rsidR="00D365EF" w:rsidRDefault="00D365EF" w:rsidP="00E600D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EF" w:rsidRDefault="00D365EF" w:rsidP="00EF2DB1">
    <w:pPr>
      <w:pStyle w:val="Header"/>
      <w:jc w:val="right"/>
      <w:rPr>
        <w:noProof/>
        <w:lang w:val="fr-CH"/>
      </w:rPr>
    </w:pPr>
    <w:r w:rsidRPr="00B27CAF">
      <w:rPr>
        <w:lang w:val="fr-CH"/>
      </w:rPr>
      <w:t>A</w:t>
    </w:r>
    <w:r>
      <w:rPr>
        <w:lang w:val="fr-CH"/>
      </w:rPr>
      <w:t>nnex</w:t>
    </w:r>
    <w:r w:rsidR="00DB7876">
      <w:rPr>
        <w:lang w:val="fr-CH"/>
      </w:rPr>
      <w:t>e</w:t>
    </w:r>
    <w:r>
      <w:rPr>
        <w:lang w:val="fr-CH"/>
      </w:rPr>
      <w:t> I, page</w:t>
    </w:r>
    <w:r w:rsidR="00DB7876">
      <w:rPr>
        <w:lang w:val="fr-CH"/>
      </w:rPr>
      <w:t> </w:t>
    </w:r>
    <w:r w:rsidRPr="00E600D3">
      <w:rPr>
        <w:lang w:val="fr-CH"/>
      </w:rPr>
      <w:fldChar w:fldCharType="begin"/>
    </w:r>
    <w:r w:rsidRPr="00E600D3">
      <w:rPr>
        <w:lang w:val="fr-CH"/>
      </w:rPr>
      <w:instrText xml:space="preserve"> PAGE   \* MERGEFORMAT </w:instrText>
    </w:r>
    <w:r w:rsidRPr="00E600D3">
      <w:rPr>
        <w:lang w:val="fr-CH"/>
      </w:rPr>
      <w:fldChar w:fldCharType="separate"/>
    </w:r>
    <w:r w:rsidR="00510379">
      <w:rPr>
        <w:noProof/>
        <w:lang w:val="fr-CH"/>
      </w:rPr>
      <w:t>4</w:t>
    </w:r>
    <w:r w:rsidRPr="00E600D3">
      <w:rPr>
        <w:noProof/>
        <w:lang w:val="fr-CH"/>
      </w:rPr>
      <w:fldChar w:fldCharType="end"/>
    </w:r>
  </w:p>
  <w:p w:rsidR="00D365EF" w:rsidRPr="00B27CAF" w:rsidRDefault="00D365EF" w:rsidP="00EF2DB1">
    <w:pPr>
      <w:pStyle w:val="Heade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EF" w:rsidRDefault="00D365EF" w:rsidP="00D365EF">
    <w:pPr>
      <w:pStyle w:val="Header"/>
      <w:jc w:val="right"/>
      <w:rPr>
        <w:noProof/>
        <w:lang w:val="fr-CH"/>
      </w:rPr>
    </w:pPr>
    <w:r w:rsidRPr="00B27CAF">
      <w:rPr>
        <w:lang w:val="fr-CH"/>
      </w:rPr>
      <w:t>A</w:t>
    </w:r>
    <w:r>
      <w:rPr>
        <w:lang w:val="fr-CH"/>
      </w:rPr>
      <w:t>nnex</w:t>
    </w:r>
    <w:r w:rsidR="00DB7876">
      <w:rPr>
        <w:lang w:val="fr-CH"/>
      </w:rPr>
      <w:t>e I, page </w:t>
    </w:r>
    <w:r w:rsidRPr="00E600D3">
      <w:rPr>
        <w:lang w:val="fr-CH"/>
      </w:rPr>
      <w:fldChar w:fldCharType="begin"/>
    </w:r>
    <w:r w:rsidRPr="00E600D3">
      <w:rPr>
        <w:lang w:val="fr-CH"/>
      </w:rPr>
      <w:instrText xml:space="preserve"> PAGE   \* MERGEFORMAT </w:instrText>
    </w:r>
    <w:r w:rsidRPr="00E600D3">
      <w:rPr>
        <w:lang w:val="fr-CH"/>
      </w:rPr>
      <w:fldChar w:fldCharType="separate"/>
    </w:r>
    <w:r w:rsidR="00510379">
      <w:rPr>
        <w:noProof/>
        <w:lang w:val="fr-CH"/>
      </w:rPr>
      <w:t>2</w:t>
    </w:r>
    <w:r w:rsidRPr="00E600D3">
      <w:rPr>
        <w:noProof/>
        <w:lang w:val="fr-CH"/>
      </w:rPr>
      <w:fldChar w:fldCharType="end"/>
    </w:r>
  </w:p>
  <w:p w:rsidR="00D365EF" w:rsidRPr="00B27CAF" w:rsidRDefault="00D365EF" w:rsidP="00D365EF">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EF" w:rsidRDefault="00D365EF" w:rsidP="00D365EF">
    <w:pPr>
      <w:pStyle w:val="Header"/>
      <w:jc w:val="right"/>
      <w:rPr>
        <w:noProof/>
        <w:lang w:val="fr-CH"/>
      </w:rPr>
    </w:pPr>
    <w:r w:rsidRPr="00B27CAF">
      <w:rPr>
        <w:lang w:val="fr-CH"/>
      </w:rPr>
      <w:t>A</w:t>
    </w:r>
    <w:r>
      <w:rPr>
        <w:lang w:val="fr-CH"/>
      </w:rPr>
      <w:t>NNEX</w:t>
    </w:r>
    <w:r w:rsidR="00DB7876">
      <w:rPr>
        <w:lang w:val="fr-CH"/>
      </w:rPr>
      <w:t>E</w:t>
    </w:r>
    <w:r>
      <w:rPr>
        <w:lang w:val="fr-CH"/>
      </w:rPr>
      <w:t> II</w:t>
    </w:r>
  </w:p>
  <w:p w:rsidR="00D365EF" w:rsidRPr="00B27CAF" w:rsidRDefault="00D365EF" w:rsidP="00D365EF">
    <w:pPr>
      <w:pStyle w:val="Header"/>
      <w:jc w:val="right"/>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EF" w:rsidRDefault="00D365EF" w:rsidP="00EF2DB1">
    <w:pPr>
      <w:pStyle w:val="Header"/>
      <w:jc w:val="right"/>
    </w:pPr>
    <w:proofErr w:type="spellStart"/>
    <w:r>
      <w:t>Annex</w:t>
    </w:r>
    <w:r w:rsidR="00DB7876">
      <w:t>e</w:t>
    </w:r>
    <w:proofErr w:type="spellEnd"/>
    <w:r>
      <w:t> II, page </w:t>
    </w:r>
    <w:r>
      <w:fldChar w:fldCharType="begin"/>
    </w:r>
    <w:r>
      <w:instrText xml:space="preserve"> PAGE   \* MERGEFORMAT </w:instrText>
    </w:r>
    <w:r>
      <w:fldChar w:fldCharType="separate"/>
    </w:r>
    <w:r w:rsidR="00510379">
      <w:rPr>
        <w:noProof/>
      </w:rPr>
      <w:t>3</w:t>
    </w:r>
    <w:r>
      <w:rPr>
        <w:noProof/>
      </w:rPr>
      <w:fldChar w:fldCharType="end"/>
    </w:r>
  </w:p>
  <w:p w:rsidR="00D365EF" w:rsidRPr="00B27CAF" w:rsidRDefault="00D365EF" w:rsidP="00D365EF">
    <w:pPr>
      <w:pStyle w:val="Header"/>
      <w:jc w:val="right"/>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EF" w:rsidRDefault="00D365EF" w:rsidP="00EF2DB1">
    <w:pPr>
      <w:pStyle w:val="Header"/>
      <w:jc w:val="right"/>
      <w:rPr>
        <w:noProof/>
        <w:lang w:val="fr-CH"/>
      </w:rPr>
    </w:pPr>
    <w:r w:rsidRPr="00B27CAF">
      <w:rPr>
        <w:lang w:val="fr-CH"/>
      </w:rPr>
      <w:t>A</w:t>
    </w:r>
    <w:r>
      <w:rPr>
        <w:lang w:val="fr-CH"/>
      </w:rPr>
      <w:t>nnex</w:t>
    </w:r>
    <w:r w:rsidR="00DB7876">
      <w:rPr>
        <w:lang w:val="fr-CH"/>
      </w:rPr>
      <w:t>e</w:t>
    </w:r>
    <w:r>
      <w:rPr>
        <w:lang w:val="fr-CH"/>
      </w:rPr>
      <w:t> II, page</w:t>
    </w:r>
    <w:r w:rsidR="00DB7876">
      <w:rPr>
        <w:lang w:val="fr-CH"/>
      </w:rPr>
      <w:t> </w:t>
    </w:r>
    <w:r w:rsidRPr="00E600D3">
      <w:rPr>
        <w:lang w:val="fr-CH"/>
      </w:rPr>
      <w:fldChar w:fldCharType="begin"/>
    </w:r>
    <w:r w:rsidRPr="00E600D3">
      <w:rPr>
        <w:lang w:val="fr-CH"/>
      </w:rPr>
      <w:instrText xml:space="preserve"> PAGE   \* MERGEFORMAT </w:instrText>
    </w:r>
    <w:r w:rsidRPr="00E600D3">
      <w:rPr>
        <w:lang w:val="fr-CH"/>
      </w:rPr>
      <w:fldChar w:fldCharType="separate"/>
    </w:r>
    <w:r w:rsidR="00510379">
      <w:rPr>
        <w:noProof/>
        <w:lang w:val="fr-CH"/>
      </w:rPr>
      <w:t>6</w:t>
    </w:r>
    <w:r w:rsidRPr="00E600D3">
      <w:rPr>
        <w:noProof/>
        <w:lang w:val="fr-CH"/>
      </w:rPr>
      <w:fldChar w:fldCharType="end"/>
    </w:r>
  </w:p>
  <w:p w:rsidR="00D365EF" w:rsidRPr="00B27CAF" w:rsidRDefault="00D365EF" w:rsidP="00EF2DB1">
    <w:pPr>
      <w:pStyle w:val="Header"/>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5EF" w:rsidRDefault="00D365EF" w:rsidP="00EF2DB1">
    <w:pPr>
      <w:pStyle w:val="Header"/>
      <w:jc w:val="right"/>
    </w:pPr>
    <w:proofErr w:type="spellStart"/>
    <w:r>
      <w:t>Annex</w:t>
    </w:r>
    <w:r w:rsidR="00DB7876">
      <w:t>e</w:t>
    </w:r>
    <w:proofErr w:type="spellEnd"/>
    <w:r>
      <w:t> II, page </w:t>
    </w:r>
    <w:r>
      <w:rPr>
        <w:noProof/>
      </w:rPr>
      <w:fldChar w:fldCharType="begin"/>
    </w:r>
    <w:r>
      <w:rPr>
        <w:noProof/>
      </w:rPr>
      <w:instrText xml:space="preserve"> PAGE   \* MERGEFORMAT </w:instrText>
    </w:r>
    <w:r>
      <w:rPr>
        <w:noProof/>
      </w:rPr>
      <w:fldChar w:fldCharType="separate"/>
    </w:r>
    <w:r w:rsidR="00510379">
      <w:rPr>
        <w:noProof/>
      </w:rPr>
      <w:t>4</w:t>
    </w:r>
    <w:r>
      <w:rPr>
        <w:noProof/>
      </w:rPr>
      <w:fldChar w:fldCharType="end"/>
    </w:r>
  </w:p>
  <w:p w:rsidR="00D365EF" w:rsidRPr="00B27CAF" w:rsidRDefault="00D365EF" w:rsidP="00D365EF">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69D3068"/>
    <w:multiLevelType w:val="hybridMultilevel"/>
    <w:tmpl w:val="D040AAA2"/>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C1C6A3B"/>
    <w:multiLevelType w:val="hybridMultilevel"/>
    <w:tmpl w:val="F774C086"/>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0"/>
  </w:num>
  <w:num w:numId="5">
    <w:abstractNumId w:val="7"/>
  </w:num>
  <w:num w:numId="6">
    <w:abstractNumId w:val="1"/>
  </w:num>
  <w:num w:numId="7">
    <w:abstractNumId w:val="4"/>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207D6"/>
    <w:rsid w:val="00026EB0"/>
    <w:rsid w:val="0003752D"/>
    <w:rsid w:val="00043313"/>
    <w:rsid w:val="00043CAA"/>
    <w:rsid w:val="000451C0"/>
    <w:rsid w:val="00051A19"/>
    <w:rsid w:val="000535C1"/>
    <w:rsid w:val="000617A9"/>
    <w:rsid w:val="0006182B"/>
    <w:rsid w:val="00065151"/>
    <w:rsid w:val="000728FF"/>
    <w:rsid w:val="00075432"/>
    <w:rsid w:val="00085DDD"/>
    <w:rsid w:val="000968ED"/>
    <w:rsid w:val="000A525D"/>
    <w:rsid w:val="000B7069"/>
    <w:rsid w:val="000D36FD"/>
    <w:rsid w:val="000D3921"/>
    <w:rsid w:val="000E73ED"/>
    <w:rsid w:val="000F5E56"/>
    <w:rsid w:val="00107BB7"/>
    <w:rsid w:val="001115D1"/>
    <w:rsid w:val="00112A0A"/>
    <w:rsid w:val="00122926"/>
    <w:rsid w:val="001272E3"/>
    <w:rsid w:val="00131BD8"/>
    <w:rsid w:val="00133F53"/>
    <w:rsid w:val="001362EE"/>
    <w:rsid w:val="001370D1"/>
    <w:rsid w:val="00143BC7"/>
    <w:rsid w:val="0015037D"/>
    <w:rsid w:val="00153AE0"/>
    <w:rsid w:val="00163F61"/>
    <w:rsid w:val="00164A83"/>
    <w:rsid w:val="00166299"/>
    <w:rsid w:val="00174735"/>
    <w:rsid w:val="001809F6"/>
    <w:rsid w:val="00182AAC"/>
    <w:rsid w:val="001832A6"/>
    <w:rsid w:val="001838D5"/>
    <w:rsid w:val="00183E9E"/>
    <w:rsid w:val="0018470B"/>
    <w:rsid w:val="00185E31"/>
    <w:rsid w:val="00186DE1"/>
    <w:rsid w:val="00192FAA"/>
    <w:rsid w:val="001A27E8"/>
    <w:rsid w:val="001B2B85"/>
    <w:rsid w:val="001B3110"/>
    <w:rsid w:val="001B7101"/>
    <w:rsid w:val="001C2D7E"/>
    <w:rsid w:val="001D15DD"/>
    <w:rsid w:val="001D2E2C"/>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1451"/>
    <w:rsid w:val="0023598F"/>
    <w:rsid w:val="002408FD"/>
    <w:rsid w:val="00251890"/>
    <w:rsid w:val="0025278E"/>
    <w:rsid w:val="00253A4B"/>
    <w:rsid w:val="00262D96"/>
    <w:rsid w:val="002634C4"/>
    <w:rsid w:val="00271540"/>
    <w:rsid w:val="002733D2"/>
    <w:rsid w:val="00277484"/>
    <w:rsid w:val="00280BC8"/>
    <w:rsid w:val="002823CC"/>
    <w:rsid w:val="00283D7A"/>
    <w:rsid w:val="00284ACE"/>
    <w:rsid w:val="00290808"/>
    <w:rsid w:val="00290C5E"/>
    <w:rsid w:val="002928D3"/>
    <w:rsid w:val="00293B57"/>
    <w:rsid w:val="002A2E4F"/>
    <w:rsid w:val="002A7210"/>
    <w:rsid w:val="002B6590"/>
    <w:rsid w:val="002C1554"/>
    <w:rsid w:val="002C168C"/>
    <w:rsid w:val="002C38D8"/>
    <w:rsid w:val="002C544F"/>
    <w:rsid w:val="002C563A"/>
    <w:rsid w:val="002E1CCB"/>
    <w:rsid w:val="002F016B"/>
    <w:rsid w:val="002F1FE6"/>
    <w:rsid w:val="002F4E68"/>
    <w:rsid w:val="002F589C"/>
    <w:rsid w:val="002F641E"/>
    <w:rsid w:val="00300795"/>
    <w:rsid w:val="003041A1"/>
    <w:rsid w:val="00312F7F"/>
    <w:rsid w:val="00317670"/>
    <w:rsid w:val="003235A0"/>
    <w:rsid w:val="00323A37"/>
    <w:rsid w:val="00324A0A"/>
    <w:rsid w:val="00324A92"/>
    <w:rsid w:val="00332FFB"/>
    <w:rsid w:val="00335EC1"/>
    <w:rsid w:val="00347330"/>
    <w:rsid w:val="00347934"/>
    <w:rsid w:val="0035459C"/>
    <w:rsid w:val="0035626E"/>
    <w:rsid w:val="00356D9F"/>
    <w:rsid w:val="00357985"/>
    <w:rsid w:val="003612A1"/>
    <w:rsid w:val="00361450"/>
    <w:rsid w:val="00361AE2"/>
    <w:rsid w:val="003637D7"/>
    <w:rsid w:val="00363931"/>
    <w:rsid w:val="00365541"/>
    <w:rsid w:val="00365D04"/>
    <w:rsid w:val="003673CF"/>
    <w:rsid w:val="00367964"/>
    <w:rsid w:val="0037327E"/>
    <w:rsid w:val="003834F1"/>
    <w:rsid w:val="003845C1"/>
    <w:rsid w:val="00390376"/>
    <w:rsid w:val="00393757"/>
    <w:rsid w:val="00395B20"/>
    <w:rsid w:val="003A6732"/>
    <w:rsid w:val="003A6F89"/>
    <w:rsid w:val="003B38C1"/>
    <w:rsid w:val="003B45F8"/>
    <w:rsid w:val="003C06B7"/>
    <w:rsid w:val="003C2450"/>
    <w:rsid w:val="003E05CF"/>
    <w:rsid w:val="003E06A3"/>
    <w:rsid w:val="003E0D9F"/>
    <w:rsid w:val="003E165E"/>
    <w:rsid w:val="004052E1"/>
    <w:rsid w:val="00411FB2"/>
    <w:rsid w:val="00414A9E"/>
    <w:rsid w:val="00423E3E"/>
    <w:rsid w:val="004270A2"/>
    <w:rsid w:val="00427AF4"/>
    <w:rsid w:val="00434125"/>
    <w:rsid w:val="004630B4"/>
    <w:rsid w:val="004647DA"/>
    <w:rsid w:val="00466BC7"/>
    <w:rsid w:val="0046765F"/>
    <w:rsid w:val="0047006A"/>
    <w:rsid w:val="00474062"/>
    <w:rsid w:val="004768A2"/>
    <w:rsid w:val="00477D6B"/>
    <w:rsid w:val="00477EF9"/>
    <w:rsid w:val="004935CA"/>
    <w:rsid w:val="004936FC"/>
    <w:rsid w:val="004947C5"/>
    <w:rsid w:val="004B0093"/>
    <w:rsid w:val="004B336C"/>
    <w:rsid w:val="004C7C7E"/>
    <w:rsid w:val="004D1DAA"/>
    <w:rsid w:val="004D5FD7"/>
    <w:rsid w:val="004E2CBA"/>
    <w:rsid w:val="004F5A30"/>
    <w:rsid w:val="005019FF"/>
    <w:rsid w:val="00510379"/>
    <w:rsid w:val="00514DB4"/>
    <w:rsid w:val="005169E3"/>
    <w:rsid w:val="005233C3"/>
    <w:rsid w:val="005243B1"/>
    <w:rsid w:val="0053057A"/>
    <w:rsid w:val="00546473"/>
    <w:rsid w:val="00546A94"/>
    <w:rsid w:val="00560A29"/>
    <w:rsid w:val="005621EC"/>
    <w:rsid w:val="00563C83"/>
    <w:rsid w:val="00563FB7"/>
    <w:rsid w:val="00566749"/>
    <w:rsid w:val="00566C48"/>
    <w:rsid w:val="00584E7F"/>
    <w:rsid w:val="00585704"/>
    <w:rsid w:val="005868B8"/>
    <w:rsid w:val="005909A2"/>
    <w:rsid w:val="0059245B"/>
    <w:rsid w:val="005A192B"/>
    <w:rsid w:val="005A7440"/>
    <w:rsid w:val="005B5479"/>
    <w:rsid w:val="005C6649"/>
    <w:rsid w:val="005C720D"/>
    <w:rsid w:val="005D159E"/>
    <w:rsid w:val="005F2F3B"/>
    <w:rsid w:val="005F4F84"/>
    <w:rsid w:val="00603C76"/>
    <w:rsid w:val="00605827"/>
    <w:rsid w:val="006110AF"/>
    <w:rsid w:val="00611CBF"/>
    <w:rsid w:val="00613134"/>
    <w:rsid w:val="006138DB"/>
    <w:rsid w:val="00634AF5"/>
    <w:rsid w:val="006359EF"/>
    <w:rsid w:val="00644AA2"/>
    <w:rsid w:val="00646050"/>
    <w:rsid w:val="006476BC"/>
    <w:rsid w:val="00647B0C"/>
    <w:rsid w:val="00654AE9"/>
    <w:rsid w:val="00660C7C"/>
    <w:rsid w:val="006659A7"/>
    <w:rsid w:val="00665B2A"/>
    <w:rsid w:val="0067045F"/>
    <w:rsid w:val="006713CA"/>
    <w:rsid w:val="00674ABA"/>
    <w:rsid w:val="00675D58"/>
    <w:rsid w:val="00676C5C"/>
    <w:rsid w:val="00684699"/>
    <w:rsid w:val="00687B7E"/>
    <w:rsid w:val="006A143E"/>
    <w:rsid w:val="006A27A6"/>
    <w:rsid w:val="006B79F2"/>
    <w:rsid w:val="006C1666"/>
    <w:rsid w:val="006C7FD0"/>
    <w:rsid w:val="006D1756"/>
    <w:rsid w:val="006D3A81"/>
    <w:rsid w:val="006D3AB3"/>
    <w:rsid w:val="006D3C1B"/>
    <w:rsid w:val="006D529E"/>
    <w:rsid w:val="006E41AA"/>
    <w:rsid w:val="006E6086"/>
    <w:rsid w:val="006F073B"/>
    <w:rsid w:val="006F19F0"/>
    <w:rsid w:val="006F33FF"/>
    <w:rsid w:val="007227A5"/>
    <w:rsid w:val="00723A6D"/>
    <w:rsid w:val="0072795D"/>
    <w:rsid w:val="007303D8"/>
    <w:rsid w:val="00740B7F"/>
    <w:rsid w:val="00751EEE"/>
    <w:rsid w:val="0075782C"/>
    <w:rsid w:val="00760CDD"/>
    <w:rsid w:val="00763F95"/>
    <w:rsid w:val="007641F5"/>
    <w:rsid w:val="00764A6E"/>
    <w:rsid w:val="00767C4D"/>
    <w:rsid w:val="00773CE3"/>
    <w:rsid w:val="00775EBD"/>
    <w:rsid w:val="00782581"/>
    <w:rsid w:val="00790A94"/>
    <w:rsid w:val="007A0427"/>
    <w:rsid w:val="007A0D38"/>
    <w:rsid w:val="007A1B85"/>
    <w:rsid w:val="007A69A5"/>
    <w:rsid w:val="007B7F73"/>
    <w:rsid w:val="007C3E9B"/>
    <w:rsid w:val="007D1613"/>
    <w:rsid w:val="007D250A"/>
    <w:rsid w:val="007E3A9B"/>
    <w:rsid w:val="007E5BA3"/>
    <w:rsid w:val="007F4D09"/>
    <w:rsid w:val="007F62D1"/>
    <w:rsid w:val="00804EC4"/>
    <w:rsid w:val="0081434F"/>
    <w:rsid w:val="00817974"/>
    <w:rsid w:val="00824519"/>
    <w:rsid w:val="008316B8"/>
    <w:rsid w:val="00841ED0"/>
    <w:rsid w:val="00845731"/>
    <w:rsid w:val="00852AB9"/>
    <w:rsid w:val="00853FA8"/>
    <w:rsid w:val="00854071"/>
    <w:rsid w:val="00864DDA"/>
    <w:rsid w:val="00885618"/>
    <w:rsid w:val="00885DBD"/>
    <w:rsid w:val="00886684"/>
    <w:rsid w:val="008929D1"/>
    <w:rsid w:val="00892FD9"/>
    <w:rsid w:val="008948BE"/>
    <w:rsid w:val="008977D0"/>
    <w:rsid w:val="008A175B"/>
    <w:rsid w:val="008B23F7"/>
    <w:rsid w:val="008B2CC1"/>
    <w:rsid w:val="008B60B2"/>
    <w:rsid w:val="008C2D2F"/>
    <w:rsid w:val="008C2FE6"/>
    <w:rsid w:val="008D342E"/>
    <w:rsid w:val="008D5107"/>
    <w:rsid w:val="008E2D2F"/>
    <w:rsid w:val="008F1F70"/>
    <w:rsid w:val="00904907"/>
    <w:rsid w:val="0090731E"/>
    <w:rsid w:val="009114CE"/>
    <w:rsid w:val="00916EE2"/>
    <w:rsid w:val="00922789"/>
    <w:rsid w:val="00933780"/>
    <w:rsid w:val="009378BE"/>
    <w:rsid w:val="00940793"/>
    <w:rsid w:val="00943E32"/>
    <w:rsid w:val="009449F2"/>
    <w:rsid w:val="00945D2D"/>
    <w:rsid w:val="009627CD"/>
    <w:rsid w:val="00962E47"/>
    <w:rsid w:val="00963A28"/>
    <w:rsid w:val="00965EC2"/>
    <w:rsid w:val="00966A22"/>
    <w:rsid w:val="0096722F"/>
    <w:rsid w:val="009711CF"/>
    <w:rsid w:val="0097455A"/>
    <w:rsid w:val="0097652C"/>
    <w:rsid w:val="00977B0B"/>
    <w:rsid w:val="00980843"/>
    <w:rsid w:val="00982023"/>
    <w:rsid w:val="009820CB"/>
    <w:rsid w:val="00987E9A"/>
    <w:rsid w:val="00997AAD"/>
    <w:rsid w:val="009A0B31"/>
    <w:rsid w:val="009A591F"/>
    <w:rsid w:val="009A606A"/>
    <w:rsid w:val="009A71AA"/>
    <w:rsid w:val="009A7FCE"/>
    <w:rsid w:val="009C0C04"/>
    <w:rsid w:val="009D4892"/>
    <w:rsid w:val="009D5ABB"/>
    <w:rsid w:val="009E2791"/>
    <w:rsid w:val="009E3F6F"/>
    <w:rsid w:val="009E5F9F"/>
    <w:rsid w:val="009E72BA"/>
    <w:rsid w:val="009F2A14"/>
    <w:rsid w:val="009F499F"/>
    <w:rsid w:val="00A017A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7703B"/>
    <w:rsid w:val="00A8333E"/>
    <w:rsid w:val="00A869B7"/>
    <w:rsid w:val="00A94529"/>
    <w:rsid w:val="00A94E39"/>
    <w:rsid w:val="00AA1EEF"/>
    <w:rsid w:val="00AA647F"/>
    <w:rsid w:val="00AB74E9"/>
    <w:rsid w:val="00AC205C"/>
    <w:rsid w:val="00AC76CA"/>
    <w:rsid w:val="00AD38EE"/>
    <w:rsid w:val="00AE55AB"/>
    <w:rsid w:val="00AF0A6B"/>
    <w:rsid w:val="00AF31DE"/>
    <w:rsid w:val="00AF5108"/>
    <w:rsid w:val="00B05A69"/>
    <w:rsid w:val="00B1322D"/>
    <w:rsid w:val="00B21387"/>
    <w:rsid w:val="00B2247B"/>
    <w:rsid w:val="00B2590C"/>
    <w:rsid w:val="00B27CB2"/>
    <w:rsid w:val="00B30767"/>
    <w:rsid w:val="00B44E7C"/>
    <w:rsid w:val="00B46D7E"/>
    <w:rsid w:val="00B54D7D"/>
    <w:rsid w:val="00B577E1"/>
    <w:rsid w:val="00B71605"/>
    <w:rsid w:val="00B80B52"/>
    <w:rsid w:val="00B83157"/>
    <w:rsid w:val="00B85937"/>
    <w:rsid w:val="00B90953"/>
    <w:rsid w:val="00B90A6D"/>
    <w:rsid w:val="00B91B2D"/>
    <w:rsid w:val="00B955CC"/>
    <w:rsid w:val="00B9734B"/>
    <w:rsid w:val="00B97A85"/>
    <w:rsid w:val="00BA0B1E"/>
    <w:rsid w:val="00BA17E2"/>
    <w:rsid w:val="00BA2AD6"/>
    <w:rsid w:val="00BA59F8"/>
    <w:rsid w:val="00BA63F6"/>
    <w:rsid w:val="00BA6624"/>
    <w:rsid w:val="00BA6DE5"/>
    <w:rsid w:val="00BB30F3"/>
    <w:rsid w:val="00BB78C7"/>
    <w:rsid w:val="00BC7CCD"/>
    <w:rsid w:val="00BD138A"/>
    <w:rsid w:val="00BD1BF1"/>
    <w:rsid w:val="00BD1ECD"/>
    <w:rsid w:val="00BE55D6"/>
    <w:rsid w:val="00BE5857"/>
    <w:rsid w:val="00BF1C76"/>
    <w:rsid w:val="00C11BFE"/>
    <w:rsid w:val="00C146FC"/>
    <w:rsid w:val="00C20357"/>
    <w:rsid w:val="00C20E53"/>
    <w:rsid w:val="00C30B85"/>
    <w:rsid w:val="00C32F61"/>
    <w:rsid w:val="00C34338"/>
    <w:rsid w:val="00C45642"/>
    <w:rsid w:val="00C47421"/>
    <w:rsid w:val="00C553FB"/>
    <w:rsid w:val="00C556FE"/>
    <w:rsid w:val="00C61A8F"/>
    <w:rsid w:val="00C63443"/>
    <w:rsid w:val="00C634D0"/>
    <w:rsid w:val="00C65F49"/>
    <w:rsid w:val="00C67841"/>
    <w:rsid w:val="00C72FF5"/>
    <w:rsid w:val="00C771EA"/>
    <w:rsid w:val="00C85566"/>
    <w:rsid w:val="00C86F7C"/>
    <w:rsid w:val="00C927FD"/>
    <w:rsid w:val="00C977DB"/>
    <w:rsid w:val="00CA3537"/>
    <w:rsid w:val="00CA36A4"/>
    <w:rsid w:val="00CA4166"/>
    <w:rsid w:val="00CB01FF"/>
    <w:rsid w:val="00CB132F"/>
    <w:rsid w:val="00CB13CA"/>
    <w:rsid w:val="00CB53D0"/>
    <w:rsid w:val="00CB5A5D"/>
    <w:rsid w:val="00CC3109"/>
    <w:rsid w:val="00CC5016"/>
    <w:rsid w:val="00CD3F54"/>
    <w:rsid w:val="00CE0A51"/>
    <w:rsid w:val="00CE0F4D"/>
    <w:rsid w:val="00CE11DD"/>
    <w:rsid w:val="00CE533B"/>
    <w:rsid w:val="00CE6390"/>
    <w:rsid w:val="00CF4469"/>
    <w:rsid w:val="00CF4536"/>
    <w:rsid w:val="00D01FB2"/>
    <w:rsid w:val="00D22BD4"/>
    <w:rsid w:val="00D270DE"/>
    <w:rsid w:val="00D30CC7"/>
    <w:rsid w:val="00D31C2F"/>
    <w:rsid w:val="00D365EF"/>
    <w:rsid w:val="00D409DF"/>
    <w:rsid w:val="00D40A98"/>
    <w:rsid w:val="00D424EC"/>
    <w:rsid w:val="00D45252"/>
    <w:rsid w:val="00D45E96"/>
    <w:rsid w:val="00D57F87"/>
    <w:rsid w:val="00D57F90"/>
    <w:rsid w:val="00D71B4D"/>
    <w:rsid w:val="00D72FEC"/>
    <w:rsid w:val="00D76F38"/>
    <w:rsid w:val="00D8093F"/>
    <w:rsid w:val="00D826FA"/>
    <w:rsid w:val="00D90EE5"/>
    <w:rsid w:val="00D91A5F"/>
    <w:rsid w:val="00D921F5"/>
    <w:rsid w:val="00D92287"/>
    <w:rsid w:val="00D93D55"/>
    <w:rsid w:val="00DA33BD"/>
    <w:rsid w:val="00DA74FC"/>
    <w:rsid w:val="00DB0560"/>
    <w:rsid w:val="00DB42CB"/>
    <w:rsid w:val="00DB7876"/>
    <w:rsid w:val="00DC209D"/>
    <w:rsid w:val="00DC3E50"/>
    <w:rsid w:val="00E00B14"/>
    <w:rsid w:val="00E13CD6"/>
    <w:rsid w:val="00E210C4"/>
    <w:rsid w:val="00E213EE"/>
    <w:rsid w:val="00E31548"/>
    <w:rsid w:val="00E316C0"/>
    <w:rsid w:val="00E322C0"/>
    <w:rsid w:val="00E335FE"/>
    <w:rsid w:val="00E40EDD"/>
    <w:rsid w:val="00E42B9A"/>
    <w:rsid w:val="00E515F0"/>
    <w:rsid w:val="00E52C2C"/>
    <w:rsid w:val="00E532DC"/>
    <w:rsid w:val="00E600D3"/>
    <w:rsid w:val="00E642D1"/>
    <w:rsid w:val="00E6635C"/>
    <w:rsid w:val="00E66C2C"/>
    <w:rsid w:val="00E80539"/>
    <w:rsid w:val="00E86D18"/>
    <w:rsid w:val="00E8738A"/>
    <w:rsid w:val="00EA4E3D"/>
    <w:rsid w:val="00EA6D64"/>
    <w:rsid w:val="00EA771F"/>
    <w:rsid w:val="00EB50E5"/>
    <w:rsid w:val="00EC23FC"/>
    <w:rsid w:val="00EC4E49"/>
    <w:rsid w:val="00EC572A"/>
    <w:rsid w:val="00ED4C4F"/>
    <w:rsid w:val="00ED77FB"/>
    <w:rsid w:val="00EE28B7"/>
    <w:rsid w:val="00EE45FA"/>
    <w:rsid w:val="00EE5748"/>
    <w:rsid w:val="00EE65D4"/>
    <w:rsid w:val="00EF0146"/>
    <w:rsid w:val="00EF2DB1"/>
    <w:rsid w:val="00F02197"/>
    <w:rsid w:val="00F03EFE"/>
    <w:rsid w:val="00F05EC7"/>
    <w:rsid w:val="00F06DF3"/>
    <w:rsid w:val="00F0720F"/>
    <w:rsid w:val="00F07E7C"/>
    <w:rsid w:val="00F11008"/>
    <w:rsid w:val="00F1560B"/>
    <w:rsid w:val="00F201C4"/>
    <w:rsid w:val="00F30932"/>
    <w:rsid w:val="00F37F68"/>
    <w:rsid w:val="00F46B19"/>
    <w:rsid w:val="00F52AC0"/>
    <w:rsid w:val="00F543C0"/>
    <w:rsid w:val="00F62CDB"/>
    <w:rsid w:val="00F64B5E"/>
    <w:rsid w:val="00F65345"/>
    <w:rsid w:val="00F66152"/>
    <w:rsid w:val="00F7721F"/>
    <w:rsid w:val="00F87C3E"/>
    <w:rsid w:val="00F92873"/>
    <w:rsid w:val="00FA34C5"/>
    <w:rsid w:val="00FB3AF4"/>
    <w:rsid w:val="00FC2710"/>
    <w:rsid w:val="00FC3D36"/>
    <w:rsid w:val="00FC4C8A"/>
    <w:rsid w:val="00FE56A3"/>
    <w:rsid w:val="00FF3F8D"/>
    <w:rsid w:val="00FF6E9A"/>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Default Paragraph Font" w:uiPriority="1"/>
    <w:lsdException w:name="Subtitle" w:locked="1" w:qFormat="1"/>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qFormat="1"/>
    <w:lsdException w:name="Title" w:locked="1" w:qFormat="1"/>
    <w:lsdException w:name="Default Paragraph Font" w:uiPriority="1"/>
    <w:lsdException w:name="Subtitle" w:locked="1" w:qFormat="1"/>
    <w:lsdException w:name="Strong" w:locked="1" w:qFormat="1"/>
    <w:lsdException w:name="Emphasis" w:locked="1"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customStyle="1" w:styleId="Default">
    <w:name w:val="Default"/>
    <w:rsid w:val="00CC3109"/>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00D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F3837-5303-4F09-9FDB-0838BA439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1889</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ST/ko</cp:keywords>
  <cp:lastModifiedBy>Madrid Registry</cp:lastModifiedBy>
  <cp:revision>11</cp:revision>
  <cp:lastPrinted>2017-06-09T08:35:00Z</cp:lastPrinted>
  <dcterms:created xsi:type="dcterms:W3CDTF">2017-06-09T05:22:00Z</dcterms:created>
  <dcterms:modified xsi:type="dcterms:W3CDTF">2017-06-12T10:29:00Z</dcterms:modified>
</cp:coreProperties>
</file>