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350F9" w:rsidTr="00CC5016">
        <w:tc>
          <w:tcPr>
            <w:tcW w:w="4513" w:type="dxa"/>
            <w:tcBorders>
              <w:bottom w:val="single" w:sz="4" w:space="0" w:color="auto"/>
            </w:tcBorders>
            <w:tcMar>
              <w:bottom w:w="170" w:type="dxa"/>
            </w:tcMar>
          </w:tcPr>
          <w:p w:rsidR="00EC4E49" w:rsidRPr="004350F9" w:rsidRDefault="00EC4E49" w:rsidP="00315F5C">
            <w:pPr>
              <w:rPr>
                <w:lang w:val="fr-FR"/>
              </w:rPr>
            </w:pPr>
          </w:p>
        </w:tc>
        <w:tc>
          <w:tcPr>
            <w:tcW w:w="4337" w:type="dxa"/>
            <w:tcBorders>
              <w:bottom w:val="single" w:sz="4" w:space="0" w:color="auto"/>
            </w:tcBorders>
            <w:tcMar>
              <w:left w:w="0" w:type="dxa"/>
              <w:right w:w="0" w:type="dxa"/>
            </w:tcMar>
          </w:tcPr>
          <w:p w:rsidR="00EC4E49" w:rsidRPr="004350F9" w:rsidRDefault="00BB7778" w:rsidP="00315F5C">
            <w:pPr>
              <w:rPr>
                <w:lang w:val="fr-FR"/>
              </w:rPr>
            </w:pPr>
            <w:r w:rsidRPr="004350F9">
              <w:rPr>
                <w:noProof/>
                <w:lang w:eastAsia="en-US"/>
              </w:rPr>
              <w:drawing>
                <wp:inline distT="0" distB="0" distL="0" distR="0" wp14:anchorId="7FEB58FB" wp14:editId="02C19F21">
                  <wp:extent cx="1854835" cy="1326515"/>
                  <wp:effectExtent l="0" t="0" r="0" b="6985"/>
                  <wp:docPr id="3"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4350F9" w:rsidRDefault="00EC4E49" w:rsidP="00315F5C">
            <w:pPr>
              <w:jc w:val="right"/>
              <w:rPr>
                <w:lang w:val="fr-FR"/>
              </w:rPr>
            </w:pPr>
          </w:p>
        </w:tc>
      </w:tr>
      <w:tr w:rsidR="008B2CC1" w:rsidRPr="004350F9" w:rsidTr="00916EE2">
        <w:trPr>
          <w:trHeight w:hRule="exact" w:val="170"/>
        </w:trPr>
        <w:tc>
          <w:tcPr>
            <w:tcW w:w="9356" w:type="dxa"/>
            <w:gridSpan w:val="3"/>
            <w:noWrap/>
            <w:tcMar>
              <w:left w:w="0" w:type="dxa"/>
              <w:right w:w="0" w:type="dxa"/>
            </w:tcMar>
            <w:vAlign w:val="bottom"/>
          </w:tcPr>
          <w:p w:rsidR="008B2CC1" w:rsidRPr="004350F9" w:rsidRDefault="008B2CC1" w:rsidP="00315F5C">
            <w:pPr>
              <w:jc w:val="right"/>
              <w:rPr>
                <w:rFonts w:ascii="Arial Black" w:hAnsi="Arial Black"/>
                <w:caps/>
                <w:sz w:val="15"/>
                <w:lang w:val="fr-FR"/>
              </w:rPr>
            </w:pPr>
            <w:bookmarkStart w:id="0" w:name="Original"/>
            <w:bookmarkEnd w:id="0"/>
          </w:p>
        </w:tc>
      </w:tr>
      <w:tr w:rsidR="008B2CC1" w:rsidRPr="004350F9" w:rsidTr="00916EE2">
        <w:trPr>
          <w:trHeight w:hRule="exact" w:val="198"/>
        </w:trPr>
        <w:tc>
          <w:tcPr>
            <w:tcW w:w="9356" w:type="dxa"/>
            <w:gridSpan w:val="3"/>
            <w:tcMar>
              <w:left w:w="0" w:type="dxa"/>
              <w:right w:w="0" w:type="dxa"/>
            </w:tcMar>
            <w:vAlign w:val="bottom"/>
          </w:tcPr>
          <w:p w:rsidR="008B2CC1" w:rsidRPr="004350F9" w:rsidRDefault="00AF6661" w:rsidP="00AE0C5E">
            <w:pPr>
              <w:jc w:val="right"/>
              <w:rPr>
                <w:rFonts w:ascii="Arial Black" w:hAnsi="Arial Black"/>
                <w:caps/>
                <w:sz w:val="15"/>
                <w:lang w:val="fr-FR"/>
              </w:rPr>
            </w:pPr>
            <w:r w:rsidRPr="004350F9">
              <w:rPr>
                <w:rFonts w:ascii="Arial Black" w:hAnsi="Arial Black"/>
                <w:caps/>
                <w:sz w:val="15"/>
                <w:lang w:val="fr-FR"/>
              </w:rPr>
              <w:t>avis n° </w:t>
            </w:r>
            <w:r w:rsidR="00AE0C5E">
              <w:rPr>
                <w:rFonts w:ascii="Arial Black" w:hAnsi="Arial Black"/>
                <w:caps/>
                <w:sz w:val="15"/>
                <w:lang w:val="fr-FR"/>
              </w:rPr>
              <w:t>17</w:t>
            </w:r>
            <w:r w:rsidR="00CC5016" w:rsidRPr="004350F9">
              <w:rPr>
                <w:rFonts w:ascii="Arial Black" w:hAnsi="Arial Black"/>
                <w:caps/>
                <w:sz w:val="15"/>
                <w:lang w:val="fr-FR"/>
              </w:rPr>
              <w:t>/201</w:t>
            </w:r>
            <w:r w:rsidR="00840917" w:rsidRPr="004350F9">
              <w:rPr>
                <w:rFonts w:ascii="Arial Black" w:hAnsi="Arial Black"/>
                <w:caps/>
                <w:sz w:val="15"/>
                <w:lang w:val="fr-FR"/>
              </w:rPr>
              <w:t>6</w:t>
            </w:r>
            <w:r w:rsidR="00A42DAF" w:rsidRPr="004350F9">
              <w:rPr>
                <w:rFonts w:ascii="Arial Black" w:hAnsi="Arial Black"/>
                <w:caps/>
                <w:sz w:val="15"/>
                <w:lang w:val="fr-FR"/>
              </w:rPr>
              <w:t xml:space="preserve"> </w:t>
            </w:r>
            <w:bookmarkStart w:id="1" w:name="Date"/>
            <w:bookmarkEnd w:id="1"/>
          </w:p>
        </w:tc>
      </w:tr>
    </w:tbl>
    <w:p w:rsidR="0082424B" w:rsidRPr="004350F9" w:rsidRDefault="0082424B" w:rsidP="00315F5C">
      <w:pPr>
        <w:rPr>
          <w:lang w:val="fr-FR"/>
        </w:rPr>
      </w:pPr>
    </w:p>
    <w:p w:rsidR="0082424B" w:rsidRPr="004350F9" w:rsidRDefault="0082424B" w:rsidP="00315F5C">
      <w:pPr>
        <w:rPr>
          <w:lang w:val="fr-FR"/>
        </w:rPr>
      </w:pPr>
    </w:p>
    <w:p w:rsidR="0082424B" w:rsidRPr="004350F9" w:rsidRDefault="0082424B" w:rsidP="00315F5C">
      <w:pPr>
        <w:rPr>
          <w:lang w:val="fr-FR"/>
        </w:rPr>
      </w:pPr>
    </w:p>
    <w:p w:rsidR="0082424B" w:rsidRPr="004350F9" w:rsidRDefault="0082424B" w:rsidP="00315F5C">
      <w:pPr>
        <w:rPr>
          <w:lang w:val="fr-FR"/>
        </w:rPr>
      </w:pPr>
    </w:p>
    <w:p w:rsidR="0082424B" w:rsidRPr="004350F9" w:rsidRDefault="00C90FAD" w:rsidP="00315F5C">
      <w:pPr>
        <w:autoSpaceDE w:val="0"/>
        <w:autoSpaceDN w:val="0"/>
        <w:adjustRightInd w:val="0"/>
        <w:rPr>
          <w:b/>
          <w:bCs/>
          <w:sz w:val="28"/>
          <w:szCs w:val="28"/>
          <w:lang w:val="fr-FR"/>
        </w:rPr>
      </w:pPr>
      <w:r>
        <w:rPr>
          <w:b/>
          <w:bCs/>
          <w:sz w:val="28"/>
          <w:szCs w:val="28"/>
          <w:lang w:val="fr-FR"/>
        </w:rPr>
        <w:t xml:space="preserve">Arrangement et </w:t>
      </w:r>
      <w:bookmarkStart w:id="2" w:name="_GoBack"/>
      <w:bookmarkEnd w:id="2"/>
      <w:r w:rsidR="00AF6661" w:rsidRPr="004350F9">
        <w:rPr>
          <w:b/>
          <w:bCs/>
          <w:sz w:val="28"/>
          <w:szCs w:val="28"/>
          <w:lang w:val="fr-FR"/>
        </w:rPr>
        <w:t>Protocole de Madrid concernant l</w:t>
      </w:r>
      <w:r w:rsidR="00BB7778" w:rsidRPr="004350F9">
        <w:rPr>
          <w:b/>
          <w:bCs/>
          <w:sz w:val="28"/>
          <w:szCs w:val="28"/>
          <w:lang w:val="fr-FR"/>
        </w:rPr>
        <w:t>’</w:t>
      </w:r>
      <w:r w:rsidR="00AF6661" w:rsidRPr="004350F9">
        <w:rPr>
          <w:b/>
          <w:bCs/>
          <w:sz w:val="28"/>
          <w:szCs w:val="28"/>
          <w:lang w:val="fr-FR"/>
        </w:rPr>
        <w:t>enregistrement international des marques</w:t>
      </w:r>
    </w:p>
    <w:p w:rsidR="0082424B" w:rsidRPr="004350F9" w:rsidRDefault="0082424B" w:rsidP="00315F5C">
      <w:pPr>
        <w:autoSpaceDE w:val="0"/>
        <w:autoSpaceDN w:val="0"/>
        <w:adjustRightInd w:val="0"/>
        <w:rPr>
          <w:bCs/>
          <w:szCs w:val="22"/>
          <w:lang w:val="fr-FR"/>
        </w:rPr>
      </w:pPr>
    </w:p>
    <w:p w:rsidR="00BB7778" w:rsidRPr="004350F9" w:rsidRDefault="00BB7778" w:rsidP="00315F5C">
      <w:pPr>
        <w:autoSpaceDE w:val="0"/>
        <w:autoSpaceDN w:val="0"/>
        <w:adjustRightInd w:val="0"/>
        <w:rPr>
          <w:bCs/>
          <w:szCs w:val="22"/>
          <w:lang w:val="fr-FR"/>
        </w:rPr>
      </w:pPr>
    </w:p>
    <w:p w:rsidR="0082424B" w:rsidRPr="004350F9" w:rsidRDefault="00AF6661" w:rsidP="00315F5C">
      <w:pPr>
        <w:rPr>
          <w:b/>
          <w:bCs/>
          <w:sz w:val="24"/>
          <w:szCs w:val="24"/>
          <w:lang w:val="fr-FR"/>
        </w:rPr>
      </w:pPr>
      <w:r w:rsidRPr="004350F9">
        <w:rPr>
          <w:b/>
          <w:bCs/>
          <w:color w:val="000000"/>
          <w:sz w:val="24"/>
          <w:szCs w:val="24"/>
          <w:lang w:val="fr-FR"/>
        </w:rPr>
        <w:t>Modifications du règlement d</w:t>
      </w:r>
      <w:r w:rsidR="00BB7778" w:rsidRPr="004350F9">
        <w:rPr>
          <w:b/>
          <w:bCs/>
          <w:color w:val="000000"/>
          <w:sz w:val="24"/>
          <w:szCs w:val="24"/>
          <w:lang w:val="fr-FR"/>
        </w:rPr>
        <w:t>’</w:t>
      </w:r>
      <w:r w:rsidRPr="004350F9">
        <w:rPr>
          <w:b/>
          <w:bCs/>
          <w:color w:val="000000"/>
          <w:sz w:val="24"/>
          <w:szCs w:val="24"/>
          <w:lang w:val="fr-FR"/>
        </w:rPr>
        <w:t>exécution commun à l</w:t>
      </w:r>
      <w:r w:rsidR="00BB7778" w:rsidRPr="004350F9">
        <w:rPr>
          <w:b/>
          <w:bCs/>
          <w:color w:val="000000"/>
          <w:sz w:val="24"/>
          <w:szCs w:val="24"/>
          <w:lang w:val="fr-FR"/>
        </w:rPr>
        <w:t>’</w:t>
      </w:r>
      <w:r w:rsidRPr="004350F9">
        <w:rPr>
          <w:b/>
          <w:bCs/>
          <w:color w:val="000000"/>
          <w:sz w:val="24"/>
          <w:szCs w:val="24"/>
          <w:lang w:val="fr-FR"/>
        </w:rPr>
        <w:t>A</w:t>
      </w:r>
      <w:r w:rsidR="00CD2ED9" w:rsidRPr="004350F9">
        <w:rPr>
          <w:b/>
          <w:bCs/>
          <w:color w:val="000000"/>
          <w:sz w:val="24"/>
          <w:szCs w:val="24"/>
          <w:lang w:val="fr-FR"/>
        </w:rPr>
        <w:t>r</w:t>
      </w:r>
      <w:r w:rsidRPr="004350F9">
        <w:rPr>
          <w:b/>
          <w:bCs/>
          <w:color w:val="000000"/>
          <w:sz w:val="24"/>
          <w:szCs w:val="24"/>
          <w:lang w:val="fr-FR"/>
        </w:rPr>
        <w:t>rangement et au Protocole de Madrid</w:t>
      </w:r>
    </w:p>
    <w:p w:rsidR="00BB7778" w:rsidRPr="004350F9" w:rsidRDefault="00BB7778" w:rsidP="00315F5C">
      <w:pPr>
        <w:rPr>
          <w:szCs w:val="22"/>
          <w:lang w:val="fr-FR"/>
        </w:rPr>
      </w:pPr>
    </w:p>
    <w:p w:rsidR="00BB7778" w:rsidRPr="004350F9" w:rsidRDefault="00CD2ED9" w:rsidP="00315F5C">
      <w:pPr>
        <w:pStyle w:val="ONUMFS"/>
        <w:rPr>
          <w:lang w:val="fr-FR"/>
        </w:rPr>
      </w:pPr>
      <w:r w:rsidRPr="004350F9">
        <w:rPr>
          <w:lang w:val="fr-FR"/>
        </w:rPr>
        <w:t>À sa quarante</w:t>
      </w:r>
      <w:r w:rsidR="004350F9" w:rsidRPr="004350F9">
        <w:rPr>
          <w:lang w:val="fr-FR"/>
        </w:rPr>
        <w:noBreakHyphen/>
      </w:r>
      <w:r w:rsidRPr="004350F9">
        <w:rPr>
          <w:lang w:val="fr-FR"/>
        </w:rPr>
        <w:t>neuvième session (21</w:t>
      </w:r>
      <w:r w:rsidRPr="004350F9">
        <w:rPr>
          <w:vertAlign w:val="superscript"/>
          <w:lang w:val="fr-FR"/>
        </w:rPr>
        <w:t>e</w:t>
      </w:r>
      <w:r w:rsidR="00E57F91">
        <w:rPr>
          <w:lang w:val="fr-FR"/>
        </w:rPr>
        <w:t> </w:t>
      </w:r>
      <w:r w:rsidRPr="004350F9">
        <w:rPr>
          <w:lang w:val="fr-FR"/>
        </w:rPr>
        <w:t>sessi</w:t>
      </w:r>
      <w:r w:rsidR="00AE0C5E">
        <w:rPr>
          <w:lang w:val="fr-FR"/>
        </w:rPr>
        <w:t>on ordinaire) tenue à Genève du </w:t>
      </w:r>
      <w:r w:rsidRPr="004350F9">
        <w:rPr>
          <w:lang w:val="fr-FR"/>
        </w:rPr>
        <w:t>5</w:t>
      </w:r>
      <w:r w:rsidR="00AE0C5E">
        <w:rPr>
          <w:lang w:val="fr-FR"/>
        </w:rPr>
        <w:t> </w:t>
      </w:r>
      <w:r w:rsidRPr="004350F9">
        <w:rPr>
          <w:lang w:val="fr-FR"/>
        </w:rPr>
        <w:t>au</w:t>
      </w:r>
      <w:r w:rsidR="00AE0C5E">
        <w:rPr>
          <w:lang w:val="fr-FR"/>
        </w:rPr>
        <w:t> </w:t>
      </w:r>
      <w:r w:rsidRPr="004350F9">
        <w:rPr>
          <w:lang w:val="fr-FR"/>
        </w:rPr>
        <w:t>1</w:t>
      </w:r>
      <w:r w:rsidR="00BB7778" w:rsidRPr="004350F9">
        <w:rPr>
          <w:lang w:val="fr-FR"/>
        </w:rPr>
        <w:t>4 octobre 20</w:t>
      </w:r>
      <w:r w:rsidRPr="004350F9">
        <w:rPr>
          <w:lang w:val="fr-FR"/>
        </w:rPr>
        <w:t>15, l</w:t>
      </w:r>
      <w:r w:rsidR="00BB7778" w:rsidRPr="004350F9">
        <w:rPr>
          <w:lang w:val="fr-FR"/>
        </w:rPr>
        <w:t>’</w:t>
      </w:r>
      <w:r w:rsidRPr="004350F9">
        <w:rPr>
          <w:lang w:val="fr-FR"/>
        </w:rPr>
        <w:t>Assemblée de l</w:t>
      </w:r>
      <w:r w:rsidR="00BB7778" w:rsidRPr="004350F9">
        <w:rPr>
          <w:lang w:val="fr-FR"/>
        </w:rPr>
        <w:t>’</w:t>
      </w:r>
      <w:r w:rsidRPr="004350F9">
        <w:rPr>
          <w:lang w:val="fr-FR"/>
        </w:rPr>
        <w:t xml:space="preserve">Union de Madrid a adopté </w:t>
      </w:r>
      <w:r w:rsidR="00B940C8">
        <w:rPr>
          <w:lang w:val="fr-FR"/>
        </w:rPr>
        <w:t>d</w:t>
      </w:r>
      <w:r w:rsidRPr="004350F9">
        <w:rPr>
          <w:lang w:val="fr-FR"/>
        </w:rPr>
        <w:t xml:space="preserve">es modifications </w:t>
      </w:r>
      <w:r w:rsidR="002A5BD9">
        <w:rPr>
          <w:lang w:val="fr-FR"/>
        </w:rPr>
        <w:t>d</w:t>
      </w:r>
      <w:r w:rsidRPr="004350F9">
        <w:rPr>
          <w:lang w:val="fr-FR"/>
        </w:rPr>
        <w:t>u règlement d</w:t>
      </w:r>
      <w:r w:rsidR="00BB7778" w:rsidRPr="004350F9">
        <w:rPr>
          <w:lang w:val="fr-FR"/>
        </w:rPr>
        <w:t>’</w:t>
      </w:r>
      <w:r w:rsidRPr="004350F9">
        <w:rPr>
          <w:lang w:val="fr-FR"/>
        </w:rPr>
        <w:t>exécution commun à l</w:t>
      </w:r>
      <w:r w:rsidR="00BB7778" w:rsidRPr="004350F9">
        <w:rPr>
          <w:lang w:val="fr-FR"/>
        </w:rPr>
        <w:t>’</w:t>
      </w:r>
      <w:r w:rsidRPr="004350F9">
        <w:rPr>
          <w:lang w:val="fr-FR"/>
        </w:rPr>
        <w:t>Arrangement de Madrid concernant l</w:t>
      </w:r>
      <w:r w:rsidR="00BB7778" w:rsidRPr="004350F9">
        <w:rPr>
          <w:lang w:val="fr-FR"/>
        </w:rPr>
        <w:t>’</w:t>
      </w:r>
      <w:r w:rsidRPr="004350F9">
        <w:rPr>
          <w:lang w:val="fr-FR"/>
        </w:rPr>
        <w:t>enregistrement international des marques et au Protocole relatif à cet Arrangement (ci</w:t>
      </w:r>
      <w:r w:rsidR="004350F9" w:rsidRPr="004350F9">
        <w:rPr>
          <w:lang w:val="fr-FR"/>
        </w:rPr>
        <w:noBreakHyphen/>
      </w:r>
      <w:r w:rsidRPr="004350F9">
        <w:rPr>
          <w:lang w:val="fr-FR"/>
        </w:rPr>
        <w:t xml:space="preserve">après dénommé </w:t>
      </w:r>
      <w:r w:rsidR="00F008E2" w:rsidRPr="004350F9">
        <w:rPr>
          <w:lang w:val="fr-FR"/>
        </w:rPr>
        <w:t>“</w:t>
      </w:r>
      <w:r w:rsidRPr="004350F9">
        <w:rPr>
          <w:lang w:val="fr-FR"/>
        </w:rPr>
        <w:t>règlement d</w:t>
      </w:r>
      <w:r w:rsidR="00BB7778" w:rsidRPr="004350F9">
        <w:rPr>
          <w:lang w:val="fr-FR"/>
        </w:rPr>
        <w:t>’</w:t>
      </w:r>
      <w:r w:rsidRPr="004350F9">
        <w:rPr>
          <w:lang w:val="fr-FR"/>
        </w:rPr>
        <w:t>exécution commun</w:t>
      </w:r>
      <w:r w:rsidR="00F008E2" w:rsidRPr="004350F9">
        <w:rPr>
          <w:lang w:val="fr-FR"/>
        </w:rPr>
        <w:t>”</w:t>
      </w:r>
      <w:r w:rsidR="002A5BD9">
        <w:rPr>
          <w:lang w:val="fr-FR"/>
        </w:rPr>
        <w:t>)</w:t>
      </w:r>
      <w:r w:rsidRPr="004350F9">
        <w:rPr>
          <w:lang w:val="fr-FR"/>
        </w:rPr>
        <w:t xml:space="preserve"> qui entreront en vigueur le </w:t>
      </w:r>
      <w:r w:rsidR="00BB7778" w:rsidRPr="004350F9">
        <w:rPr>
          <w:lang w:val="fr-FR"/>
        </w:rPr>
        <w:t>1</w:t>
      </w:r>
      <w:r w:rsidR="00BB7778" w:rsidRPr="004350F9">
        <w:rPr>
          <w:vertAlign w:val="superscript"/>
          <w:lang w:val="fr-FR"/>
        </w:rPr>
        <w:t>er</w:t>
      </w:r>
      <w:r w:rsidR="00BB7778" w:rsidRPr="004350F9">
        <w:rPr>
          <w:lang w:val="fr-FR"/>
        </w:rPr>
        <w:t> avril 20</w:t>
      </w:r>
      <w:r w:rsidRPr="004350F9">
        <w:rPr>
          <w:lang w:val="fr-FR"/>
        </w:rPr>
        <w:t>16.</w:t>
      </w:r>
    </w:p>
    <w:p w:rsidR="0082424B" w:rsidRDefault="00CD2ED9" w:rsidP="00315F5C">
      <w:pPr>
        <w:pStyle w:val="Heading3"/>
        <w:rPr>
          <w:lang w:val="fr-FR"/>
        </w:rPr>
      </w:pPr>
      <w:r w:rsidRPr="004350F9">
        <w:rPr>
          <w:lang w:val="fr-FR"/>
        </w:rPr>
        <w:t>Modifications de la règle 5 du règlement d</w:t>
      </w:r>
      <w:r w:rsidR="00BB7778" w:rsidRPr="004350F9">
        <w:rPr>
          <w:lang w:val="fr-FR"/>
        </w:rPr>
        <w:t>’</w:t>
      </w:r>
      <w:r w:rsidRPr="004350F9">
        <w:rPr>
          <w:lang w:val="fr-FR"/>
        </w:rPr>
        <w:t>exécution commun :</w:t>
      </w:r>
      <w:r w:rsidR="00B819CE" w:rsidRPr="00E57F91">
        <w:rPr>
          <w:lang w:val="fr-FR"/>
        </w:rPr>
        <w:t xml:space="preserve"> </w:t>
      </w:r>
      <w:r w:rsidRPr="00E57F91">
        <w:rPr>
          <w:lang w:val="fr-FR"/>
        </w:rPr>
        <w:t>Perturbations dans le service postal et dans les entreprises d</w:t>
      </w:r>
      <w:r w:rsidR="00BB7778" w:rsidRPr="00E57F91">
        <w:rPr>
          <w:lang w:val="fr-FR"/>
        </w:rPr>
        <w:t>’</w:t>
      </w:r>
      <w:r w:rsidRPr="00E57F91">
        <w:rPr>
          <w:lang w:val="fr-FR"/>
        </w:rPr>
        <w:t>acheminement du courrier et l</w:t>
      </w:r>
      <w:r w:rsidR="00BB7778" w:rsidRPr="00E57F91">
        <w:rPr>
          <w:lang w:val="fr-FR"/>
        </w:rPr>
        <w:t>’</w:t>
      </w:r>
      <w:r w:rsidRPr="00E57F91">
        <w:rPr>
          <w:lang w:val="fr-FR"/>
        </w:rPr>
        <w:t>envoi de communications par voie électronique</w:t>
      </w:r>
    </w:p>
    <w:p w:rsidR="00E57F91" w:rsidRPr="00E57F91" w:rsidRDefault="00E57F91" w:rsidP="00315F5C">
      <w:pPr>
        <w:rPr>
          <w:lang w:val="fr-FR"/>
        </w:rPr>
      </w:pPr>
    </w:p>
    <w:p w:rsidR="0082424B" w:rsidRPr="004350F9" w:rsidRDefault="00760CE8" w:rsidP="00315F5C">
      <w:pPr>
        <w:pStyle w:val="ONUMFS"/>
        <w:rPr>
          <w:lang w:val="fr-FR"/>
        </w:rPr>
      </w:pPr>
      <w:r w:rsidRPr="004350F9">
        <w:rPr>
          <w:lang w:val="fr-FR"/>
        </w:rPr>
        <w:t>En vertu du nouve</w:t>
      </w:r>
      <w:r w:rsidR="00711730">
        <w:rPr>
          <w:lang w:val="fr-FR"/>
        </w:rPr>
        <w:t>au texte de l’</w:t>
      </w:r>
      <w:r w:rsidRPr="004350F9">
        <w:rPr>
          <w:lang w:val="fr-FR"/>
        </w:rPr>
        <w:t>alinéa</w:t>
      </w:r>
      <w:r w:rsidR="00F008E2" w:rsidRPr="004350F9">
        <w:rPr>
          <w:lang w:val="fr-FR"/>
        </w:rPr>
        <w:t> </w:t>
      </w:r>
      <w:r w:rsidRPr="004350F9">
        <w:rPr>
          <w:lang w:val="fr-FR"/>
        </w:rPr>
        <w:t xml:space="preserve">3) </w:t>
      </w:r>
      <w:r w:rsidR="00BA1D56">
        <w:rPr>
          <w:lang w:val="fr-FR"/>
        </w:rPr>
        <w:t>de</w:t>
      </w:r>
      <w:r w:rsidRPr="004350F9">
        <w:rPr>
          <w:lang w:val="fr-FR"/>
        </w:rPr>
        <w:t xml:space="preserve"> la règle</w:t>
      </w:r>
      <w:r w:rsidR="00F008E2" w:rsidRPr="004350F9">
        <w:rPr>
          <w:lang w:val="fr-FR"/>
        </w:rPr>
        <w:t> </w:t>
      </w:r>
      <w:r w:rsidRPr="004350F9">
        <w:rPr>
          <w:lang w:val="fr-FR"/>
        </w:rPr>
        <w:t>5, l</w:t>
      </w:r>
      <w:r w:rsidR="00BB7778" w:rsidRPr="004350F9">
        <w:rPr>
          <w:lang w:val="fr-FR"/>
        </w:rPr>
        <w:t>’</w:t>
      </w:r>
      <w:r w:rsidRPr="004350F9">
        <w:rPr>
          <w:lang w:val="fr-FR"/>
        </w:rPr>
        <w:t>inobservation par une partie intéressée d</w:t>
      </w:r>
      <w:r w:rsidR="00BB7778" w:rsidRPr="004350F9">
        <w:rPr>
          <w:lang w:val="fr-FR"/>
        </w:rPr>
        <w:t>’</w:t>
      </w:r>
      <w:r w:rsidRPr="004350F9">
        <w:rPr>
          <w:lang w:val="fr-FR"/>
        </w:rPr>
        <w:t>un délai pour une communication adressée à l</w:t>
      </w:r>
      <w:r w:rsidR="00BB7778" w:rsidRPr="004350F9">
        <w:rPr>
          <w:lang w:val="fr-FR"/>
        </w:rPr>
        <w:t>’</w:t>
      </w:r>
      <w:r w:rsidRPr="004350F9">
        <w:rPr>
          <w:lang w:val="fr-FR"/>
        </w:rPr>
        <w:t xml:space="preserve">OMPI sera excusée </w:t>
      </w:r>
      <w:r w:rsidR="00B8563D" w:rsidRPr="004350F9">
        <w:rPr>
          <w:lang w:val="fr-FR"/>
        </w:rPr>
        <w:t>si</w:t>
      </w:r>
      <w:r w:rsidRPr="004350F9">
        <w:rPr>
          <w:lang w:val="fr-FR"/>
        </w:rPr>
        <w:t xml:space="preserve"> celle</w:t>
      </w:r>
      <w:r w:rsidR="004350F9" w:rsidRPr="004350F9">
        <w:rPr>
          <w:lang w:val="fr-FR"/>
        </w:rPr>
        <w:noBreakHyphen/>
      </w:r>
      <w:r w:rsidRPr="004350F9">
        <w:rPr>
          <w:lang w:val="fr-FR"/>
        </w:rPr>
        <w:t>ci a été envoyée par voie électronique et la partie intéressée prouve de manière satisfaisante que le délai n</w:t>
      </w:r>
      <w:r w:rsidR="00BB7778" w:rsidRPr="004350F9">
        <w:rPr>
          <w:lang w:val="fr-FR"/>
        </w:rPr>
        <w:t>’</w:t>
      </w:r>
      <w:r w:rsidRPr="004350F9">
        <w:rPr>
          <w:lang w:val="fr-FR"/>
        </w:rPr>
        <w:t>a pas été respecté en raison d</w:t>
      </w:r>
      <w:r w:rsidR="00BB7778" w:rsidRPr="004350F9">
        <w:rPr>
          <w:lang w:val="fr-FR"/>
        </w:rPr>
        <w:t>’</w:t>
      </w:r>
      <w:r w:rsidRPr="004350F9">
        <w:rPr>
          <w:lang w:val="fr-FR"/>
        </w:rPr>
        <w:t>une défaillance dans la communication électr</w:t>
      </w:r>
      <w:r w:rsidR="00B8563D" w:rsidRPr="004350F9">
        <w:rPr>
          <w:lang w:val="fr-FR"/>
        </w:rPr>
        <w:t>onique avec l</w:t>
      </w:r>
      <w:r w:rsidR="00BB7778" w:rsidRPr="004350F9">
        <w:rPr>
          <w:lang w:val="fr-FR"/>
        </w:rPr>
        <w:t>’</w:t>
      </w:r>
      <w:r w:rsidR="00B8563D" w:rsidRPr="004350F9">
        <w:rPr>
          <w:lang w:val="fr-FR"/>
        </w:rPr>
        <w:t>OMPI ou</w:t>
      </w:r>
      <w:r w:rsidR="00A9253F" w:rsidRPr="004350F9">
        <w:rPr>
          <w:lang w:val="fr-FR"/>
        </w:rPr>
        <w:t xml:space="preserve"> d</w:t>
      </w:r>
      <w:r w:rsidR="00BB7778" w:rsidRPr="004350F9">
        <w:rPr>
          <w:lang w:val="fr-FR"/>
        </w:rPr>
        <w:t>’</w:t>
      </w:r>
      <w:r w:rsidR="00A9253F" w:rsidRPr="004350F9">
        <w:rPr>
          <w:lang w:val="fr-FR"/>
        </w:rPr>
        <w:t>une défaillance</w:t>
      </w:r>
      <w:r w:rsidRPr="004350F9">
        <w:rPr>
          <w:lang w:val="fr-FR"/>
        </w:rPr>
        <w:t xml:space="preserve"> concernant la localité de la partie intéressée en raison de circonstances extraordinair</w:t>
      </w:r>
      <w:r w:rsidR="004350F9" w:rsidRPr="004350F9">
        <w:rPr>
          <w:lang w:val="fr-FR"/>
        </w:rPr>
        <w:t xml:space="preserve">es.  </w:t>
      </w:r>
      <w:r w:rsidR="002A5BD9">
        <w:rPr>
          <w:lang w:val="fr-FR"/>
        </w:rPr>
        <w:t>Dans ce</w:t>
      </w:r>
      <w:r w:rsidRPr="004350F9">
        <w:rPr>
          <w:lang w:val="fr-FR"/>
        </w:rPr>
        <w:t xml:space="preserve"> cas, une nouvelle communication devrait être effectuée </w:t>
      </w:r>
      <w:r w:rsidR="005F3B4B">
        <w:rPr>
          <w:lang w:val="fr-FR"/>
        </w:rPr>
        <w:t>au plus tard</w:t>
      </w:r>
      <w:r w:rsidR="002A5BD9">
        <w:rPr>
          <w:lang w:val="fr-FR"/>
        </w:rPr>
        <w:t xml:space="preserve"> </w:t>
      </w:r>
      <w:r w:rsidRPr="004350F9">
        <w:rPr>
          <w:lang w:val="fr-FR"/>
        </w:rPr>
        <w:t>cinq</w:t>
      </w:r>
      <w:r w:rsidR="00F008E2" w:rsidRPr="004350F9">
        <w:rPr>
          <w:lang w:val="fr-FR"/>
        </w:rPr>
        <w:t> </w:t>
      </w:r>
      <w:r w:rsidRPr="004350F9">
        <w:rPr>
          <w:lang w:val="fr-FR"/>
        </w:rPr>
        <w:t xml:space="preserve">jours </w:t>
      </w:r>
      <w:r w:rsidR="005F3B4B">
        <w:rPr>
          <w:lang w:val="fr-FR"/>
        </w:rPr>
        <w:t>après</w:t>
      </w:r>
      <w:r w:rsidR="002A5BD9">
        <w:rPr>
          <w:lang w:val="fr-FR"/>
        </w:rPr>
        <w:t xml:space="preserve"> </w:t>
      </w:r>
      <w:r w:rsidRPr="004350F9">
        <w:rPr>
          <w:lang w:val="fr-FR"/>
        </w:rPr>
        <w:t>la reprise des services de communication électronique.</w:t>
      </w:r>
    </w:p>
    <w:p w:rsidR="00BB7778" w:rsidRPr="004350F9" w:rsidRDefault="00760CE8" w:rsidP="00315F5C">
      <w:pPr>
        <w:pStyle w:val="ONUMFS"/>
        <w:rPr>
          <w:lang w:val="fr-FR"/>
        </w:rPr>
      </w:pPr>
      <w:r w:rsidRPr="004350F9">
        <w:rPr>
          <w:lang w:val="fr-FR"/>
        </w:rPr>
        <w:t>Cette nouvelle disposition vise à couvrir les communications adressées à l</w:t>
      </w:r>
      <w:r w:rsidR="00BB7778" w:rsidRPr="004350F9">
        <w:rPr>
          <w:lang w:val="fr-FR"/>
        </w:rPr>
        <w:t>’</w:t>
      </w:r>
      <w:r w:rsidRPr="004350F9">
        <w:rPr>
          <w:lang w:val="fr-FR"/>
        </w:rPr>
        <w:t>OMPI par une partie intéressée (c</w:t>
      </w:r>
      <w:r w:rsidR="00BB7778" w:rsidRPr="004350F9">
        <w:rPr>
          <w:lang w:val="fr-FR"/>
        </w:rPr>
        <w:t>’</w:t>
      </w:r>
      <w:r w:rsidRPr="004350F9">
        <w:rPr>
          <w:lang w:val="fr-FR"/>
        </w:rPr>
        <w:t>est</w:t>
      </w:r>
      <w:r w:rsidR="004350F9" w:rsidRPr="004350F9">
        <w:rPr>
          <w:lang w:val="fr-FR"/>
        </w:rPr>
        <w:noBreakHyphen/>
      </w:r>
      <w:r w:rsidRPr="004350F9">
        <w:rPr>
          <w:lang w:val="fr-FR"/>
        </w:rPr>
        <w:t>à</w:t>
      </w:r>
      <w:r w:rsidR="004350F9" w:rsidRPr="004350F9">
        <w:rPr>
          <w:lang w:val="fr-FR"/>
        </w:rPr>
        <w:noBreakHyphen/>
      </w:r>
      <w:r w:rsidRPr="004350F9">
        <w:rPr>
          <w:lang w:val="fr-FR"/>
        </w:rPr>
        <w:t>dire le déposant, le titulaire, le mandataire ou l</w:t>
      </w:r>
      <w:r w:rsidR="00BB7778" w:rsidRPr="004350F9">
        <w:rPr>
          <w:lang w:val="fr-FR"/>
        </w:rPr>
        <w:t>’</w:t>
      </w:r>
      <w:r w:rsidRPr="004350F9">
        <w:rPr>
          <w:lang w:val="fr-FR"/>
        </w:rPr>
        <w:t>office d</w:t>
      </w:r>
      <w:r w:rsidR="00BB7778" w:rsidRPr="004350F9">
        <w:rPr>
          <w:lang w:val="fr-FR"/>
        </w:rPr>
        <w:t>’</w:t>
      </w:r>
      <w:r w:rsidRPr="004350F9">
        <w:rPr>
          <w:lang w:val="fr-FR"/>
        </w:rPr>
        <w:t xml:space="preserve">une partie contractante) par un moyen électronique </w:t>
      </w:r>
      <w:r w:rsidR="00A9253F" w:rsidRPr="004350F9">
        <w:rPr>
          <w:lang w:val="fr-FR"/>
        </w:rPr>
        <w:t>(p</w:t>
      </w:r>
      <w:r w:rsidRPr="004350F9">
        <w:rPr>
          <w:lang w:val="fr-FR"/>
        </w:rPr>
        <w:t>ar exemple</w:t>
      </w:r>
      <w:r w:rsidR="00F008E2" w:rsidRPr="004350F9">
        <w:rPr>
          <w:lang w:val="fr-FR"/>
        </w:rPr>
        <w:t> </w:t>
      </w:r>
      <w:r w:rsidRPr="004350F9">
        <w:rPr>
          <w:lang w:val="fr-FR"/>
        </w:rPr>
        <w:t>: courrier électronique, télécopie, formulaires électroniqu</w:t>
      </w:r>
      <w:r w:rsidR="004350F9" w:rsidRPr="004350F9">
        <w:rPr>
          <w:lang w:val="fr-FR"/>
        </w:rPr>
        <w:t>es).  Un</w:t>
      </w:r>
      <w:r w:rsidRPr="004350F9">
        <w:rPr>
          <w:lang w:val="fr-FR"/>
        </w:rPr>
        <w:t xml:space="preserve">e partie intéressée </w:t>
      </w:r>
      <w:r w:rsidR="002A5BD9">
        <w:rPr>
          <w:lang w:val="fr-FR"/>
        </w:rPr>
        <w:t>peut</w:t>
      </w:r>
      <w:r w:rsidRPr="004350F9">
        <w:rPr>
          <w:lang w:val="fr-FR"/>
        </w:rPr>
        <w:t xml:space="preserve"> être excusée de ne pas avoir </w:t>
      </w:r>
      <w:r w:rsidR="00A9253F" w:rsidRPr="004350F9">
        <w:rPr>
          <w:lang w:val="fr-FR"/>
        </w:rPr>
        <w:t>observé</w:t>
      </w:r>
      <w:r w:rsidR="00531A15" w:rsidRPr="004350F9">
        <w:rPr>
          <w:lang w:val="fr-FR"/>
        </w:rPr>
        <w:t xml:space="preserve"> un délai lorsque l</w:t>
      </w:r>
      <w:r w:rsidR="00BB7778" w:rsidRPr="004350F9">
        <w:rPr>
          <w:lang w:val="fr-FR"/>
        </w:rPr>
        <w:t>’</w:t>
      </w:r>
      <w:r w:rsidR="00531A15" w:rsidRPr="004350F9">
        <w:rPr>
          <w:lang w:val="fr-FR"/>
        </w:rPr>
        <w:t>OMPI ne reçoit pas une</w:t>
      </w:r>
      <w:r w:rsidRPr="004350F9">
        <w:rPr>
          <w:lang w:val="fr-FR"/>
        </w:rPr>
        <w:t xml:space="preserve"> communication électronique en raison d</w:t>
      </w:r>
      <w:r w:rsidR="00BB7778" w:rsidRPr="004350F9">
        <w:rPr>
          <w:lang w:val="fr-FR"/>
        </w:rPr>
        <w:t>’</w:t>
      </w:r>
      <w:r w:rsidRPr="004350F9">
        <w:rPr>
          <w:lang w:val="fr-FR"/>
        </w:rPr>
        <w:t>une défaillance dans les systèmes de communication électroniq</w:t>
      </w:r>
      <w:r w:rsidR="004350F9" w:rsidRPr="004350F9">
        <w:rPr>
          <w:lang w:val="fr-FR"/>
        </w:rPr>
        <w:t>ue.  En</w:t>
      </w:r>
      <w:r w:rsidR="00531A15" w:rsidRPr="004350F9">
        <w:rPr>
          <w:lang w:val="fr-FR"/>
        </w:rPr>
        <w:t xml:space="preserve"> outre, la partie intéressée sera également excusée lorsque des circonstances extraordinaires </w:t>
      </w:r>
      <w:r w:rsidR="002A5BD9">
        <w:rPr>
          <w:lang w:val="fr-FR"/>
        </w:rPr>
        <w:t>dans</w:t>
      </w:r>
      <w:r w:rsidR="00531A15" w:rsidRPr="004350F9">
        <w:rPr>
          <w:lang w:val="fr-FR"/>
        </w:rPr>
        <w:t xml:space="preserve"> </w:t>
      </w:r>
      <w:r w:rsidR="00A9253F" w:rsidRPr="004350F9">
        <w:rPr>
          <w:lang w:val="fr-FR"/>
        </w:rPr>
        <w:t>sa</w:t>
      </w:r>
      <w:r w:rsidR="00531A15" w:rsidRPr="004350F9">
        <w:rPr>
          <w:lang w:val="fr-FR"/>
        </w:rPr>
        <w:t xml:space="preserve"> localité (par exemple</w:t>
      </w:r>
      <w:r w:rsidR="00F008E2" w:rsidRPr="004350F9">
        <w:rPr>
          <w:lang w:val="fr-FR"/>
        </w:rPr>
        <w:t> </w:t>
      </w:r>
      <w:r w:rsidR="00531A15" w:rsidRPr="004350F9">
        <w:rPr>
          <w:lang w:val="fr-FR"/>
        </w:rPr>
        <w:t>: interruptions prolongées de</w:t>
      </w:r>
      <w:r w:rsidR="00764911">
        <w:rPr>
          <w:lang w:val="fr-FR"/>
        </w:rPr>
        <w:t>s</w:t>
      </w:r>
      <w:r w:rsidR="00531A15" w:rsidRPr="004350F9">
        <w:rPr>
          <w:lang w:val="fr-FR"/>
        </w:rPr>
        <w:t xml:space="preserve"> service</w:t>
      </w:r>
      <w:r w:rsidR="00764911">
        <w:rPr>
          <w:lang w:val="fr-FR"/>
        </w:rPr>
        <w:t>s</w:t>
      </w:r>
      <w:r w:rsidR="00531A15" w:rsidRPr="004350F9">
        <w:rPr>
          <w:lang w:val="fr-FR"/>
        </w:rPr>
        <w:t xml:space="preserve"> Internet, </w:t>
      </w:r>
      <w:r w:rsidR="006A333F" w:rsidRPr="004350F9">
        <w:rPr>
          <w:lang w:val="fr-FR"/>
        </w:rPr>
        <w:t>pannes</w:t>
      </w:r>
      <w:r w:rsidR="00531A15" w:rsidRPr="004350F9">
        <w:rPr>
          <w:lang w:val="fr-FR"/>
        </w:rPr>
        <w:t xml:space="preserve"> de courant imprévues) </w:t>
      </w:r>
      <w:r w:rsidR="00A9253F" w:rsidRPr="004350F9">
        <w:rPr>
          <w:lang w:val="fr-FR"/>
        </w:rPr>
        <w:t>l</w:t>
      </w:r>
      <w:r w:rsidR="00BB7778" w:rsidRPr="004350F9">
        <w:rPr>
          <w:lang w:val="fr-FR"/>
        </w:rPr>
        <w:t>’</w:t>
      </w:r>
      <w:r w:rsidR="00531A15" w:rsidRPr="004350F9">
        <w:rPr>
          <w:lang w:val="fr-FR"/>
        </w:rPr>
        <w:t>empêchent d</w:t>
      </w:r>
      <w:r w:rsidR="00BB7778" w:rsidRPr="004350F9">
        <w:rPr>
          <w:lang w:val="fr-FR"/>
        </w:rPr>
        <w:t>’</w:t>
      </w:r>
      <w:r w:rsidR="00531A15" w:rsidRPr="004350F9">
        <w:rPr>
          <w:lang w:val="fr-FR"/>
        </w:rPr>
        <w:t>effectuer la communication.</w:t>
      </w:r>
    </w:p>
    <w:p w:rsidR="00BB7778" w:rsidRPr="004350F9" w:rsidRDefault="006A333F" w:rsidP="00315F5C">
      <w:pPr>
        <w:pStyle w:val="ONUMFS"/>
        <w:rPr>
          <w:lang w:val="fr-FR"/>
        </w:rPr>
      </w:pPr>
      <w:r w:rsidRPr="004350F9">
        <w:rPr>
          <w:lang w:val="fr-FR"/>
        </w:rPr>
        <w:t xml:space="preserve">Pour être excusée, la partie intéressée </w:t>
      </w:r>
      <w:r w:rsidR="002A5BD9">
        <w:rPr>
          <w:lang w:val="fr-FR"/>
        </w:rPr>
        <w:t>doit</w:t>
      </w:r>
      <w:r w:rsidRPr="004350F9">
        <w:rPr>
          <w:lang w:val="fr-FR"/>
        </w:rPr>
        <w:t xml:space="preserve"> </w:t>
      </w:r>
      <w:r w:rsidR="00B8563D" w:rsidRPr="004350F9">
        <w:rPr>
          <w:lang w:val="fr-FR"/>
        </w:rPr>
        <w:t>présenter</w:t>
      </w:r>
      <w:r w:rsidRPr="004350F9">
        <w:rPr>
          <w:lang w:val="fr-FR"/>
        </w:rPr>
        <w:t xml:space="preserve"> une preuve suffisante </w:t>
      </w:r>
      <w:r w:rsidR="00B8563D" w:rsidRPr="004350F9">
        <w:rPr>
          <w:lang w:val="fr-FR"/>
        </w:rPr>
        <w:t>à</w:t>
      </w:r>
      <w:r w:rsidRPr="004350F9">
        <w:rPr>
          <w:lang w:val="fr-FR"/>
        </w:rPr>
        <w:t xml:space="preserve"> l</w:t>
      </w:r>
      <w:r w:rsidR="00BB7778" w:rsidRPr="004350F9">
        <w:rPr>
          <w:lang w:val="fr-FR"/>
        </w:rPr>
        <w:t>’</w:t>
      </w:r>
      <w:r w:rsidRPr="004350F9">
        <w:rPr>
          <w:lang w:val="fr-FR"/>
        </w:rPr>
        <w:t>OMPI (par exemple</w:t>
      </w:r>
      <w:r w:rsidR="00F008E2" w:rsidRPr="004350F9">
        <w:rPr>
          <w:lang w:val="fr-FR"/>
        </w:rPr>
        <w:t> </w:t>
      </w:r>
      <w:r w:rsidRPr="004350F9">
        <w:rPr>
          <w:lang w:val="fr-FR"/>
        </w:rPr>
        <w:t>: attestation du fournisseur d</w:t>
      </w:r>
      <w:r w:rsidR="00BB7778" w:rsidRPr="004350F9">
        <w:rPr>
          <w:lang w:val="fr-FR"/>
        </w:rPr>
        <w:t>’</w:t>
      </w:r>
      <w:r w:rsidRPr="004350F9">
        <w:rPr>
          <w:lang w:val="fr-FR"/>
        </w:rPr>
        <w:t>accès Internet confirmant que la communication a été envoyée ou que le service n</w:t>
      </w:r>
      <w:r w:rsidR="00BB7778" w:rsidRPr="004350F9">
        <w:rPr>
          <w:lang w:val="fr-FR"/>
        </w:rPr>
        <w:t>’</w:t>
      </w:r>
      <w:r w:rsidRPr="004350F9">
        <w:rPr>
          <w:lang w:val="fr-FR"/>
        </w:rPr>
        <w:t>était pas disponible, lettre de la compagnie d</w:t>
      </w:r>
      <w:r w:rsidR="00BB7778" w:rsidRPr="004350F9">
        <w:rPr>
          <w:lang w:val="fr-FR"/>
        </w:rPr>
        <w:t>’</w:t>
      </w:r>
      <w:r w:rsidRPr="004350F9">
        <w:rPr>
          <w:lang w:val="fr-FR"/>
        </w:rPr>
        <w:t>électricité faisant état de pannes de courant imprévues, articles de presse portant sur ces événements) et l</w:t>
      </w:r>
      <w:r w:rsidR="00BB7778" w:rsidRPr="004350F9">
        <w:rPr>
          <w:lang w:val="fr-FR"/>
        </w:rPr>
        <w:t>’</w:t>
      </w:r>
      <w:r w:rsidRPr="004350F9">
        <w:rPr>
          <w:lang w:val="fr-FR"/>
        </w:rPr>
        <w:t>OMPI</w:t>
      </w:r>
      <w:r w:rsidR="002A5BD9">
        <w:rPr>
          <w:lang w:val="fr-FR"/>
        </w:rPr>
        <w:t xml:space="preserve"> doit</w:t>
      </w:r>
      <w:r w:rsidRPr="004350F9">
        <w:rPr>
          <w:lang w:val="fr-FR"/>
        </w:rPr>
        <w:t xml:space="preserve"> recevoir une nouvelle communication dans </w:t>
      </w:r>
      <w:r w:rsidR="00A9253F" w:rsidRPr="004350F9">
        <w:rPr>
          <w:lang w:val="fr-FR"/>
        </w:rPr>
        <w:t>un délai de</w:t>
      </w:r>
      <w:r w:rsidRPr="004350F9">
        <w:rPr>
          <w:lang w:val="fr-FR"/>
        </w:rPr>
        <w:t xml:space="preserve"> cinq</w:t>
      </w:r>
      <w:r w:rsidR="00F008E2" w:rsidRPr="004350F9">
        <w:rPr>
          <w:lang w:val="fr-FR"/>
        </w:rPr>
        <w:t> </w:t>
      </w:r>
      <w:r w:rsidRPr="004350F9">
        <w:rPr>
          <w:lang w:val="fr-FR"/>
        </w:rPr>
        <w:t xml:space="preserve">jours </w:t>
      </w:r>
      <w:r w:rsidR="00A9253F" w:rsidRPr="004350F9">
        <w:rPr>
          <w:lang w:val="fr-FR"/>
        </w:rPr>
        <w:t>à compter de</w:t>
      </w:r>
      <w:r w:rsidRPr="004350F9">
        <w:rPr>
          <w:lang w:val="fr-FR"/>
        </w:rPr>
        <w:t xml:space="preserve"> la reprise des services.</w:t>
      </w:r>
    </w:p>
    <w:p w:rsidR="00BB7778" w:rsidRPr="004350F9" w:rsidRDefault="00B8563D" w:rsidP="00315F5C">
      <w:pPr>
        <w:pStyle w:val="ONUMFS"/>
        <w:rPr>
          <w:lang w:val="fr-FR"/>
        </w:rPr>
      </w:pPr>
      <w:r w:rsidRPr="004350F9">
        <w:rPr>
          <w:lang w:val="fr-FR"/>
        </w:rPr>
        <w:t xml:space="preserve">En vertu du </w:t>
      </w:r>
      <w:r w:rsidR="00DF5554" w:rsidRPr="004350F9">
        <w:rPr>
          <w:lang w:val="fr-FR"/>
        </w:rPr>
        <w:t xml:space="preserve">nouvel alinéa 4) </w:t>
      </w:r>
      <w:r w:rsidR="002A5BD9">
        <w:rPr>
          <w:lang w:val="fr-FR"/>
        </w:rPr>
        <w:t>de</w:t>
      </w:r>
      <w:r w:rsidR="00DF5554" w:rsidRPr="004350F9">
        <w:rPr>
          <w:lang w:val="fr-FR"/>
        </w:rPr>
        <w:t xml:space="preserve"> la règle 5, </w:t>
      </w:r>
      <w:r w:rsidRPr="004350F9">
        <w:rPr>
          <w:lang w:val="fr-FR"/>
        </w:rPr>
        <w:t>la preuve</w:t>
      </w:r>
      <w:r w:rsidR="00A9253F" w:rsidRPr="004350F9">
        <w:rPr>
          <w:lang w:val="fr-FR"/>
        </w:rPr>
        <w:t xml:space="preserve"> </w:t>
      </w:r>
      <w:r w:rsidRPr="004350F9">
        <w:rPr>
          <w:lang w:val="fr-FR"/>
        </w:rPr>
        <w:t>et la nouvelle communication</w:t>
      </w:r>
      <w:r w:rsidR="00A9253F" w:rsidRPr="004350F9">
        <w:rPr>
          <w:lang w:val="fr-FR"/>
        </w:rPr>
        <w:t xml:space="preserve"> susmentionnées </w:t>
      </w:r>
      <w:r w:rsidR="002A5BD9">
        <w:rPr>
          <w:lang w:val="fr-FR"/>
        </w:rPr>
        <w:t xml:space="preserve">devront être reçues par l’OMPI </w:t>
      </w:r>
      <w:r w:rsidR="00A9253F" w:rsidRPr="004350F9">
        <w:rPr>
          <w:lang w:val="fr-FR"/>
        </w:rPr>
        <w:t>au plus tard six</w:t>
      </w:r>
      <w:r w:rsidR="00F008E2" w:rsidRPr="004350F9">
        <w:rPr>
          <w:lang w:val="fr-FR"/>
        </w:rPr>
        <w:t> </w:t>
      </w:r>
      <w:r w:rsidR="00A9253F" w:rsidRPr="004350F9">
        <w:rPr>
          <w:lang w:val="fr-FR"/>
        </w:rPr>
        <w:t>mois après l</w:t>
      </w:r>
      <w:r w:rsidR="00BB7778" w:rsidRPr="004350F9">
        <w:rPr>
          <w:lang w:val="fr-FR"/>
        </w:rPr>
        <w:t>’</w:t>
      </w:r>
      <w:r w:rsidR="00A9253F" w:rsidRPr="004350F9">
        <w:rPr>
          <w:lang w:val="fr-FR"/>
        </w:rPr>
        <w:t>expiration du délai correspondant</w:t>
      </w:r>
      <w:r w:rsidR="0092128F" w:rsidRPr="004350F9">
        <w:rPr>
          <w:lang w:val="fr-FR"/>
        </w:rPr>
        <w:t>.</w:t>
      </w:r>
    </w:p>
    <w:p w:rsidR="00BB7778" w:rsidRPr="004350F9" w:rsidRDefault="00A9253F" w:rsidP="00315F5C">
      <w:pPr>
        <w:pStyle w:val="ONUMFS"/>
        <w:rPr>
          <w:lang w:val="fr-FR"/>
        </w:rPr>
      </w:pPr>
      <w:r w:rsidRPr="004350F9">
        <w:rPr>
          <w:lang w:val="fr-FR"/>
        </w:rPr>
        <w:lastRenderedPageBreak/>
        <w:t xml:space="preserve">En vertu du nouvel alinéa 5) </w:t>
      </w:r>
      <w:r w:rsidR="002A5BD9">
        <w:rPr>
          <w:lang w:val="fr-FR"/>
        </w:rPr>
        <w:t>de</w:t>
      </w:r>
      <w:r w:rsidRPr="004350F9">
        <w:rPr>
          <w:lang w:val="fr-FR"/>
        </w:rPr>
        <w:t xml:space="preserve"> la règle 5, lorsqu</w:t>
      </w:r>
      <w:r w:rsidR="00BB7778" w:rsidRPr="004350F9">
        <w:rPr>
          <w:lang w:val="fr-FR"/>
        </w:rPr>
        <w:t>’</w:t>
      </w:r>
      <w:r w:rsidRPr="004350F9">
        <w:rPr>
          <w:lang w:val="fr-FR"/>
        </w:rPr>
        <w:t>un office est excusé de ne pas avoir observé le délai de deux</w:t>
      </w:r>
      <w:r w:rsidR="00F008E2" w:rsidRPr="004350F9">
        <w:rPr>
          <w:lang w:val="fr-FR"/>
        </w:rPr>
        <w:t> </w:t>
      </w:r>
      <w:r w:rsidRPr="004350F9">
        <w:rPr>
          <w:lang w:val="fr-FR"/>
        </w:rPr>
        <w:t xml:space="preserve">mois </w:t>
      </w:r>
      <w:r w:rsidR="00213964" w:rsidRPr="004350F9">
        <w:rPr>
          <w:lang w:val="fr-FR"/>
        </w:rPr>
        <w:t>dans lequel l</w:t>
      </w:r>
      <w:r w:rsidR="00BB7778" w:rsidRPr="004350F9">
        <w:rPr>
          <w:lang w:val="fr-FR"/>
        </w:rPr>
        <w:t>’</w:t>
      </w:r>
      <w:r w:rsidR="00213964" w:rsidRPr="004350F9">
        <w:rPr>
          <w:lang w:val="fr-FR"/>
        </w:rPr>
        <w:t>OMPI aurait dû recevoir la demande internationale ou la désignation postérieure</w:t>
      </w:r>
      <w:r w:rsidR="00137592" w:rsidRPr="004350F9">
        <w:rPr>
          <w:lang w:val="fr-FR"/>
        </w:rPr>
        <w:t xml:space="preserve">, </w:t>
      </w:r>
      <w:r w:rsidR="00213964" w:rsidRPr="004350F9">
        <w:rPr>
          <w:lang w:val="fr-FR"/>
        </w:rPr>
        <w:t>visé à l</w:t>
      </w:r>
      <w:r w:rsidR="00BB7778" w:rsidRPr="004350F9">
        <w:rPr>
          <w:lang w:val="fr-FR"/>
        </w:rPr>
        <w:t>’</w:t>
      </w:r>
      <w:r w:rsidR="00213964" w:rsidRPr="004350F9">
        <w:rPr>
          <w:lang w:val="fr-FR"/>
        </w:rPr>
        <w:t>article 3.4) du Protocole de Madrid et à la règle 24.6)b), la date de l</w:t>
      </w:r>
      <w:r w:rsidR="00BB7778" w:rsidRPr="004350F9">
        <w:rPr>
          <w:lang w:val="fr-FR"/>
        </w:rPr>
        <w:t>’</w:t>
      </w:r>
      <w:r w:rsidR="00213964" w:rsidRPr="004350F9">
        <w:rPr>
          <w:lang w:val="fr-FR"/>
        </w:rPr>
        <w:t>enregistrement international ou de la désignation postérieure sera la date à laquelle l</w:t>
      </w:r>
      <w:r w:rsidR="00BB7778" w:rsidRPr="004350F9">
        <w:rPr>
          <w:lang w:val="fr-FR"/>
        </w:rPr>
        <w:t>’</w:t>
      </w:r>
      <w:r w:rsidR="00213964" w:rsidRPr="004350F9">
        <w:rPr>
          <w:lang w:val="fr-FR"/>
        </w:rPr>
        <w:t>office a reçu ladite demande ou désignation, certifiée par cet office.</w:t>
      </w:r>
    </w:p>
    <w:p w:rsidR="00BB7778" w:rsidRPr="004350F9" w:rsidRDefault="00D44DC9" w:rsidP="00315F5C">
      <w:pPr>
        <w:pStyle w:val="ONUMFS"/>
        <w:rPr>
          <w:lang w:val="fr-FR"/>
        </w:rPr>
      </w:pPr>
      <w:r w:rsidRPr="004350F9">
        <w:rPr>
          <w:lang w:val="fr-FR"/>
        </w:rPr>
        <w:t>Enfin, il est rappelé aux utilisateurs que l</w:t>
      </w:r>
      <w:r w:rsidR="00BB7778" w:rsidRPr="004350F9">
        <w:rPr>
          <w:lang w:val="fr-FR"/>
        </w:rPr>
        <w:t>’</w:t>
      </w:r>
      <w:r w:rsidRPr="004350F9">
        <w:rPr>
          <w:lang w:val="fr-FR"/>
        </w:rPr>
        <w:t>inobservation d</w:t>
      </w:r>
      <w:r w:rsidR="00BB7778" w:rsidRPr="004350F9">
        <w:rPr>
          <w:lang w:val="fr-FR"/>
        </w:rPr>
        <w:t>’</w:t>
      </w:r>
      <w:r w:rsidRPr="004350F9">
        <w:rPr>
          <w:lang w:val="fr-FR"/>
        </w:rPr>
        <w:t xml:space="preserve">un délai pour </w:t>
      </w:r>
      <w:r w:rsidR="002A5BD9">
        <w:rPr>
          <w:lang w:val="fr-FR"/>
        </w:rPr>
        <w:t>des</w:t>
      </w:r>
      <w:r w:rsidRPr="004350F9">
        <w:rPr>
          <w:lang w:val="fr-FR"/>
        </w:rPr>
        <w:t xml:space="preserve"> communication</w:t>
      </w:r>
      <w:r w:rsidR="002A5BD9">
        <w:rPr>
          <w:lang w:val="fr-FR"/>
        </w:rPr>
        <w:t>s</w:t>
      </w:r>
      <w:r w:rsidRPr="004350F9">
        <w:rPr>
          <w:lang w:val="fr-FR"/>
        </w:rPr>
        <w:t xml:space="preserve"> expédiée</w:t>
      </w:r>
      <w:r w:rsidR="002A5BD9">
        <w:rPr>
          <w:lang w:val="fr-FR"/>
        </w:rPr>
        <w:t>s</w:t>
      </w:r>
      <w:r w:rsidRPr="004350F9">
        <w:rPr>
          <w:lang w:val="fr-FR"/>
        </w:rPr>
        <w:t xml:space="preserve"> par l</w:t>
      </w:r>
      <w:r w:rsidR="00BB7778" w:rsidRPr="004350F9">
        <w:rPr>
          <w:lang w:val="fr-FR"/>
        </w:rPr>
        <w:t>’</w:t>
      </w:r>
      <w:r w:rsidRPr="004350F9">
        <w:rPr>
          <w:lang w:val="fr-FR"/>
        </w:rPr>
        <w:t>intermédiaire d</w:t>
      </w:r>
      <w:r w:rsidR="00BB7778" w:rsidRPr="004350F9">
        <w:rPr>
          <w:lang w:val="fr-FR"/>
        </w:rPr>
        <w:t>’</w:t>
      </w:r>
      <w:r w:rsidRPr="004350F9">
        <w:rPr>
          <w:lang w:val="fr-FR"/>
        </w:rPr>
        <w:t>un service postal ou d</w:t>
      </w:r>
      <w:r w:rsidR="00BB7778" w:rsidRPr="004350F9">
        <w:rPr>
          <w:lang w:val="fr-FR"/>
        </w:rPr>
        <w:t>’</w:t>
      </w:r>
      <w:r w:rsidRPr="004350F9">
        <w:rPr>
          <w:lang w:val="fr-FR"/>
        </w:rPr>
        <w:t>une entreprise d</w:t>
      </w:r>
      <w:r w:rsidR="00BB7778" w:rsidRPr="004350F9">
        <w:rPr>
          <w:lang w:val="fr-FR"/>
        </w:rPr>
        <w:t>’</w:t>
      </w:r>
      <w:r w:rsidRPr="004350F9">
        <w:rPr>
          <w:lang w:val="fr-FR"/>
        </w:rPr>
        <w:t xml:space="preserve">acheminement du courrier </w:t>
      </w:r>
      <w:r w:rsidR="002A5BD9">
        <w:rPr>
          <w:lang w:val="fr-FR"/>
        </w:rPr>
        <w:t>peut être</w:t>
      </w:r>
      <w:r w:rsidRPr="004350F9">
        <w:rPr>
          <w:lang w:val="fr-FR"/>
        </w:rPr>
        <w:t xml:space="preserve"> excusée selon les conditions visées aux alinéas 1) </w:t>
      </w:r>
      <w:r w:rsidR="00315F5C">
        <w:rPr>
          <w:lang w:val="fr-FR"/>
        </w:rPr>
        <w:t>ou</w:t>
      </w:r>
      <w:r w:rsidRPr="004350F9">
        <w:rPr>
          <w:lang w:val="fr-FR"/>
        </w:rPr>
        <w:t> 2) de la règle 5</w:t>
      </w:r>
      <w:r w:rsidR="0017543F" w:rsidRPr="004350F9">
        <w:rPr>
          <w:lang w:val="fr-FR"/>
        </w:rPr>
        <w:t>.</w:t>
      </w:r>
    </w:p>
    <w:p w:rsidR="0082424B" w:rsidRDefault="00D44DC9" w:rsidP="00315F5C">
      <w:pPr>
        <w:pStyle w:val="Heading3"/>
        <w:rPr>
          <w:lang w:val="fr-FR"/>
        </w:rPr>
      </w:pPr>
      <w:r w:rsidRPr="004350F9">
        <w:rPr>
          <w:lang w:val="fr-FR"/>
        </w:rPr>
        <w:t>Modifications de la règle </w:t>
      </w:r>
      <w:r w:rsidR="0050560F" w:rsidRPr="004350F9">
        <w:rPr>
          <w:lang w:val="fr-FR"/>
        </w:rPr>
        <w:t xml:space="preserve">36 </w:t>
      </w:r>
      <w:r w:rsidRPr="004350F9">
        <w:rPr>
          <w:lang w:val="fr-FR"/>
        </w:rPr>
        <w:t>du règlement d</w:t>
      </w:r>
      <w:r w:rsidR="00BB7778" w:rsidRPr="004350F9">
        <w:rPr>
          <w:lang w:val="fr-FR"/>
        </w:rPr>
        <w:t>’</w:t>
      </w:r>
      <w:r w:rsidRPr="004350F9">
        <w:rPr>
          <w:lang w:val="fr-FR"/>
        </w:rPr>
        <w:t>exécution commun :</w:t>
      </w:r>
      <w:r w:rsidR="009F5AC9" w:rsidRPr="004350F9">
        <w:rPr>
          <w:lang w:val="fr-FR"/>
        </w:rPr>
        <w:t xml:space="preserve"> </w:t>
      </w:r>
      <w:r w:rsidR="0050560F" w:rsidRPr="004350F9">
        <w:rPr>
          <w:lang w:val="fr-FR"/>
        </w:rPr>
        <w:t xml:space="preserve">Exemption </w:t>
      </w:r>
      <w:r w:rsidR="002A5BD9">
        <w:rPr>
          <w:lang w:val="fr-FR"/>
        </w:rPr>
        <w:t>de taxes</w:t>
      </w:r>
    </w:p>
    <w:p w:rsidR="00E57F91" w:rsidRPr="00E57F91" w:rsidRDefault="00E57F91" w:rsidP="00315F5C">
      <w:pPr>
        <w:rPr>
          <w:lang w:val="fr-FR"/>
        </w:rPr>
      </w:pPr>
    </w:p>
    <w:p w:rsidR="00BB7778" w:rsidRPr="004350F9" w:rsidRDefault="00C41118" w:rsidP="00315F5C">
      <w:pPr>
        <w:pStyle w:val="ONUMFS"/>
        <w:rPr>
          <w:lang w:val="fr-FR"/>
        </w:rPr>
      </w:pPr>
      <w:r w:rsidRPr="004350F9">
        <w:rPr>
          <w:lang w:val="fr-FR"/>
        </w:rPr>
        <w:t>Une modification apportée à l</w:t>
      </w:r>
      <w:r w:rsidR="00BB7778" w:rsidRPr="004350F9">
        <w:rPr>
          <w:lang w:val="fr-FR"/>
        </w:rPr>
        <w:t>’</w:t>
      </w:r>
      <w:r w:rsidRPr="004350F9">
        <w:rPr>
          <w:lang w:val="fr-FR"/>
        </w:rPr>
        <w:t>alinéa </w:t>
      </w:r>
      <w:r w:rsidR="0037592F" w:rsidRPr="004350F9">
        <w:rPr>
          <w:lang w:val="fr-FR"/>
        </w:rPr>
        <w:t>ii)</w:t>
      </w:r>
      <w:r w:rsidRPr="004350F9">
        <w:rPr>
          <w:lang w:val="fr-FR"/>
        </w:rPr>
        <w:t xml:space="preserve"> de la règle</w:t>
      </w:r>
      <w:r w:rsidR="009F5AC9" w:rsidRPr="004350F9">
        <w:rPr>
          <w:lang w:val="fr-FR"/>
        </w:rPr>
        <w:t> </w:t>
      </w:r>
      <w:r w:rsidR="00B819CE" w:rsidRPr="004350F9">
        <w:rPr>
          <w:lang w:val="fr-FR"/>
        </w:rPr>
        <w:t xml:space="preserve">36 </w:t>
      </w:r>
      <w:r w:rsidRPr="004350F9">
        <w:rPr>
          <w:lang w:val="fr-FR"/>
        </w:rPr>
        <w:t>précise que les modifications concernant l</w:t>
      </w:r>
      <w:r w:rsidR="00BB7778" w:rsidRPr="004350F9">
        <w:rPr>
          <w:lang w:val="fr-FR"/>
        </w:rPr>
        <w:t>’</w:t>
      </w:r>
      <w:r w:rsidRPr="004350F9">
        <w:rPr>
          <w:lang w:val="fr-FR"/>
        </w:rPr>
        <w:t>adresse pour la correspondance, l</w:t>
      </w:r>
      <w:r w:rsidR="00BB7778" w:rsidRPr="004350F9">
        <w:rPr>
          <w:lang w:val="fr-FR"/>
        </w:rPr>
        <w:t>’</w:t>
      </w:r>
      <w:r w:rsidRPr="004350F9">
        <w:rPr>
          <w:lang w:val="fr-FR"/>
        </w:rPr>
        <w:t>adresse électronique, les numéros de téléphone et de télécopieur et tout autre moyen de communication avec le déposant ou le titulaire sont exemptes de taxes.</w:t>
      </w:r>
    </w:p>
    <w:p w:rsidR="00BB7778" w:rsidRPr="004350F9" w:rsidRDefault="00C41118" w:rsidP="00315F5C">
      <w:pPr>
        <w:pStyle w:val="ONUMFS"/>
        <w:rPr>
          <w:lang w:val="fr-FR"/>
        </w:rPr>
      </w:pPr>
      <w:r w:rsidRPr="004350F9">
        <w:rPr>
          <w:lang w:val="fr-FR"/>
        </w:rPr>
        <w:t>Les déposants et les titulaires qui souhaitent demander l</w:t>
      </w:r>
      <w:r w:rsidR="00BB7778" w:rsidRPr="004350F9">
        <w:rPr>
          <w:lang w:val="fr-FR"/>
        </w:rPr>
        <w:t>’</w:t>
      </w:r>
      <w:r w:rsidRPr="004350F9">
        <w:rPr>
          <w:lang w:val="fr-FR"/>
        </w:rPr>
        <w:t xml:space="preserve">une des modifications susmentionnées concernant leurs coordonnées peuvent le faire en envoyant une communication </w:t>
      </w:r>
      <w:r w:rsidR="002A5BD9">
        <w:rPr>
          <w:lang w:val="fr-FR"/>
        </w:rPr>
        <w:t xml:space="preserve">à l’OMPI, </w:t>
      </w:r>
      <w:r w:rsidRPr="004350F9">
        <w:rPr>
          <w:lang w:val="fr-FR"/>
        </w:rPr>
        <w:t xml:space="preserve">signée par le déposant, le titulaire ou </w:t>
      </w:r>
      <w:r w:rsidR="00315F5C">
        <w:rPr>
          <w:lang w:val="fr-FR"/>
        </w:rPr>
        <w:t>le</w:t>
      </w:r>
      <w:r w:rsidRPr="004350F9">
        <w:rPr>
          <w:lang w:val="fr-FR"/>
        </w:rPr>
        <w:t xml:space="preserve"> mandataire inscr</w:t>
      </w:r>
      <w:r w:rsidR="004350F9" w:rsidRPr="004350F9">
        <w:rPr>
          <w:lang w:val="fr-FR"/>
        </w:rPr>
        <w:t>it.  En</w:t>
      </w:r>
      <w:r w:rsidR="00414EA1" w:rsidRPr="004350F9">
        <w:rPr>
          <w:lang w:val="fr-FR"/>
        </w:rPr>
        <w:t xml:space="preserve"> sus de la modification demandée, la communication doit clairement indiquer le nom du déposant ou du titulaire et, selon le cas, le(s) numéro(s) de la demande de base, de l</w:t>
      </w:r>
      <w:r w:rsidR="00BB7778" w:rsidRPr="004350F9">
        <w:rPr>
          <w:lang w:val="fr-FR"/>
        </w:rPr>
        <w:t>’</w:t>
      </w:r>
      <w:r w:rsidR="00414EA1" w:rsidRPr="004350F9">
        <w:rPr>
          <w:lang w:val="fr-FR"/>
        </w:rPr>
        <w:t>enregistrement de base ou de l</w:t>
      </w:r>
      <w:r w:rsidR="00BB7778" w:rsidRPr="004350F9">
        <w:rPr>
          <w:lang w:val="fr-FR"/>
        </w:rPr>
        <w:t>’</w:t>
      </w:r>
      <w:r w:rsidR="00414EA1" w:rsidRPr="004350F9">
        <w:rPr>
          <w:lang w:val="fr-FR"/>
        </w:rPr>
        <w:t>enregistrement internation</w:t>
      </w:r>
      <w:r w:rsidR="004350F9" w:rsidRPr="004350F9">
        <w:rPr>
          <w:lang w:val="fr-FR"/>
        </w:rPr>
        <w:t>al.  Le</w:t>
      </w:r>
      <w:r w:rsidR="00414EA1" w:rsidRPr="004350F9">
        <w:rPr>
          <w:lang w:val="fr-FR"/>
        </w:rPr>
        <w:t>s déposants et les titulair</w:t>
      </w:r>
      <w:r w:rsidR="00A55980" w:rsidRPr="004350F9">
        <w:rPr>
          <w:lang w:val="fr-FR"/>
        </w:rPr>
        <w:t>e</w:t>
      </w:r>
      <w:r w:rsidR="00414EA1" w:rsidRPr="004350F9">
        <w:rPr>
          <w:lang w:val="fr-FR"/>
        </w:rPr>
        <w:t xml:space="preserve">s sont encouragés </w:t>
      </w:r>
      <w:r w:rsidR="00A55980" w:rsidRPr="004350F9">
        <w:rPr>
          <w:lang w:val="fr-FR"/>
        </w:rPr>
        <w:t>à garder leurs coordonnées à jour afin de recevoir les communications de l</w:t>
      </w:r>
      <w:r w:rsidR="00BB7778" w:rsidRPr="004350F9">
        <w:rPr>
          <w:lang w:val="fr-FR"/>
        </w:rPr>
        <w:t>’</w:t>
      </w:r>
      <w:r w:rsidR="00A55980" w:rsidRPr="004350F9">
        <w:rPr>
          <w:lang w:val="fr-FR"/>
        </w:rPr>
        <w:t>OMPI à leur adresse actuelle</w:t>
      </w:r>
      <w:r w:rsidR="00517BA5" w:rsidRPr="004350F9">
        <w:rPr>
          <w:lang w:val="fr-FR"/>
        </w:rPr>
        <w:t>.</w:t>
      </w:r>
    </w:p>
    <w:p w:rsidR="0082424B" w:rsidRPr="004350F9" w:rsidRDefault="00A55980" w:rsidP="00315F5C">
      <w:pPr>
        <w:pStyle w:val="ONUMFS"/>
        <w:rPr>
          <w:lang w:val="fr-FR"/>
        </w:rPr>
      </w:pPr>
      <w:r w:rsidRPr="004350F9">
        <w:rPr>
          <w:lang w:val="fr-FR"/>
        </w:rPr>
        <w:t>Lorsque les titulaires demandent l</w:t>
      </w:r>
      <w:r w:rsidR="00BB7778" w:rsidRPr="004350F9">
        <w:rPr>
          <w:lang w:val="fr-FR"/>
        </w:rPr>
        <w:t>’</w:t>
      </w:r>
      <w:r w:rsidRPr="004350F9">
        <w:rPr>
          <w:lang w:val="fr-FR"/>
        </w:rPr>
        <w:t>inscription d</w:t>
      </w:r>
      <w:r w:rsidR="00BB7778" w:rsidRPr="004350F9">
        <w:rPr>
          <w:lang w:val="fr-FR"/>
        </w:rPr>
        <w:t>’</w:t>
      </w:r>
      <w:r w:rsidRPr="004350F9">
        <w:rPr>
          <w:lang w:val="fr-FR"/>
        </w:rPr>
        <w:t>une modification concernant leur nom ou leur adresse au moyen du formulaire MM9,</w:t>
      </w:r>
      <w:r w:rsidR="004D1C5A" w:rsidRPr="004350F9">
        <w:rPr>
          <w:lang w:val="fr-FR"/>
        </w:rPr>
        <w:t xml:space="preserve"> </w:t>
      </w:r>
      <w:r w:rsidRPr="004350F9">
        <w:rPr>
          <w:lang w:val="fr-FR"/>
        </w:rPr>
        <w:t>ils doivent confirmer leur adresse pour la correspondance, faute de quoi l</w:t>
      </w:r>
      <w:r w:rsidR="00BB7778" w:rsidRPr="004350F9">
        <w:rPr>
          <w:lang w:val="fr-FR"/>
        </w:rPr>
        <w:t>’</w:t>
      </w:r>
      <w:r w:rsidRPr="004350F9">
        <w:rPr>
          <w:lang w:val="fr-FR"/>
        </w:rPr>
        <w:t>OMPI enverra les communications à leur nouvelle adres</w:t>
      </w:r>
      <w:r w:rsidR="004350F9" w:rsidRPr="004350F9">
        <w:rPr>
          <w:lang w:val="fr-FR"/>
        </w:rPr>
        <w:t>se.  Le</w:t>
      </w:r>
      <w:r w:rsidRPr="004350F9">
        <w:rPr>
          <w:lang w:val="fr-FR"/>
        </w:rPr>
        <w:t>s titulaires peuvent également saisir cette occasion pour opter pour la communication au format électronique ou pour demander que leurs coordonnées soient actualisées en fournissant les indications requises à la rubrique 4 du formulaire</w:t>
      </w:r>
      <w:r w:rsidR="00EB53A4" w:rsidRPr="004350F9">
        <w:rPr>
          <w:lang w:val="fr-FR"/>
        </w:rPr>
        <w:t>.</w:t>
      </w:r>
    </w:p>
    <w:p w:rsidR="0082424B" w:rsidRPr="004350F9" w:rsidRDefault="00A55980" w:rsidP="00315F5C">
      <w:pPr>
        <w:pStyle w:val="Heading3"/>
        <w:rPr>
          <w:lang w:val="fr-FR"/>
        </w:rPr>
      </w:pPr>
      <w:r w:rsidRPr="004350F9">
        <w:rPr>
          <w:lang w:val="fr-FR"/>
        </w:rPr>
        <w:t xml:space="preserve">Marche à suivre pour </w:t>
      </w:r>
      <w:r w:rsidR="004932E9" w:rsidRPr="004350F9">
        <w:rPr>
          <w:lang w:val="fr-FR"/>
        </w:rPr>
        <w:t>présenter</w:t>
      </w:r>
      <w:r w:rsidRPr="004350F9">
        <w:rPr>
          <w:lang w:val="fr-FR"/>
        </w:rPr>
        <w:t xml:space="preserve"> des demandes </w:t>
      </w:r>
      <w:r w:rsidR="006917F4">
        <w:rPr>
          <w:lang w:val="fr-FR"/>
        </w:rPr>
        <w:t>en vertu</w:t>
      </w:r>
      <w:r w:rsidR="002A5BD9">
        <w:rPr>
          <w:lang w:val="fr-FR"/>
        </w:rPr>
        <w:t xml:space="preserve"> des</w:t>
      </w:r>
      <w:r w:rsidRPr="004350F9">
        <w:rPr>
          <w:lang w:val="fr-FR"/>
        </w:rPr>
        <w:t xml:space="preserve"> règles 5 et 36.ii) du règlement d</w:t>
      </w:r>
      <w:r w:rsidR="00BB7778" w:rsidRPr="004350F9">
        <w:rPr>
          <w:lang w:val="fr-FR"/>
        </w:rPr>
        <w:t>’</w:t>
      </w:r>
      <w:r w:rsidRPr="004350F9">
        <w:rPr>
          <w:lang w:val="fr-FR"/>
        </w:rPr>
        <w:t>exécution commun</w:t>
      </w:r>
    </w:p>
    <w:p w:rsidR="0082424B" w:rsidRPr="004350F9" w:rsidRDefault="0082424B" w:rsidP="00315F5C">
      <w:pPr>
        <w:rPr>
          <w:u w:val="single"/>
          <w:lang w:val="fr-FR"/>
        </w:rPr>
      </w:pPr>
    </w:p>
    <w:p w:rsidR="00BB7778" w:rsidRPr="004350F9" w:rsidRDefault="004932E9" w:rsidP="00315F5C">
      <w:pPr>
        <w:pStyle w:val="ONUMFS"/>
        <w:rPr>
          <w:lang w:val="fr-FR"/>
        </w:rPr>
      </w:pPr>
      <w:r w:rsidRPr="004350F9">
        <w:rPr>
          <w:lang w:val="fr-FR"/>
        </w:rPr>
        <w:t xml:space="preserve">Toute communication </w:t>
      </w:r>
      <w:r w:rsidR="006917F4">
        <w:rPr>
          <w:lang w:val="fr-FR"/>
        </w:rPr>
        <w:t>en vertu</w:t>
      </w:r>
      <w:r w:rsidRPr="004350F9">
        <w:rPr>
          <w:lang w:val="fr-FR"/>
        </w:rPr>
        <w:t xml:space="preserve"> de la règle 5</w:t>
      </w:r>
      <w:r w:rsidR="008640BB" w:rsidRPr="004350F9">
        <w:rPr>
          <w:lang w:val="fr-FR"/>
        </w:rPr>
        <w:t xml:space="preserve">, </w:t>
      </w:r>
      <w:r w:rsidRPr="004350F9">
        <w:rPr>
          <w:lang w:val="fr-FR"/>
        </w:rPr>
        <w:t>pour demander qu</w:t>
      </w:r>
      <w:r w:rsidR="00BB7778" w:rsidRPr="004350F9">
        <w:rPr>
          <w:lang w:val="fr-FR"/>
        </w:rPr>
        <w:t>’</w:t>
      </w:r>
      <w:r w:rsidRPr="004350F9">
        <w:rPr>
          <w:lang w:val="fr-FR"/>
        </w:rPr>
        <w:t xml:space="preserve">une partie intéressée soit excusée </w:t>
      </w:r>
      <w:r w:rsidR="002A5BD9">
        <w:rPr>
          <w:lang w:val="fr-FR"/>
        </w:rPr>
        <w:t>pour l’inobservation d’</w:t>
      </w:r>
      <w:r w:rsidRPr="004350F9">
        <w:rPr>
          <w:lang w:val="fr-FR"/>
        </w:rPr>
        <w:t xml:space="preserve">un délai, ou </w:t>
      </w:r>
      <w:r w:rsidR="006917F4">
        <w:rPr>
          <w:lang w:val="fr-FR"/>
        </w:rPr>
        <w:t>en vertu</w:t>
      </w:r>
      <w:r w:rsidRPr="004350F9">
        <w:rPr>
          <w:lang w:val="fr-FR"/>
        </w:rPr>
        <w:t xml:space="preserve"> de la règle</w:t>
      </w:r>
      <w:r w:rsidR="00F008E2" w:rsidRPr="004350F9">
        <w:rPr>
          <w:lang w:val="fr-FR"/>
        </w:rPr>
        <w:t> </w:t>
      </w:r>
      <w:r w:rsidRPr="004350F9">
        <w:rPr>
          <w:lang w:val="fr-FR"/>
        </w:rPr>
        <w:t>36.ii) du règlement d</w:t>
      </w:r>
      <w:r w:rsidR="00BB7778" w:rsidRPr="004350F9">
        <w:rPr>
          <w:lang w:val="fr-FR"/>
        </w:rPr>
        <w:t>’</w:t>
      </w:r>
      <w:r w:rsidRPr="004350F9">
        <w:rPr>
          <w:lang w:val="fr-FR"/>
        </w:rPr>
        <w:t>exécution commun, pour demander une modification concernant les coordonnées du déposant ou du titulaire, peut être présentée à l</w:t>
      </w:r>
      <w:r w:rsidR="00BB7778" w:rsidRPr="004350F9">
        <w:rPr>
          <w:lang w:val="fr-FR"/>
        </w:rPr>
        <w:t>’</w:t>
      </w:r>
      <w:r w:rsidRPr="004350F9">
        <w:rPr>
          <w:lang w:val="fr-FR"/>
        </w:rPr>
        <w:t>OMPI comme suit :</w:t>
      </w:r>
    </w:p>
    <w:p w:rsidR="0082424B" w:rsidRPr="004350F9" w:rsidRDefault="004932E9" w:rsidP="00315F5C">
      <w:pPr>
        <w:ind w:left="3402" w:hanging="2835"/>
        <w:rPr>
          <w:lang w:val="fr-FR"/>
        </w:rPr>
      </w:pPr>
      <w:r w:rsidRPr="004350F9">
        <w:rPr>
          <w:lang w:val="fr-FR"/>
        </w:rPr>
        <w:t>Par courrier électronique :</w:t>
      </w:r>
      <w:r w:rsidR="009F5AC9" w:rsidRPr="004350F9">
        <w:rPr>
          <w:lang w:val="fr-FR"/>
        </w:rPr>
        <w:t xml:space="preserve"> </w:t>
      </w:r>
      <w:r w:rsidR="009F5AC9" w:rsidRPr="004350F9">
        <w:rPr>
          <w:lang w:val="fr-FR"/>
        </w:rPr>
        <w:tab/>
      </w:r>
      <w:hyperlink r:id="rId10" w:history="1">
        <w:r w:rsidR="009F5AC9" w:rsidRPr="004350F9">
          <w:rPr>
            <w:rStyle w:val="Hyperlink"/>
            <w:lang w:val="fr-FR"/>
          </w:rPr>
          <w:t>intreg@wipo.int</w:t>
        </w:r>
      </w:hyperlink>
    </w:p>
    <w:p w:rsidR="00BB7778" w:rsidRPr="004350F9" w:rsidRDefault="004932E9" w:rsidP="00315F5C">
      <w:pPr>
        <w:ind w:left="3402"/>
        <w:rPr>
          <w:lang w:val="fr-FR"/>
        </w:rPr>
      </w:pPr>
      <w:r w:rsidRPr="004350F9">
        <w:rPr>
          <w:lang w:val="fr-FR"/>
        </w:rPr>
        <w:t>Indiquer comme objet du courrier électronique, selon le cas,</w:t>
      </w:r>
    </w:p>
    <w:p w:rsidR="0082424B" w:rsidRPr="004350F9" w:rsidRDefault="009F5AC9" w:rsidP="00315F5C">
      <w:pPr>
        <w:ind w:left="3402"/>
        <w:rPr>
          <w:lang w:val="fr-FR"/>
        </w:rPr>
      </w:pPr>
      <w:r w:rsidRPr="004350F9">
        <w:rPr>
          <w:lang w:val="fr-FR"/>
        </w:rPr>
        <w:t>“</w:t>
      </w:r>
      <w:r w:rsidR="004932E9" w:rsidRPr="004350F9">
        <w:rPr>
          <w:lang w:val="fr-FR"/>
        </w:rPr>
        <w:t>Demande d</w:t>
      </w:r>
      <w:r w:rsidR="00BB7778" w:rsidRPr="004350F9">
        <w:rPr>
          <w:lang w:val="fr-FR"/>
        </w:rPr>
        <w:t>’</w:t>
      </w:r>
      <w:r w:rsidR="004932E9" w:rsidRPr="004350F9">
        <w:rPr>
          <w:lang w:val="fr-FR"/>
        </w:rPr>
        <w:t>excuse pour l</w:t>
      </w:r>
      <w:r w:rsidR="00BB7778" w:rsidRPr="004350F9">
        <w:rPr>
          <w:lang w:val="fr-FR"/>
        </w:rPr>
        <w:t>’</w:t>
      </w:r>
      <w:r w:rsidR="004932E9" w:rsidRPr="004350F9">
        <w:rPr>
          <w:lang w:val="fr-FR"/>
        </w:rPr>
        <w:t>inobservation d</w:t>
      </w:r>
      <w:r w:rsidR="00BB7778" w:rsidRPr="004350F9">
        <w:rPr>
          <w:lang w:val="fr-FR"/>
        </w:rPr>
        <w:t>’</w:t>
      </w:r>
      <w:r w:rsidR="004932E9" w:rsidRPr="004350F9">
        <w:rPr>
          <w:lang w:val="fr-FR"/>
        </w:rPr>
        <w:t xml:space="preserve">un délai </w:t>
      </w:r>
      <w:r w:rsidR="006917F4">
        <w:rPr>
          <w:lang w:val="fr-FR"/>
        </w:rPr>
        <w:t>en vertu</w:t>
      </w:r>
      <w:r w:rsidR="004932E9" w:rsidRPr="004350F9">
        <w:rPr>
          <w:lang w:val="fr-FR"/>
        </w:rPr>
        <w:t xml:space="preserve"> de la règle</w:t>
      </w:r>
      <w:r w:rsidR="00F008E2" w:rsidRPr="004350F9">
        <w:rPr>
          <w:lang w:val="fr-FR"/>
        </w:rPr>
        <w:t> </w:t>
      </w:r>
      <w:r w:rsidR="004932E9" w:rsidRPr="004350F9">
        <w:rPr>
          <w:lang w:val="fr-FR"/>
        </w:rPr>
        <w:t>5</w:t>
      </w:r>
      <w:r w:rsidRPr="004350F9">
        <w:rPr>
          <w:lang w:val="fr-FR"/>
        </w:rPr>
        <w:t>”</w:t>
      </w:r>
    </w:p>
    <w:p w:rsidR="0082424B" w:rsidRPr="004350F9" w:rsidRDefault="009F5AC9" w:rsidP="00315F5C">
      <w:pPr>
        <w:ind w:left="3402"/>
        <w:rPr>
          <w:lang w:val="fr-FR"/>
        </w:rPr>
      </w:pPr>
      <w:r w:rsidRPr="004350F9">
        <w:rPr>
          <w:lang w:val="fr-FR"/>
        </w:rPr>
        <w:t>“</w:t>
      </w:r>
      <w:r w:rsidR="004932E9" w:rsidRPr="004350F9">
        <w:rPr>
          <w:lang w:val="fr-FR"/>
        </w:rPr>
        <w:t xml:space="preserve">Demande de modification de coordonnées </w:t>
      </w:r>
      <w:r w:rsidR="006917F4">
        <w:rPr>
          <w:lang w:val="fr-FR"/>
        </w:rPr>
        <w:t>en vertu</w:t>
      </w:r>
      <w:r w:rsidR="004932E9" w:rsidRPr="004350F9">
        <w:rPr>
          <w:lang w:val="fr-FR"/>
        </w:rPr>
        <w:t xml:space="preserve"> de la règle</w:t>
      </w:r>
      <w:r w:rsidRPr="004350F9">
        <w:rPr>
          <w:lang w:val="fr-FR"/>
        </w:rPr>
        <w:t> 36</w:t>
      </w:r>
      <w:r w:rsidR="004932E9" w:rsidRPr="004350F9">
        <w:rPr>
          <w:lang w:val="fr-FR"/>
        </w:rPr>
        <w:t>.</w:t>
      </w:r>
      <w:r w:rsidRPr="004350F9">
        <w:rPr>
          <w:lang w:val="fr-FR"/>
        </w:rPr>
        <w:t>ii)”</w:t>
      </w:r>
    </w:p>
    <w:p w:rsidR="0082424B" w:rsidRPr="004350F9" w:rsidRDefault="0082424B" w:rsidP="00315F5C">
      <w:pPr>
        <w:ind w:left="3402" w:hanging="2835"/>
        <w:rPr>
          <w:lang w:val="fr-FR"/>
        </w:rPr>
      </w:pPr>
    </w:p>
    <w:p w:rsidR="0082424B" w:rsidRPr="004350F9" w:rsidRDefault="004932E9" w:rsidP="00315F5C">
      <w:pPr>
        <w:keepNext/>
        <w:ind w:left="3402" w:hanging="2835"/>
        <w:rPr>
          <w:lang w:val="fr-FR"/>
        </w:rPr>
      </w:pPr>
      <w:r w:rsidRPr="004350F9">
        <w:rPr>
          <w:lang w:val="fr-FR"/>
        </w:rPr>
        <w:t>Par service postal :</w:t>
      </w:r>
      <w:r w:rsidR="009F5AC9" w:rsidRPr="004350F9">
        <w:rPr>
          <w:lang w:val="fr-FR"/>
        </w:rPr>
        <w:t xml:space="preserve"> </w:t>
      </w:r>
      <w:r w:rsidR="009F5AC9" w:rsidRPr="004350F9">
        <w:rPr>
          <w:lang w:val="fr-FR"/>
        </w:rPr>
        <w:tab/>
      </w:r>
      <w:r w:rsidRPr="004350F9">
        <w:rPr>
          <w:lang w:val="fr-FR"/>
        </w:rPr>
        <w:t>Service d</w:t>
      </w:r>
      <w:r w:rsidR="00BB7778" w:rsidRPr="004350F9">
        <w:rPr>
          <w:lang w:val="fr-FR"/>
        </w:rPr>
        <w:t>’</w:t>
      </w:r>
      <w:r w:rsidRPr="004350F9">
        <w:rPr>
          <w:lang w:val="fr-FR"/>
        </w:rPr>
        <w:t>enregistrement de Madrid</w:t>
      </w:r>
    </w:p>
    <w:p w:rsidR="0082424B" w:rsidRPr="004350F9" w:rsidRDefault="004932E9" w:rsidP="00315F5C">
      <w:pPr>
        <w:tabs>
          <w:tab w:val="left" w:pos="2835"/>
        </w:tabs>
        <w:ind w:left="3402"/>
        <w:rPr>
          <w:lang w:val="fr-FR"/>
        </w:rPr>
      </w:pPr>
      <w:r w:rsidRPr="004350F9">
        <w:rPr>
          <w:lang w:val="fr-FR"/>
        </w:rPr>
        <w:t>Organisation Mondiale de la Propriété Intellectuelle</w:t>
      </w:r>
    </w:p>
    <w:p w:rsidR="0082424B" w:rsidRPr="004350F9" w:rsidRDefault="009F5AC9" w:rsidP="00315F5C">
      <w:pPr>
        <w:tabs>
          <w:tab w:val="left" w:pos="2835"/>
        </w:tabs>
        <w:ind w:left="3402"/>
        <w:rPr>
          <w:lang w:val="fr-FR"/>
        </w:rPr>
      </w:pPr>
      <w:r w:rsidRPr="004350F9">
        <w:rPr>
          <w:lang w:val="fr-FR"/>
        </w:rPr>
        <w:t>34, chemin des Colombettes</w:t>
      </w:r>
    </w:p>
    <w:p w:rsidR="0082424B" w:rsidRPr="004350F9" w:rsidRDefault="009F5AC9" w:rsidP="00315F5C">
      <w:pPr>
        <w:tabs>
          <w:tab w:val="left" w:pos="2835"/>
        </w:tabs>
        <w:ind w:left="3402"/>
        <w:rPr>
          <w:lang w:val="fr-FR"/>
        </w:rPr>
      </w:pPr>
      <w:r w:rsidRPr="004350F9">
        <w:rPr>
          <w:lang w:val="fr-FR"/>
        </w:rPr>
        <w:t>1211 Gen</w:t>
      </w:r>
      <w:r w:rsidR="004932E9" w:rsidRPr="004350F9">
        <w:rPr>
          <w:lang w:val="fr-FR"/>
        </w:rPr>
        <w:t>è</w:t>
      </w:r>
      <w:r w:rsidRPr="004350F9">
        <w:rPr>
          <w:lang w:val="fr-FR"/>
        </w:rPr>
        <w:t>v</w:t>
      </w:r>
      <w:r w:rsidR="004932E9" w:rsidRPr="004350F9">
        <w:rPr>
          <w:lang w:val="fr-FR"/>
        </w:rPr>
        <w:t>e</w:t>
      </w:r>
      <w:r w:rsidRPr="004350F9">
        <w:rPr>
          <w:lang w:val="fr-FR"/>
        </w:rPr>
        <w:t xml:space="preserve"> 20, </w:t>
      </w:r>
      <w:r w:rsidR="004932E9" w:rsidRPr="004350F9">
        <w:rPr>
          <w:lang w:val="fr-FR"/>
        </w:rPr>
        <w:t>Suisse</w:t>
      </w:r>
    </w:p>
    <w:p w:rsidR="0082424B" w:rsidRPr="004350F9" w:rsidRDefault="0082424B" w:rsidP="00315F5C">
      <w:pPr>
        <w:rPr>
          <w:lang w:val="fr-FR"/>
        </w:rPr>
      </w:pPr>
    </w:p>
    <w:p w:rsidR="00BB7778" w:rsidRPr="004350F9" w:rsidRDefault="00CE5BED" w:rsidP="00315F5C">
      <w:pPr>
        <w:pStyle w:val="ONUMFS"/>
        <w:rPr>
          <w:lang w:val="fr-FR"/>
        </w:rPr>
      </w:pPr>
      <w:r w:rsidRPr="004350F9">
        <w:rPr>
          <w:lang w:val="fr-FR"/>
        </w:rPr>
        <w:t>Les textes modifiés du règlement d</w:t>
      </w:r>
      <w:r w:rsidR="00BB7778" w:rsidRPr="004350F9">
        <w:rPr>
          <w:lang w:val="fr-FR"/>
        </w:rPr>
        <w:t>’</w:t>
      </w:r>
      <w:r w:rsidRPr="004350F9">
        <w:rPr>
          <w:lang w:val="fr-FR"/>
        </w:rPr>
        <w:t>exécution commun et du formulaire</w:t>
      </w:r>
      <w:r w:rsidR="009F5AC9" w:rsidRPr="004350F9">
        <w:rPr>
          <w:lang w:val="fr-FR"/>
        </w:rPr>
        <w:t> </w:t>
      </w:r>
      <w:r w:rsidR="00314C69" w:rsidRPr="004350F9">
        <w:rPr>
          <w:lang w:val="fr-FR"/>
        </w:rPr>
        <w:t>MM9</w:t>
      </w:r>
      <w:r w:rsidR="0037592F" w:rsidRPr="004350F9">
        <w:rPr>
          <w:lang w:val="fr-FR"/>
        </w:rPr>
        <w:t xml:space="preserve"> </w:t>
      </w:r>
      <w:r w:rsidRPr="004350F9">
        <w:rPr>
          <w:lang w:val="fr-FR"/>
        </w:rPr>
        <w:t>font l</w:t>
      </w:r>
      <w:r w:rsidR="00BB7778" w:rsidRPr="004350F9">
        <w:rPr>
          <w:lang w:val="fr-FR"/>
        </w:rPr>
        <w:t>’</w:t>
      </w:r>
      <w:r w:rsidRPr="004350F9">
        <w:rPr>
          <w:lang w:val="fr-FR"/>
        </w:rPr>
        <w:t>objet des annexes</w:t>
      </w:r>
      <w:r w:rsidR="009F5AC9" w:rsidRPr="004350F9">
        <w:rPr>
          <w:lang w:val="fr-FR"/>
        </w:rPr>
        <w:t> </w:t>
      </w:r>
      <w:r w:rsidR="00F4487F" w:rsidRPr="004350F9">
        <w:rPr>
          <w:lang w:val="fr-FR"/>
        </w:rPr>
        <w:t xml:space="preserve">I </w:t>
      </w:r>
      <w:r w:rsidRPr="004350F9">
        <w:rPr>
          <w:lang w:val="fr-FR"/>
        </w:rPr>
        <w:t>et</w:t>
      </w:r>
      <w:r w:rsidR="009F5AC9" w:rsidRPr="004350F9">
        <w:rPr>
          <w:lang w:val="fr-FR"/>
        </w:rPr>
        <w:t> </w:t>
      </w:r>
      <w:r w:rsidR="00F4487F" w:rsidRPr="004350F9">
        <w:rPr>
          <w:lang w:val="fr-FR"/>
        </w:rPr>
        <w:t>II</w:t>
      </w:r>
      <w:r w:rsidR="0037592F" w:rsidRPr="004350F9">
        <w:rPr>
          <w:lang w:val="fr-FR"/>
        </w:rPr>
        <w:t>.</w:t>
      </w:r>
    </w:p>
    <w:p w:rsidR="0082424B" w:rsidRPr="004350F9" w:rsidRDefault="0082424B" w:rsidP="00315F5C">
      <w:pPr>
        <w:pStyle w:val="Endofdocument-Annex"/>
        <w:rPr>
          <w:lang w:val="fr-FR"/>
        </w:rPr>
      </w:pPr>
    </w:p>
    <w:p w:rsidR="0082424B" w:rsidRPr="004350F9" w:rsidRDefault="004932E9" w:rsidP="00315F5C">
      <w:pPr>
        <w:pStyle w:val="Endofdocument-Annex"/>
        <w:rPr>
          <w:lang w:val="fr-FR"/>
        </w:rPr>
      </w:pPr>
      <w:r w:rsidRPr="004350F9">
        <w:rPr>
          <w:lang w:val="fr-FR"/>
        </w:rPr>
        <w:t>Le</w:t>
      </w:r>
      <w:r w:rsidR="00293793" w:rsidRPr="004350F9">
        <w:rPr>
          <w:lang w:val="fr-FR"/>
        </w:rPr>
        <w:t xml:space="preserve"> </w:t>
      </w:r>
      <w:r w:rsidR="00AE0C5E">
        <w:rPr>
          <w:lang w:val="fr-FR"/>
        </w:rPr>
        <w:t>29</w:t>
      </w:r>
      <w:r w:rsidRPr="004350F9">
        <w:rPr>
          <w:lang w:val="fr-FR"/>
        </w:rPr>
        <w:t> mars </w:t>
      </w:r>
      <w:r w:rsidR="004936FC" w:rsidRPr="004350F9">
        <w:rPr>
          <w:lang w:val="fr-FR"/>
        </w:rPr>
        <w:t>201</w:t>
      </w:r>
      <w:r w:rsidR="00144449" w:rsidRPr="004350F9">
        <w:rPr>
          <w:lang w:val="fr-FR"/>
        </w:rPr>
        <w:t>6</w:t>
      </w:r>
    </w:p>
    <w:p w:rsidR="00AE0C5E" w:rsidRDefault="00AE0C5E" w:rsidP="00315F5C">
      <w:pPr>
        <w:pStyle w:val="Endofdocument-Annex"/>
        <w:rPr>
          <w:lang w:val="fr-FR"/>
        </w:rPr>
        <w:sectPr w:rsidR="00AE0C5E" w:rsidSect="00BB7778">
          <w:headerReference w:type="default" r:id="rId11"/>
          <w:headerReference w:type="first" r:id="rId12"/>
          <w:endnotePr>
            <w:numFmt w:val="decimal"/>
          </w:endnotePr>
          <w:pgSz w:w="11907" w:h="16840" w:code="9"/>
          <w:pgMar w:top="567" w:right="1134" w:bottom="567" w:left="1418" w:header="510" w:footer="1021" w:gutter="0"/>
          <w:cols w:space="720"/>
          <w:titlePg/>
          <w:docGrid w:linePitch="299"/>
        </w:sectPr>
      </w:pPr>
    </w:p>
    <w:p w:rsidR="00AE0C5E" w:rsidRPr="00AE0C5E" w:rsidRDefault="00AE0C5E" w:rsidP="00AE0C5E">
      <w:pPr>
        <w:tabs>
          <w:tab w:val="left" w:pos="567"/>
          <w:tab w:val="left" w:pos="1134"/>
          <w:tab w:val="left" w:pos="1701"/>
          <w:tab w:val="left" w:pos="2268"/>
          <w:tab w:val="left" w:pos="2835"/>
          <w:tab w:val="left" w:pos="3402"/>
        </w:tabs>
        <w:jc w:val="center"/>
        <w:rPr>
          <w:b/>
          <w:szCs w:val="22"/>
          <w:lang w:val="fr-CH"/>
        </w:rPr>
      </w:pPr>
      <w:r w:rsidRPr="00AE0C5E">
        <w:rPr>
          <w:b/>
          <w:szCs w:val="22"/>
          <w:lang w:val="fr-CH"/>
        </w:rPr>
        <w:lastRenderedPageBreak/>
        <w:t>Règlement d’exécution commun à l’Arrangement</w:t>
      </w:r>
    </w:p>
    <w:p w:rsidR="00AE0C5E" w:rsidRPr="00AE0C5E" w:rsidRDefault="00AE0C5E" w:rsidP="00AE0C5E">
      <w:pPr>
        <w:tabs>
          <w:tab w:val="left" w:pos="567"/>
          <w:tab w:val="left" w:pos="1134"/>
          <w:tab w:val="left" w:pos="1701"/>
          <w:tab w:val="left" w:pos="2268"/>
          <w:tab w:val="left" w:pos="2835"/>
          <w:tab w:val="left" w:pos="3402"/>
        </w:tabs>
        <w:jc w:val="center"/>
        <w:rPr>
          <w:b/>
          <w:szCs w:val="22"/>
          <w:lang w:val="fr-CH"/>
        </w:rPr>
      </w:pPr>
      <w:proofErr w:type="gramStart"/>
      <w:r w:rsidRPr="00AE0C5E">
        <w:rPr>
          <w:b/>
          <w:szCs w:val="22"/>
          <w:lang w:val="fr-CH"/>
        </w:rPr>
        <w:t>de</w:t>
      </w:r>
      <w:proofErr w:type="gramEnd"/>
      <w:r w:rsidRPr="00AE0C5E">
        <w:rPr>
          <w:b/>
          <w:szCs w:val="22"/>
          <w:lang w:val="fr-CH"/>
        </w:rPr>
        <w:t xml:space="preserve"> Madrid concernant l’enregistrement</w:t>
      </w:r>
    </w:p>
    <w:p w:rsidR="00AE0C5E" w:rsidRPr="00AE0C5E" w:rsidRDefault="00AE0C5E" w:rsidP="00AE0C5E">
      <w:pPr>
        <w:tabs>
          <w:tab w:val="left" w:pos="567"/>
          <w:tab w:val="left" w:pos="1134"/>
          <w:tab w:val="left" w:pos="1701"/>
          <w:tab w:val="left" w:pos="2268"/>
          <w:tab w:val="left" w:pos="2835"/>
          <w:tab w:val="left" w:pos="3402"/>
        </w:tabs>
        <w:jc w:val="center"/>
        <w:rPr>
          <w:b/>
          <w:szCs w:val="22"/>
          <w:lang w:val="fr-CH"/>
        </w:rPr>
      </w:pPr>
      <w:proofErr w:type="gramStart"/>
      <w:r w:rsidRPr="00AE0C5E">
        <w:rPr>
          <w:b/>
          <w:szCs w:val="22"/>
          <w:lang w:val="fr-CH"/>
        </w:rPr>
        <w:t>international</w:t>
      </w:r>
      <w:proofErr w:type="gramEnd"/>
      <w:r w:rsidRPr="00AE0C5E">
        <w:rPr>
          <w:b/>
          <w:szCs w:val="22"/>
          <w:lang w:val="fr-CH"/>
        </w:rPr>
        <w:t xml:space="preserve"> des marques et au Protocole relatif</w:t>
      </w:r>
    </w:p>
    <w:p w:rsidR="00AE0C5E" w:rsidRPr="00AE0C5E" w:rsidRDefault="00AE0C5E" w:rsidP="00AE0C5E">
      <w:pPr>
        <w:tabs>
          <w:tab w:val="left" w:pos="567"/>
          <w:tab w:val="left" w:pos="1134"/>
          <w:tab w:val="left" w:pos="1701"/>
          <w:tab w:val="left" w:pos="2268"/>
          <w:tab w:val="left" w:pos="2835"/>
          <w:tab w:val="left" w:pos="3402"/>
        </w:tabs>
        <w:jc w:val="center"/>
        <w:rPr>
          <w:szCs w:val="22"/>
          <w:lang w:val="fr-CH"/>
        </w:rPr>
      </w:pPr>
      <w:proofErr w:type="gramStart"/>
      <w:r w:rsidRPr="00AE0C5E">
        <w:rPr>
          <w:b/>
          <w:szCs w:val="22"/>
          <w:lang w:val="fr-CH"/>
        </w:rPr>
        <w:t>à</w:t>
      </w:r>
      <w:proofErr w:type="gramEnd"/>
      <w:r w:rsidRPr="00AE0C5E">
        <w:rPr>
          <w:b/>
          <w:szCs w:val="22"/>
          <w:lang w:val="fr-CH"/>
        </w:rPr>
        <w:t xml:space="preserve"> cet Arrangement</w:t>
      </w:r>
    </w:p>
    <w:p w:rsidR="00AE0C5E" w:rsidRPr="00AE0C5E" w:rsidRDefault="00AE0C5E" w:rsidP="00AE0C5E">
      <w:pPr>
        <w:tabs>
          <w:tab w:val="left" w:pos="567"/>
          <w:tab w:val="left" w:pos="1134"/>
          <w:tab w:val="left" w:pos="1701"/>
          <w:tab w:val="left" w:pos="2268"/>
          <w:tab w:val="left" w:pos="2835"/>
          <w:tab w:val="left" w:pos="3402"/>
        </w:tabs>
        <w:jc w:val="center"/>
        <w:rPr>
          <w:b/>
          <w:szCs w:val="22"/>
          <w:lang w:val="fr-CH"/>
        </w:rPr>
      </w:pPr>
    </w:p>
    <w:p w:rsidR="00AE0C5E" w:rsidRPr="00AE0C5E" w:rsidRDefault="00AE0C5E" w:rsidP="00AE0C5E">
      <w:pPr>
        <w:tabs>
          <w:tab w:val="left" w:pos="567"/>
          <w:tab w:val="left" w:pos="1134"/>
          <w:tab w:val="left" w:pos="1701"/>
          <w:tab w:val="left" w:pos="2268"/>
          <w:tab w:val="left" w:pos="2835"/>
          <w:tab w:val="left" w:pos="3402"/>
        </w:tabs>
        <w:jc w:val="center"/>
        <w:rPr>
          <w:szCs w:val="22"/>
          <w:lang w:val="fr-CH"/>
        </w:rPr>
      </w:pPr>
      <w:r w:rsidRPr="00AE0C5E">
        <w:rPr>
          <w:szCs w:val="22"/>
          <w:lang w:val="fr-CH"/>
        </w:rPr>
        <w:t>(</w:t>
      </w:r>
      <w:proofErr w:type="gramStart"/>
      <w:r w:rsidRPr="00AE0C5E">
        <w:rPr>
          <w:szCs w:val="22"/>
          <w:lang w:val="fr-CH"/>
        </w:rPr>
        <w:t>texte</w:t>
      </w:r>
      <w:proofErr w:type="gramEnd"/>
      <w:r w:rsidRPr="00AE0C5E">
        <w:rPr>
          <w:szCs w:val="22"/>
          <w:lang w:val="fr-CH"/>
        </w:rPr>
        <w:t xml:space="preserve"> en vigueur le 1</w:t>
      </w:r>
      <w:r w:rsidRPr="00AE0C5E">
        <w:rPr>
          <w:szCs w:val="22"/>
          <w:vertAlign w:val="superscript"/>
          <w:lang w:val="fr-CH"/>
        </w:rPr>
        <w:t>er</w:t>
      </w:r>
      <w:r w:rsidRPr="00AE0C5E">
        <w:rPr>
          <w:szCs w:val="22"/>
          <w:lang w:val="fr-CH"/>
        </w:rPr>
        <w:t> avril 2016)</w:t>
      </w:r>
    </w:p>
    <w:p w:rsidR="00AE0C5E" w:rsidRDefault="00AE0C5E" w:rsidP="00AE0C5E">
      <w:pPr>
        <w:tabs>
          <w:tab w:val="left" w:pos="567"/>
          <w:tab w:val="left" w:pos="1134"/>
          <w:tab w:val="left" w:pos="1701"/>
          <w:tab w:val="left" w:pos="2268"/>
          <w:tab w:val="left" w:pos="2835"/>
          <w:tab w:val="left" w:pos="3402"/>
        </w:tabs>
        <w:jc w:val="center"/>
        <w:rPr>
          <w:b/>
          <w:szCs w:val="22"/>
          <w:lang w:val="fr-CH"/>
        </w:rPr>
      </w:pPr>
    </w:p>
    <w:p w:rsidR="00AE0C5E" w:rsidRPr="00C90FAD" w:rsidRDefault="00AE0C5E" w:rsidP="00AE0C5E">
      <w:pPr>
        <w:tabs>
          <w:tab w:val="left" w:pos="567"/>
          <w:tab w:val="left" w:pos="1134"/>
          <w:tab w:val="left" w:pos="1701"/>
          <w:tab w:val="left" w:pos="2268"/>
          <w:tab w:val="left" w:pos="2835"/>
          <w:tab w:val="left" w:pos="3402"/>
        </w:tabs>
        <w:rPr>
          <w:szCs w:val="22"/>
          <w:lang w:val="fr-CH"/>
        </w:rPr>
      </w:pPr>
      <w:r w:rsidRPr="00AE0C5E">
        <w:rPr>
          <w:szCs w:val="22"/>
          <w:lang w:val="fr-CH"/>
        </w:rPr>
        <w:tab/>
      </w:r>
      <w:r w:rsidRPr="00C90FAD">
        <w:rPr>
          <w:szCs w:val="22"/>
          <w:lang w:val="fr-CH"/>
        </w:rPr>
        <w:t>[…]</w:t>
      </w:r>
    </w:p>
    <w:p w:rsidR="00AE0C5E" w:rsidRDefault="00AE0C5E" w:rsidP="00AE0C5E">
      <w:pPr>
        <w:tabs>
          <w:tab w:val="left" w:pos="567"/>
          <w:tab w:val="left" w:pos="1134"/>
          <w:tab w:val="left" w:pos="1701"/>
          <w:tab w:val="left" w:pos="2268"/>
          <w:tab w:val="left" w:pos="2835"/>
          <w:tab w:val="left" w:pos="3402"/>
        </w:tabs>
        <w:jc w:val="center"/>
        <w:rPr>
          <w:b/>
          <w:szCs w:val="22"/>
          <w:lang w:val="fr-CH"/>
        </w:rPr>
      </w:pPr>
    </w:p>
    <w:p w:rsidR="00AE0C5E" w:rsidRPr="00AE0C5E" w:rsidRDefault="00AE0C5E" w:rsidP="00AE0C5E">
      <w:pPr>
        <w:tabs>
          <w:tab w:val="left" w:pos="567"/>
          <w:tab w:val="left" w:pos="1134"/>
          <w:tab w:val="left" w:pos="1701"/>
          <w:tab w:val="left" w:pos="2268"/>
          <w:tab w:val="left" w:pos="2835"/>
          <w:tab w:val="left" w:pos="3402"/>
        </w:tabs>
        <w:jc w:val="center"/>
        <w:rPr>
          <w:b/>
          <w:szCs w:val="22"/>
          <w:lang w:val="fr-CH"/>
        </w:rPr>
      </w:pPr>
      <w:r w:rsidRPr="00AE0C5E">
        <w:rPr>
          <w:b/>
          <w:szCs w:val="22"/>
          <w:lang w:val="fr-CH"/>
        </w:rPr>
        <w:t>Chapitre premier</w:t>
      </w:r>
    </w:p>
    <w:p w:rsidR="00AE0C5E" w:rsidRPr="00AE0C5E" w:rsidRDefault="00AE0C5E" w:rsidP="00AE0C5E">
      <w:pPr>
        <w:tabs>
          <w:tab w:val="left" w:pos="567"/>
          <w:tab w:val="left" w:pos="1134"/>
          <w:tab w:val="left" w:pos="1701"/>
          <w:tab w:val="left" w:pos="2268"/>
          <w:tab w:val="left" w:pos="2835"/>
          <w:tab w:val="left" w:pos="3402"/>
        </w:tabs>
        <w:jc w:val="center"/>
        <w:rPr>
          <w:b/>
          <w:szCs w:val="22"/>
          <w:lang w:val="fr-CH"/>
        </w:rPr>
      </w:pPr>
      <w:r w:rsidRPr="00AE0C5E">
        <w:rPr>
          <w:b/>
          <w:szCs w:val="22"/>
          <w:lang w:val="fr-CH"/>
        </w:rPr>
        <w:t>Dispositions générales</w:t>
      </w:r>
    </w:p>
    <w:p w:rsidR="00AE0C5E" w:rsidRPr="00AE0C5E" w:rsidRDefault="00AE0C5E" w:rsidP="00AE0C5E">
      <w:pPr>
        <w:tabs>
          <w:tab w:val="left" w:pos="567"/>
          <w:tab w:val="left" w:pos="1134"/>
          <w:tab w:val="left" w:pos="1701"/>
          <w:tab w:val="left" w:pos="2268"/>
          <w:tab w:val="left" w:pos="2835"/>
          <w:tab w:val="left" w:pos="3402"/>
        </w:tabs>
        <w:rPr>
          <w:szCs w:val="22"/>
          <w:lang w:val="fr-CH"/>
        </w:rPr>
      </w:pPr>
    </w:p>
    <w:p w:rsidR="00AE0C5E" w:rsidRPr="00C90FAD" w:rsidRDefault="00AE0C5E" w:rsidP="00AE0C5E">
      <w:pPr>
        <w:tabs>
          <w:tab w:val="left" w:pos="567"/>
          <w:tab w:val="left" w:pos="1134"/>
          <w:tab w:val="left" w:pos="1701"/>
          <w:tab w:val="left" w:pos="2268"/>
          <w:tab w:val="left" w:pos="2835"/>
          <w:tab w:val="left" w:pos="3402"/>
        </w:tabs>
        <w:rPr>
          <w:szCs w:val="22"/>
          <w:lang w:val="fr-CH"/>
        </w:rPr>
      </w:pPr>
      <w:r w:rsidRPr="00AE0C5E">
        <w:rPr>
          <w:szCs w:val="22"/>
          <w:lang w:val="fr-CH"/>
        </w:rPr>
        <w:tab/>
      </w:r>
      <w:r w:rsidRPr="00C90FAD">
        <w:rPr>
          <w:szCs w:val="22"/>
          <w:lang w:val="fr-CH"/>
        </w:rPr>
        <w:t>[…]</w:t>
      </w:r>
    </w:p>
    <w:p w:rsidR="00AE0C5E" w:rsidRPr="00C90FAD" w:rsidRDefault="00AE0C5E" w:rsidP="00AE0C5E">
      <w:pPr>
        <w:tabs>
          <w:tab w:val="left" w:pos="567"/>
          <w:tab w:val="left" w:pos="1134"/>
          <w:tab w:val="left" w:pos="1701"/>
          <w:tab w:val="left" w:pos="2268"/>
          <w:tab w:val="left" w:pos="2835"/>
          <w:tab w:val="left" w:pos="3402"/>
        </w:tabs>
        <w:rPr>
          <w:szCs w:val="22"/>
          <w:lang w:val="fr-CH"/>
        </w:rPr>
      </w:pPr>
    </w:p>
    <w:p w:rsidR="00AE0C5E" w:rsidRPr="00AE0C5E" w:rsidRDefault="00AE0C5E" w:rsidP="00AE0C5E">
      <w:pPr>
        <w:tabs>
          <w:tab w:val="left" w:pos="567"/>
          <w:tab w:val="left" w:pos="1134"/>
          <w:tab w:val="left" w:pos="1701"/>
          <w:tab w:val="left" w:pos="2268"/>
          <w:tab w:val="left" w:pos="2835"/>
          <w:tab w:val="left" w:pos="3402"/>
        </w:tabs>
        <w:jc w:val="center"/>
        <w:rPr>
          <w:i/>
          <w:szCs w:val="22"/>
          <w:lang w:val="fr-CH"/>
        </w:rPr>
      </w:pPr>
      <w:r w:rsidRPr="00AE0C5E">
        <w:rPr>
          <w:i/>
          <w:lang w:val="fr-CH"/>
        </w:rPr>
        <w:t>Règle 5</w:t>
      </w:r>
    </w:p>
    <w:p w:rsidR="00AE0C5E" w:rsidRPr="00AE0C5E" w:rsidRDefault="00AE0C5E" w:rsidP="00AE0C5E">
      <w:pPr>
        <w:tabs>
          <w:tab w:val="left" w:pos="567"/>
          <w:tab w:val="left" w:pos="1134"/>
          <w:tab w:val="left" w:pos="1701"/>
          <w:tab w:val="left" w:pos="2268"/>
          <w:tab w:val="left" w:pos="2835"/>
          <w:tab w:val="left" w:pos="3402"/>
        </w:tabs>
        <w:jc w:val="center"/>
        <w:rPr>
          <w:szCs w:val="22"/>
          <w:lang w:val="fr-CH"/>
        </w:rPr>
      </w:pPr>
      <w:r w:rsidRPr="00AE0C5E">
        <w:rPr>
          <w:i/>
          <w:lang w:val="fr-CH"/>
        </w:rPr>
        <w:t xml:space="preserve">Perturbations dans le service postal et dans </w:t>
      </w:r>
      <w:r w:rsidRPr="00AE0C5E">
        <w:rPr>
          <w:i/>
          <w:lang w:val="fr-CH"/>
        </w:rPr>
        <w:br/>
        <w:t>les entreprises d’acheminement du courrier</w:t>
      </w:r>
      <w:r w:rsidRPr="00AE0C5E">
        <w:rPr>
          <w:i/>
          <w:szCs w:val="22"/>
          <w:lang w:val="fr-CH"/>
        </w:rPr>
        <w:br/>
      </w:r>
      <w:r w:rsidRPr="00AE0C5E">
        <w:rPr>
          <w:i/>
          <w:lang w:val="fr-CH"/>
        </w:rPr>
        <w:t>et l’envoi de communications par voie électronique</w:t>
      </w:r>
    </w:p>
    <w:p w:rsidR="00AE0C5E" w:rsidRPr="00AE0C5E" w:rsidRDefault="00AE0C5E" w:rsidP="00AE0C5E">
      <w:pPr>
        <w:tabs>
          <w:tab w:val="left" w:pos="567"/>
          <w:tab w:val="left" w:pos="1134"/>
          <w:tab w:val="left" w:pos="1701"/>
          <w:tab w:val="left" w:pos="2268"/>
          <w:tab w:val="left" w:pos="2835"/>
          <w:tab w:val="left" w:pos="3402"/>
        </w:tabs>
        <w:jc w:val="both"/>
        <w:rPr>
          <w:szCs w:val="22"/>
          <w:lang w:val="fr-CH"/>
        </w:rPr>
      </w:pPr>
    </w:p>
    <w:p w:rsidR="00AE0C5E" w:rsidRPr="00AE0C5E" w:rsidRDefault="00AE0C5E" w:rsidP="00AE0C5E">
      <w:pPr>
        <w:tabs>
          <w:tab w:val="left" w:pos="567"/>
          <w:tab w:val="left" w:pos="1134"/>
          <w:tab w:val="left" w:pos="1701"/>
          <w:tab w:val="left" w:pos="2268"/>
          <w:tab w:val="left" w:pos="2835"/>
          <w:tab w:val="left" w:pos="3402"/>
        </w:tabs>
        <w:jc w:val="both"/>
        <w:rPr>
          <w:szCs w:val="22"/>
          <w:lang w:val="fr-CH"/>
        </w:rPr>
      </w:pPr>
      <w:r w:rsidRPr="00AE0C5E">
        <w:rPr>
          <w:szCs w:val="22"/>
          <w:lang w:val="fr-CH"/>
        </w:rPr>
        <w:tab/>
        <w:t>[…]  </w:t>
      </w:r>
    </w:p>
    <w:p w:rsidR="00AE0C5E" w:rsidRPr="00AE0C5E" w:rsidRDefault="00AE0C5E" w:rsidP="00AE0C5E">
      <w:pPr>
        <w:tabs>
          <w:tab w:val="left" w:pos="567"/>
          <w:tab w:val="left" w:pos="1134"/>
          <w:tab w:val="left" w:pos="1701"/>
          <w:tab w:val="left" w:pos="2268"/>
          <w:tab w:val="left" w:pos="2835"/>
          <w:tab w:val="left" w:pos="3402"/>
        </w:tabs>
        <w:jc w:val="both"/>
        <w:rPr>
          <w:szCs w:val="22"/>
          <w:lang w:val="fr-CH"/>
        </w:rPr>
      </w:pPr>
    </w:p>
    <w:p w:rsidR="00AE0C5E" w:rsidRPr="00AE0C5E" w:rsidRDefault="00AE0C5E" w:rsidP="00AE0C5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fr-CH" w:eastAsia="en-US"/>
        </w:rPr>
      </w:pPr>
      <w:r w:rsidRPr="00AE0C5E">
        <w:rPr>
          <w:lang w:val="fr-CH"/>
        </w:rPr>
        <w:t>3)  </w:t>
      </w:r>
      <w:r w:rsidRPr="00AE0C5E">
        <w:rPr>
          <w:i/>
          <w:lang w:val="fr-CH"/>
        </w:rPr>
        <w:t>[Communication envoyée par voie électronique]</w:t>
      </w:r>
      <w:r w:rsidRPr="00AE0C5E">
        <w:rPr>
          <w:lang w:val="fr-CH"/>
        </w:rPr>
        <w:t>  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p>
    <w:p w:rsidR="00AE0C5E" w:rsidRPr="00AE0C5E" w:rsidRDefault="00AE0C5E" w:rsidP="00AE0C5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fr-CH" w:eastAsia="en-US"/>
        </w:rPr>
      </w:pPr>
    </w:p>
    <w:p w:rsidR="00AE0C5E" w:rsidRPr="00AE0C5E" w:rsidRDefault="00AE0C5E" w:rsidP="00AE0C5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fr-CH" w:eastAsia="en-US"/>
        </w:rPr>
      </w:pPr>
      <w:r w:rsidRPr="00AE0C5E">
        <w:rPr>
          <w:szCs w:val="22"/>
          <w:lang w:val="fr-CH"/>
        </w:rPr>
        <w:t>4)</w:t>
      </w:r>
      <w:r w:rsidRPr="00AE0C5E">
        <w:rPr>
          <w:szCs w:val="22"/>
          <w:lang w:val="fr-CH"/>
        </w:rPr>
        <w:tab/>
      </w:r>
      <w:r w:rsidRPr="00AE0C5E">
        <w:rPr>
          <w:i/>
          <w:szCs w:val="22"/>
          <w:lang w:val="fr-CH"/>
        </w:rPr>
        <w:t>[Limites à l’excuse]</w:t>
      </w:r>
      <w:r w:rsidRPr="00AE0C5E">
        <w:rPr>
          <w:szCs w:val="22"/>
          <w:lang w:val="fr-CH"/>
        </w:rPr>
        <w:t>  L’inobservation d’un délai n’est excusée en vertu de la présente règle que si la preuve visée à l’alinéa 1), 2) ou 3) et la communication ou, le cas échéant, un double de celle</w:t>
      </w:r>
      <w:r w:rsidRPr="00AE0C5E">
        <w:rPr>
          <w:szCs w:val="22"/>
          <w:lang w:val="fr-CH"/>
        </w:rPr>
        <w:noBreakHyphen/>
        <w:t>ci, sont reçus par le Bureau international au plus tard six mois après l’expiration du délai.</w:t>
      </w:r>
    </w:p>
    <w:p w:rsidR="00AE0C5E" w:rsidRPr="00AE0C5E" w:rsidRDefault="00AE0C5E" w:rsidP="00AE0C5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fr-CH" w:eastAsia="en-US"/>
        </w:rPr>
      </w:pPr>
    </w:p>
    <w:p w:rsidR="00AE0C5E" w:rsidRPr="00AE0C5E" w:rsidRDefault="00AE0C5E" w:rsidP="00AE0C5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fr-CH" w:eastAsia="en-US"/>
        </w:rPr>
      </w:pPr>
      <w:r w:rsidRPr="00AE0C5E">
        <w:rPr>
          <w:szCs w:val="22"/>
          <w:lang w:val="fr-CH"/>
        </w:rPr>
        <w:t>5)</w:t>
      </w:r>
      <w:r w:rsidRPr="00AE0C5E">
        <w:rPr>
          <w:szCs w:val="22"/>
          <w:lang w:val="fr-CH"/>
        </w:rPr>
        <w:tab/>
      </w:r>
      <w:r w:rsidRPr="00AE0C5E">
        <w:rPr>
          <w:i/>
          <w:szCs w:val="22"/>
          <w:lang w:val="fr-CH"/>
        </w:rPr>
        <w:t>[Demande internationale et désignation postérieure]</w:t>
      </w:r>
      <w:r w:rsidRPr="00AE0C5E">
        <w:rPr>
          <w:szCs w:val="22"/>
          <w:lang w:val="fr-CH"/>
        </w:rPr>
        <w:t>  Lorsque le Bureau international reçoit une demande internationale ou une désignation postérieure après le délai de deux mois visé à l’article 3.4) de l’Arrangement, à l’article 3.4) du Protocole et à la règle 24.6)b), et que l’Office concerné indique que la réception tardive résulte de circonstances visées à l’alinéa 1), 2) ou 3), l’alinéa 1), 2) ou 3) et l’alinéa 4) s’appliquent.</w:t>
      </w:r>
    </w:p>
    <w:p w:rsidR="004936FC" w:rsidRDefault="004936FC" w:rsidP="00AE0C5E">
      <w:pPr>
        <w:pStyle w:val="Endofdocument-Annex"/>
        <w:ind w:left="0"/>
        <w:rPr>
          <w:lang w:val="fr-CH"/>
        </w:rPr>
      </w:pPr>
    </w:p>
    <w:p w:rsidR="00AE0C5E" w:rsidRDefault="00AE0C5E" w:rsidP="00AE0C5E">
      <w:pPr>
        <w:pStyle w:val="Endofdocument-Annex"/>
        <w:ind w:left="0"/>
        <w:rPr>
          <w:lang w:val="fr-CH"/>
        </w:rPr>
        <w:sectPr w:rsidR="00AE0C5E" w:rsidSect="00BB7778">
          <w:headerReference w:type="first" r:id="rId13"/>
          <w:endnotePr>
            <w:numFmt w:val="decimal"/>
          </w:endnotePr>
          <w:pgSz w:w="11907" w:h="16840" w:code="9"/>
          <w:pgMar w:top="567" w:right="1134" w:bottom="567" w:left="1418" w:header="510" w:footer="1021" w:gutter="0"/>
          <w:cols w:space="720"/>
          <w:titlePg/>
          <w:docGrid w:linePitch="299"/>
        </w:sectPr>
      </w:pPr>
    </w:p>
    <w:p w:rsidR="00AE0C5E" w:rsidRPr="00AE0C5E" w:rsidRDefault="00AE0C5E" w:rsidP="00AE0C5E">
      <w:pPr>
        <w:keepNext/>
        <w:jc w:val="center"/>
        <w:rPr>
          <w:b/>
          <w:szCs w:val="22"/>
          <w:lang w:val="fr-CH"/>
        </w:rPr>
      </w:pPr>
      <w:r w:rsidRPr="00AE0C5E">
        <w:rPr>
          <w:b/>
          <w:szCs w:val="22"/>
          <w:lang w:val="fr-CH"/>
        </w:rPr>
        <w:t>Chapitre 8</w:t>
      </w:r>
    </w:p>
    <w:p w:rsidR="00AE0C5E" w:rsidRPr="00AE0C5E" w:rsidRDefault="00AE0C5E" w:rsidP="00AE0C5E">
      <w:pPr>
        <w:keepNext/>
        <w:jc w:val="center"/>
        <w:rPr>
          <w:b/>
          <w:szCs w:val="22"/>
          <w:lang w:val="fr-CH"/>
        </w:rPr>
      </w:pPr>
      <w:r w:rsidRPr="00AE0C5E">
        <w:rPr>
          <w:b/>
          <w:szCs w:val="22"/>
          <w:lang w:val="fr-CH"/>
        </w:rPr>
        <w:t>Émoluments et taxes</w:t>
      </w:r>
    </w:p>
    <w:p w:rsidR="00AE0C5E" w:rsidRPr="00AE0C5E" w:rsidRDefault="00AE0C5E" w:rsidP="00AE0C5E">
      <w:pPr>
        <w:tabs>
          <w:tab w:val="left" w:pos="0"/>
          <w:tab w:val="left" w:pos="567"/>
          <w:tab w:val="left" w:pos="1134"/>
          <w:tab w:val="left" w:pos="1701"/>
          <w:tab w:val="left" w:pos="2268"/>
          <w:tab w:val="left" w:pos="2835"/>
          <w:tab w:val="left" w:pos="3402"/>
        </w:tabs>
        <w:rPr>
          <w:szCs w:val="22"/>
          <w:lang w:val="fr-CH"/>
        </w:rPr>
      </w:pPr>
    </w:p>
    <w:p w:rsidR="00AE0C5E" w:rsidRPr="00AE0C5E" w:rsidRDefault="00AE0C5E" w:rsidP="00AE0C5E">
      <w:pPr>
        <w:tabs>
          <w:tab w:val="left" w:pos="0"/>
          <w:tab w:val="left" w:pos="567"/>
          <w:tab w:val="left" w:pos="1134"/>
          <w:tab w:val="left" w:pos="1701"/>
          <w:tab w:val="left" w:pos="2268"/>
          <w:tab w:val="left" w:pos="2835"/>
          <w:tab w:val="left" w:pos="3402"/>
        </w:tabs>
        <w:rPr>
          <w:szCs w:val="22"/>
          <w:lang w:val="fr-CH"/>
        </w:rPr>
      </w:pPr>
      <w:r>
        <w:rPr>
          <w:szCs w:val="22"/>
          <w:lang w:val="fr-CH"/>
        </w:rPr>
        <w:tab/>
      </w:r>
      <w:r w:rsidRPr="00AE0C5E">
        <w:rPr>
          <w:szCs w:val="22"/>
          <w:lang w:val="fr-CH"/>
        </w:rPr>
        <w:t>[…]</w:t>
      </w:r>
    </w:p>
    <w:p w:rsidR="00AE0C5E" w:rsidRPr="00AE0C5E" w:rsidRDefault="00AE0C5E" w:rsidP="00AE0C5E">
      <w:pPr>
        <w:keepNext/>
        <w:jc w:val="center"/>
        <w:rPr>
          <w:i/>
          <w:szCs w:val="22"/>
          <w:lang w:val="fr-CH"/>
        </w:rPr>
      </w:pPr>
      <w:r w:rsidRPr="00AE0C5E">
        <w:rPr>
          <w:i/>
          <w:szCs w:val="22"/>
          <w:lang w:val="fr-CH"/>
        </w:rPr>
        <w:t>Règle 36</w:t>
      </w:r>
    </w:p>
    <w:p w:rsidR="00AE0C5E" w:rsidRPr="00C90FAD" w:rsidRDefault="00AE0C5E" w:rsidP="00AE0C5E">
      <w:pPr>
        <w:keepNext/>
        <w:jc w:val="center"/>
        <w:rPr>
          <w:i/>
          <w:szCs w:val="22"/>
          <w:lang w:val="fr-CH"/>
        </w:rPr>
      </w:pPr>
      <w:r w:rsidRPr="00C90FAD">
        <w:rPr>
          <w:i/>
          <w:szCs w:val="22"/>
          <w:lang w:val="fr-CH"/>
        </w:rPr>
        <w:t>Exemption de taxes</w:t>
      </w:r>
    </w:p>
    <w:p w:rsidR="00AE0C5E" w:rsidRPr="00C90FAD" w:rsidRDefault="00AE0C5E" w:rsidP="00AE0C5E">
      <w:pPr>
        <w:tabs>
          <w:tab w:val="left" w:pos="0"/>
          <w:tab w:val="left" w:pos="567"/>
          <w:tab w:val="left" w:pos="1134"/>
          <w:tab w:val="left" w:pos="1701"/>
          <w:tab w:val="left" w:pos="2268"/>
          <w:tab w:val="left" w:pos="2835"/>
          <w:tab w:val="left" w:pos="3402"/>
        </w:tabs>
        <w:rPr>
          <w:szCs w:val="22"/>
          <w:lang w:val="fr-CH"/>
        </w:rPr>
      </w:pPr>
    </w:p>
    <w:p w:rsidR="00AE0C5E" w:rsidRPr="00AE0C5E" w:rsidRDefault="00AE0C5E" w:rsidP="00AE0C5E">
      <w:pPr>
        <w:tabs>
          <w:tab w:val="left" w:pos="0"/>
          <w:tab w:val="left" w:pos="567"/>
          <w:tab w:val="left" w:pos="1134"/>
          <w:tab w:val="left" w:pos="1701"/>
          <w:tab w:val="left" w:pos="2268"/>
          <w:tab w:val="left" w:pos="2835"/>
          <w:tab w:val="left" w:pos="3402"/>
        </w:tabs>
        <w:jc w:val="both"/>
        <w:rPr>
          <w:szCs w:val="22"/>
          <w:lang w:val="fr-CH"/>
        </w:rPr>
      </w:pPr>
      <w:r w:rsidRPr="00C90FAD">
        <w:rPr>
          <w:szCs w:val="22"/>
          <w:lang w:val="fr-CH"/>
        </w:rPr>
        <w:tab/>
      </w:r>
      <w:r w:rsidRPr="00AE0C5E">
        <w:rPr>
          <w:rFonts w:eastAsia="Times New Roman"/>
          <w:lang w:val="fr-CH"/>
        </w:rPr>
        <w:t>Les inscriptions relatives aux données suivantes sont exemptes de taxes </w:t>
      </w:r>
      <w:r w:rsidRPr="00AE0C5E">
        <w:rPr>
          <w:szCs w:val="22"/>
          <w:lang w:val="fr-CH"/>
        </w:rPr>
        <w:t>:</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i)</w:t>
      </w:r>
      <w:r w:rsidRPr="001E60DF">
        <w:rPr>
          <w:rFonts w:ascii="Arial" w:hAnsi="Arial" w:cs="Arial"/>
          <w:sz w:val="22"/>
          <w:szCs w:val="22"/>
          <w:lang w:val="fr-FR"/>
        </w:rPr>
        <w:tab/>
        <w:t>la constitution d’un mandataire, toute modification concernant un mandataire et la radiation de l’inscription d’un mandataire,</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ii)</w:t>
      </w:r>
      <w:r w:rsidRPr="001E60DF">
        <w:rPr>
          <w:rFonts w:ascii="Arial" w:hAnsi="Arial" w:cs="Arial"/>
          <w:sz w:val="22"/>
          <w:szCs w:val="22"/>
          <w:lang w:val="fr-FR"/>
        </w:rPr>
        <w:tab/>
        <w:t>toute modification concernant les numéros de téléphone et de télécopieur, l’adresse pour la correspondance, l’adresse électronique et tout autre moyen de communication avec le déposant ou le titulaire, selon les modalités spécifiées dans les instructions administratives,</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iii)</w:t>
      </w:r>
      <w:r w:rsidRPr="001E60DF">
        <w:rPr>
          <w:rFonts w:ascii="Arial" w:hAnsi="Arial" w:cs="Arial"/>
          <w:sz w:val="22"/>
          <w:szCs w:val="22"/>
          <w:lang w:val="fr-FR"/>
        </w:rPr>
        <w:tab/>
        <w:t>la radiation de l’enregistrement international,</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iv)</w:t>
      </w:r>
      <w:r w:rsidRPr="001E60DF">
        <w:rPr>
          <w:rFonts w:ascii="Arial" w:hAnsi="Arial" w:cs="Arial"/>
          <w:sz w:val="22"/>
          <w:szCs w:val="22"/>
          <w:lang w:val="fr-FR"/>
        </w:rPr>
        <w:tab/>
        <w:t>toute renonciation en vertu de la règle 25.1)a)iii),</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v)</w:t>
      </w:r>
      <w:r w:rsidRPr="001E60DF">
        <w:rPr>
          <w:rFonts w:ascii="Arial" w:hAnsi="Arial" w:cs="Arial"/>
          <w:sz w:val="22"/>
          <w:szCs w:val="22"/>
          <w:lang w:val="fr-FR"/>
        </w:rPr>
        <w:tab/>
        <w:t>toute limitation effectuée dans la demande internationale elle</w:t>
      </w:r>
      <w:r w:rsidRPr="001E60DF">
        <w:rPr>
          <w:rFonts w:ascii="Arial" w:hAnsi="Arial" w:cs="Arial"/>
          <w:sz w:val="22"/>
          <w:szCs w:val="22"/>
          <w:lang w:val="fr-FR"/>
        </w:rPr>
        <w:noBreakHyphen/>
        <w:t>même en vertu de la règle 9.4)a)xiii) ou dans une désignation postérieure selon la règle 24.3)a)iv),</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vi)</w:t>
      </w:r>
      <w:r w:rsidRPr="001E60DF">
        <w:rPr>
          <w:rFonts w:ascii="Arial" w:hAnsi="Arial" w:cs="Arial"/>
          <w:sz w:val="22"/>
          <w:szCs w:val="22"/>
          <w:lang w:val="fr-FR"/>
        </w:rPr>
        <w:tab/>
        <w:t>toute demande faite par un Office en vertu de la première phrase de l’article 6.4) de l’Arrangement ou en vertu de la première phrase de l’article 6.4) du Protocole,</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vii)</w:t>
      </w:r>
      <w:r w:rsidRPr="001E60DF">
        <w:rPr>
          <w:rFonts w:ascii="Arial" w:hAnsi="Arial" w:cs="Arial"/>
          <w:sz w:val="22"/>
          <w:szCs w:val="22"/>
          <w:lang w:val="fr-FR"/>
        </w:rPr>
        <w:tab/>
        <w:t>l’existence d’une action judiciaire ou d’un jugement définitif ayant une incidence sur la demande de base, sur l’enregistrement qui en est issu ou sur l’enregistrement de base,</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viii)</w:t>
      </w:r>
      <w:r w:rsidRPr="001E60DF">
        <w:rPr>
          <w:rFonts w:ascii="Arial" w:hAnsi="Arial" w:cs="Arial"/>
          <w:sz w:val="22"/>
          <w:szCs w:val="22"/>
          <w:lang w:val="fr-FR"/>
        </w:rPr>
        <w:tab/>
        <w:t>tout refus selon la règle 17, la règle 24.9) ou la règle 28.3) ou toute déclaration selon les règles 18</w:t>
      </w:r>
      <w:r w:rsidRPr="001E60DF">
        <w:rPr>
          <w:rFonts w:ascii="Arial" w:hAnsi="Arial" w:cs="Arial"/>
          <w:i/>
          <w:sz w:val="22"/>
          <w:szCs w:val="22"/>
          <w:lang w:val="fr-FR"/>
        </w:rPr>
        <w:t xml:space="preserve">bis </w:t>
      </w:r>
      <w:r w:rsidRPr="001E60DF">
        <w:rPr>
          <w:rFonts w:ascii="Arial" w:hAnsi="Arial" w:cs="Arial"/>
          <w:sz w:val="22"/>
          <w:szCs w:val="22"/>
          <w:lang w:val="fr-FR"/>
        </w:rPr>
        <w:t>ou 18</w:t>
      </w:r>
      <w:r w:rsidRPr="001E60DF">
        <w:rPr>
          <w:rFonts w:ascii="Arial" w:hAnsi="Arial" w:cs="Arial"/>
          <w:i/>
          <w:sz w:val="22"/>
          <w:szCs w:val="22"/>
          <w:lang w:val="fr-FR"/>
        </w:rPr>
        <w:t>ter</w:t>
      </w:r>
      <w:r w:rsidRPr="001E60DF">
        <w:rPr>
          <w:rFonts w:ascii="Arial" w:hAnsi="Arial" w:cs="Arial"/>
          <w:sz w:val="22"/>
          <w:szCs w:val="22"/>
          <w:lang w:val="fr-FR"/>
        </w:rPr>
        <w:t>, la règle 20</w:t>
      </w:r>
      <w:r w:rsidRPr="001E60DF">
        <w:rPr>
          <w:rFonts w:ascii="Arial" w:hAnsi="Arial" w:cs="Arial"/>
          <w:i/>
          <w:sz w:val="22"/>
          <w:szCs w:val="22"/>
          <w:lang w:val="fr-FR"/>
        </w:rPr>
        <w:t>bis</w:t>
      </w:r>
      <w:r w:rsidRPr="001E60DF">
        <w:rPr>
          <w:rFonts w:ascii="Arial" w:hAnsi="Arial" w:cs="Arial"/>
          <w:sz w:val="22"/>
          <w:szCs w:val="22"/>
          <w:lang w:val="fr-FR"/>
        </w:rPr>
        <w:t>.5) ou la règle 27.4) ou 5),</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ix)</w:t>
      </w:r>
      <w:r w:rsidRPr="001E60DF">
        <w:rPr>
          <w:rFonts w:ascii="Arial" w:hAnsi="Arial" w:cs="Arial"/>
          <w:sz w:val="22"/>
          <w:szCs w:val="22"/>
          <w:lang w:val="fr-FR"/>
        </w:rPr>
        <w:tab/>
        <w:t>l’invalidation de l’enregistrement international,</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x)</w:t>
      </w:r>
      <w:r w:rsidRPr="001E60DF">
        <w:rPr>
          <w:rFonts w:ascii="Arial" w:hAnsi="Arial" w:cs="Arial"/>
          <w:sz w:val="22"/>
          <w:szCs w:val="22"/>
          <w:lang w:val="fr-FR"/>
        </w:rPr>
        <w:tab/>
        <w:t>les informations communiquées en vertu de la règle 20,</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xi)</w:t>
      </w:r>
      <w:r w:rsidRPr="001E60DF">
        <w:rPr>
          <w:rFonts w:ascii="Arial" w:hAnsi="Arial" w:cs="Arial"/>
          <w:sz w:val="22"/>
          <w:szCs w:val="22"/>
          <w:lang w:val="fr-FR"/>
        </w:rPr>
        <w:tab/>
        <w:t>toute notification en vertu de la règle 21 ou de la règle 23.</w:t>
      </w:r>
    </w:p>
    <w:p w:rsidR="00AE0C5E" w:rsidRPr="001E60DF" w:rsidRDefault="00AE0C5E" w:rsidP="00AE0C5E">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1E60DF">
        <w:rPr>
          <w:rFonts w:ascii="Arial" w:hAnsi="Arial" w:cs="Arial"/>
          <w:sz w:val="22"/>
          <w:szCs w:val="22"/>
          <w:lang w:val="fr-FR"/>
        </w:rPr>
        <w:tab/>
      </w:r>
      <w:r w:rsidRPr="001E60DF">
        <w:rPr>
          <w:rFonts w:ascii="Arial" w:hAnsi="Arial" w:cs="Arial"/>
          <w:sz w:val="22"/>
          <w:szCs w:val="22"/>
          <w:lang w:val="fr-FR"/>
        </w:rPr>
        <w:tab/>
      </w:r>
      <w:r w:rsidRPr="001E60DF">
        <w:rPr>
          <w:rFonts w:ascii="Arial" w:hAnsi="Arial" w:cs="Arial"/>
          <w:sz w:val="22"/>
          <w:szCs w:val="22"/>
          <w:lang w:val="fr-FR"/>
        </w:rPr>
        <w:tab/>
        <w:t>xii)</w:t>
      </w:r>
      <w:r w:rsidRPr="001E60DF">
        <w:rPr>
          <w:rFonts w:ascii="Arial" w:hAnsi="Arial" w:cs="Arial"/>
          <w:sz w:val="22"/>
          <w:szCs w:val="22"/>
          <w:lang w:val="fr-FR"/>
        </w:rPr>
        <w:tab/>
        <w:t xml:space="preserve">toute rectification du registre international.  </w:t>
      </w:r>
    </w:p>
    <w:p w:rsidR="00AE0C5E" w:rsidRPr="00AE0C5E" w:rsidRDefault="00AE0C5E" w:rsidP="00AE0C5E">
      <w:pPr>
        <w:pStyle w:val="Endofdocument-Annex"/>
        <w:rPr>
          <w:lang w:val="fr-CH"/>
        </w:rPr>
      </w:pPr>
    </w:p>
    <w:p w:rsidR="00AE0C5E" w:rsidRPr="00AE0C5E" w:rsidRDefault="00AE0C5E" w:rsidP="00AE0C5E">
      <w:pPr>
        <w:pStyle w:val="Endofdocument-Annex"/>
        <w:rPr>
          <w:lang w:val="fr-CH"/>
        </w:rPr>
      </w:pPr>
    </w:p>
    <w:p w:rsidR="00AE0C5E" w:rsidRPr="00AE0C5E" w:rsidRDefault="00AE0C5E" w:rsidP="00AE0C5E">
      <w:pPr>
        <w:pStyle w:val="Endofdocument-Annex"/>
        <w:rPr>
          <w:lang w:val="fr-CH"/>
        </w:rPr>
      </w:pPr>
    </w:p>
    <w:p w:rsidR="00AE0C5E" w:rsidRPr="00C90FAD" w:rsidRDefault="00AE0C5E" w:rsidP="00AE0C5E">
      <w:pPr>
        <w:pStyle w:val="Endofdocument-Annex"/>
        <w:rPr>
          <w:lang w:val="fr-CH"/>
        </w:rPr>
      </w:pPr>
      <w:r w:rsidRPr="00C90FAD">
        <w:rPr>
          <w:lang w:val="fr-CH"/>
        </w:rPr>
        <w:t>[L’annexe II suit]</w:t>
      </w:r>
    </w:p>
    <w:p w:rsidR="00AE0C5E" w:rsidRDefault="00AE0C5E" w:rsidP="00AE0C5E">
      <w:pPr>
        <w:pStyle w:val="Endofdocument-Annex"/>
        <w:ind w:left="0"/>
        <w:rPr>
          <w:lang w:val="fr-CH"/>
        </w:rPr>
        <w:sectPr w:rsidR="00AE0C5E" w:rsidSect="00AE0C5E">
          <w:headerReference w:type="first" r:id="rId14"/>
          <w:endnotePr>
            <w:numFmt w:val="decimal"/>
          </w:endnotePr>
          <w:pgSz w:w="11907" w:h="16840" w:code="9"/>
          <w:pgMar w:top="567" w:right="1134" w:bottom="567" w:left="1418" w:header="510" w:footer="1021" w:gutter="0"/>
          <w:pgNumType w:start="2"/>
          <w:cols w:space="720"/>
          <w:titlePg/>
          <w:docGrid w:linePitch="299"/>
        </w:sectPr>
      </w:pPr>
    </w:p>
    <w:p w:rsidR="006F15E8" w:rsidRPr="006F15E8" w:rsidRDefault="00AE0C5E" w:rsidP="00291C17">
      <w:pPr>
        <w:pStyle w:val="Endofdocument-Annex"/>
        <w:ind w:left="0"/>
        <w:rPr>
          <w:lang w:val="fr-CH"/>
        </w:rPr>
      </w:pPr>
      <w:r>
        <w:rPr>
          <w:noProof/>
          <w:lang w:eastAsia="en-US"/>
        </w:rPr>
        <w:drawing>
          <wp:anchor distT="0" distB="0" distL="114300" distR="114300" simplePos="0" relativeHeight="251658240" behindDoc="0" locked="0" layoutInCell="1" allowOverlap="1" wp14:anchorId="1BF4DBE5" wp14:editId="1BA49372">
            <wp:simplePos x="0" y="0"/>
            <wp:positionH relativeFrom="margin">
              <wp:align>center</wp:align>
            </wp:positionH>
            <wp:positionV relativeFrom="margin">
              <wp:align>top</wp:align>
            </wp:positionV>
            <wp:extent cx="6394361" cy="9021650"/>
            <wp:effectExtent l="0" t="0" r="698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4361" cy="902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5E8">
        <w:rPr>
          <w:lang w:val="fr-CH"/>
        </w:rPr>
        <w:tab/>
      </w:r>
    </w:p>
    <w:p w:rsidR="00AE0C5E" w:rsidRPr="006F15E8" w:rsidRDefault="00AE0C5E" w:rsidP="006F15E8">
      <w:pPr>
        <w:rPr>
          <w:lang w:val="fr-CH"/>
        </w:rPr>
        <w:sectPr w:rsidR="00AE0C5E" w:rsidRPr="006F15E8" w:rsidSect="00AE0C5E">
          <w:headerReference w:type="default" r:id="rId16"/>
          <w:headerReference w:type="first" r:id="rId17"/>
          <w:footerReference w:type="first" r:id="rId18"/>
          <w:endnotePr>
            <w:numFmt w:val="decimal"/>
          </w:endnotePr>
          <w:pgSz w:w="11907" w:h="16840" w:code="9"/>
          <w:pgMar w:top="567" w:right="1134" w:bottom="567" w:left="1418" w:header="510" w:footer="1021" w:gutter="0"/>
          <w:pgNumType w:start="2"/>
          <w:cols w:space="720"/>
          <w:titlePg/>
          <w:docGrid w:linePitch="299"/>
        </w:sectPr>
      </w:pPr>
    </w:p>
    <w:p w:rsidR="006F15E8" w:rsidRDefault="006F15E8" w:rsidP="00AE0C5E">
      <w:pPr>
        <w:pStyle w:val="Endofdocument-Annex"/>
        <w:ind w:left="0"/>
        <w:rPr>
          <w:lang w:val="fr-CH"/>
        </w:rPr>
      </w:pPr>
    </w:p>
    <w:p w:rsidR="006F15E8" w:rsidRDefault="006F15E8" w:rsidP="00AE0C5E">
      <w:pPr>
        <w:pStyle w:val="Endofdocument-Annex"/>
        <w:ind w:left="0"/>
        <w:rPr>
          <w:lang w:val="fr-CH"/>
        </w:rPr>
        <w:sectPr w:rsidR="006F15E8" w:rsidSect="006F15E8">
          <w:headerReference w:type="first" r:id="rId19"/>
          <w:endnotePr>
            <w:numFmt w:val="decimal"/>
          </w:endnotePr>
          <w:pgSz w:w="11907" w:h="16840" w:code="9"/>
          <w:pgMar w:top="567" w:right="1134" w:bottom="567" w:left="1418" w:header="510" w:footer="1021" w:gutter="0"/>
          <w:pgNumType w:start="2"/>
          <w:cols w:space="720"/>
          <w:titlePg/>
          <w:docGrid w:linePitch="299"/>
        </w:sectPr>
      </w:pPr>
      <w:r>
        <w:rPr>
          <w:noProof/>
          <w:lang w:eastAsia="en-US"/>
        </w:rPr>
        <w:drawing>
          <wp:anchor distT="0" distB="0" distL="114300" distR="114300" simplePos="0" relativeHeight="251659264" behindDoc="0" locked="0" layoutInCell="1" allowOverlap="1">
            <wp:simplePos x="901065" y="643890"/>
            <wp:positionH relativeFrom="margin">
              <wp:align>center</wp:align>
            </wp:positionH>
            <wp:positionV relativeFrom="margin">
              <wp:align>top</wp:align>
            </wp:positionV>
            <wp:extent cx="6220460" cy="8778240"/>
            <wp:effectExtent l="0" t="0" r="889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0460" cy="8778240"/>
                    </a:xfrm>
                    <a:prstGeom prst="rect">
                      <a:avLst/>
                    </a:prstGeom>
                    <a:noFill/>
                    <a:ln>
                      <a:noFill/>
                    </a:ln>
                  </pic:spPr>
                </pic:pic>
              </a:graphicData>
            </a:graphic>
          </wp:anchor>
        </w:drawing>
      </w:r>
      <w:r>
        <w:rPr>
          <w:lang w:val="fr-CH"/>
        </w:rPr>
        <w:tab/>
      </w:r>
      <w:r>
        <w:rPr>
          <w:lang w:val="fr-CH"/>
        </w:rPr>
        <w:tab/>
      </w:r>
    </w:p>
    <w:p w:rsidR="006F15E8" w:rsidRDefault="00291C17" w:rsidP="00AE0C5E">
      <w:pPr>
        <w:pStyle w:val="Endofdocument-Annex"/>
        <w:ind w:left="0"/>
        <w:rPr>
          <w:lang w:val="fr-CH"/>
        </w:rPr>
      </w:pPr>
      <w:r>
        <w:rPr>
          <w:noProof/>
          <w:lang w:eastAsia="en-US"/>
        </w:rPr>
        <w:drawing>
          <wp:anchor distT="0" distB="0" distL="114300" distR="114300" simplePos="0" relativeHeight="251660288" behindDoc="0" locked="0" layoutInCell="1" allowOverlap="1">
            <wp:simplePos x="901065" y="643890"/>
            <wp:positionH relativeFrom="margin">
              <wp:align>center</wp:align>
            </wp:positionH>
            <wp:positionV relativeFrom="margin">
              <wp:align>top</wp:align>
            </wp:positionV>
            <wp:extent cx="6246495" cy="8815070"/>
            <wp:effectExtent l="0" t="0" r="1905"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7400" cy="88162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1C17" w:rsidRDefault="00291C17" w:rsidP="00AE0C5E">
      <w:pPr>
        <w:pStyle w:val="Endofdocument-Annex"/>
        <w:ind w:left="0"/>
        <w:rPr>
          <w:lang w:val="fr-CH"/>
        </w:rPr>
        <w:sectPr w:rsidR="00291C17" w:rsidSect="006F15E8">
          <w:headerReference w:type="first" r:id="rId22"/>
          <w:endnotePr>
            <w:numFmt w:val="decimal"/>
          </w:endnotePr>
          <w:pgSz w:w="11907" w:h="16840" w:code="9"/>
          <w:pgMar w:top="567" w:right="1134" w:bottom="567" w:left="1418" w:header="510" w:footer="1021" w:gutter="0"/>
          <w:pgNumType w:start="2"/>
          <w:cols w:space="720"/>
          <w:titlePg/>
          <w:docGrid w:linePitch="299"/>
        </w:sectPr>
      </w:pPr>
    </w:p>
    <w:p w:rsidR="00291C17" w:rsidRDefault="00291C17" w:rsidP="00AE0C5E">
      <w:pPr>
        <w:pStyle w:val="Endofdocument-Annex"/>
        <w:ind w:left="0"/>
        <w:rPr>
          <w:lang w:val="fr-CH"/>
        </w:rPr>
      </w:pPr>
      <w:r>
        <w:rPr>
          <w:noProof/>
          <w:lang w:eastAsia="en-US"/>
        </w:rPr>
        <w:drawing>
          <wp:anchor distT="0" distB="0" distL="114300" distR="114300" simplePos="0" relativeHeight="251661312" behindDoc="0" locked="0" layoutInCell="1" allowOverlap="1">
            <wp:simplePos x="904875" y="647700"/>
            <wp:positionH relativeFrom="margin">
              <wp:align>center</wp:align>
            </wp:positionH>
            <wp:positionV relativeFrom="margin">
              <wp:align>top</wp:align>
            </wp:positionV>
            <wp:extent cx="6248400" cy="88182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8400" cy="8818245"/>
                    </a:xfrm>
                    <a:prstGeom prst="rect">
                      <a:avLst/>
                    </a:prstGeom>
                    <a:noFill/>
                    <a:ln>
                      <a:noFill/>
                    </a:ln>
                  </pic:spPr>
                </pic:pic>
              </a:graphicData>
            </a:graphic>
          </wp:anchor>
        </w:drawing>
      </w:r>
    </w:p>
    <w:p w:rsidR="00291C17" w:rsidRDefault="00291C17" w:rsidP="00AE0C5E">
      <w:pPr>
        <w:pStyle w:val="Endofdocument-Annex"/>
        <w:ind w:left="0"/>
        <w:rPr>
          <w:lang w:val="fr-CH"/>
        </w:rPr>
        <w:sectPr w:rsidR="00291C17" w:rsidSect="006F15E8">
          <w:headerReference w:type="first" r:id="rId24"/>
          <w:endnotePr>
            <w:numFmt w:val="decimal"/>
          </w:endnotePr>
          <w:pgSz w:w="11907" w:h="16840" w:code="9"/>
          <w:pgMar w:top="567" w:right="1134" w:bottom="567" w:left="1418" w:header="510" w:footer="1021" w:gutter="0"/>
          <w:pgNumType w:start="2"/>
          <w:cols w:space="720"/>
          <w:titlePg/>
          <w:docGrid w:linePitch="299"/>
        </w:sectPr>
      </w:pPr>
    </w:p>
    <w:p w:rsidR="00291C17" w:rsidRDefault="00291C17" w:rsidP="00AE0C5E">
      <w:pPr>
        <w:pStyle w:val="Endofdocument-Annex"/>
        <w:ind w:left="0"/>
        <w:rPr>
          <w:lang w:val="fr-CH"/>
        </w:rPr>
      </w:pPr>
      <w:r>
        <w:rPr>
          <w:noProof/>
          <w:lang w:eastAsia="en-US"/>
        </w:rPr>
        <w:drawing>
          <wp:anchor distT="0" distB="0" distL="114300" distR="114300" simplePos="0" relativeHeight="251662336" behindDoc="0" locked="0" layoutInCell="1" allowOverlap="1" wp14:anchorId="6E40674D" wp14:editId="37C7E67D">
            <wp:simplePos x="904875" y="647700"/>
            <wp:positionH relativeFrom="margin">
              <wp:align>center</wp:align>
            </wp:positionH>
            <wp:positionV relativeFrom="margin">
              <wp:align>top</wp:align>
            </wp:positionV>
            <wp:extent cx="6258560" cy="8724900"/>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58963" cy="872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1C17" w:rsidRDefault="00291C17" w:rsidP="00AE0C5E">
      <w:pPr>
        <w:pStyle w:val="Endofdocument-Annex"/>
        <w:ind w:left="0"/>
        <w:rPr>
          <w:lang w:val="fr-CH"/>
        </w:rPr>
      </w:pPr>
    </w:p>
    <w:p w:rsidR="00291C17" w:rsidRPr="00C90FAD" w:rsidRDefault="00291C17" w:rsidP="00291C17">
      <w:pPr>
        <w:pStyle w:val="Endofdocument-Annex"/>
        <w:rPr>
          <w:lang w:val="fr-CH"/>
        </w:rPr>
      </w:pPr>
      <w:r w:rsidRPr="00C90FAD">
        <w:rPr>
          <w:lang w:val="fr-CH"/>
        </w:rPr>
        <w:t>[Fin de l’annexe II]</w:t>
      </w:r>
    </w:p>
    <w:sectPr w:rsidR="00291C17" w:rsidRPr="00C90FAD" w:rsidSect="006F15E8">
      <w:headerReference w:type="first" r:id="rId26"/>
      <w:endnotePr>
        <w:numFmt w:val="decimal"/>
      </w:endnotePr>
      <w:pgSz w:w="11907" w:h="16840" w:code="9"/>
      <w:pgMar w:top="567" w:right="1134" w:bottom="567"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B1" w:rsidRDefault="00A04BB1">
      <w:r>
        <w:separator/>
      </w:r>
    </w:p>
  </w:endnote>
  <w:endnote w:type="continuationSeparator" w:id="0">
    <w:p w:rsidR="00A04BB1" w:rsidRDefault="00A04BB1" w:rsidP="003B38C1">
      <w:r>
        <w:separator/>
      </w:r>
    </w:p>
    <w:p w:rsidR="00A04BB1" w:rsidRPr="003B38C1" w:rsidRDefault="00A04BB1" w:rsidP="003B38C1">
      <w:pPr>
        <w:spacing w:after="60"/>
        <w:rPr>
          <w:sz w:val="17"/>
        </w:rPr>
      </w:pPr>
      <w:r>
        <w:rPr>
          <w:sz w:val="17"/>
        </w:rPr>
        <w:t>[Endnote continued from previous page]</w:t>
      </w:r>
    </w:p>
  </w:endnote>
  <w:endnote w:type="continuationNotice" w:id="1">
    <w:p w:rsidR="00A04BB1" w:rsidRPr="003B38C1" w:rsidRDefault="00A04B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E8" w:rsidRDefault="006F1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B1" w:rsidRDefault="00A04BB1">
      <w:r>
        <w:separator/>
      </w:r>
    </w:p>
  </w:footnote>
  <w:footnote w:type="continuationSeparator" w:id="0">
    <w:p w:rsidR="00A04BB1" w:rsidRDefault="00A04BB1" w:rsidP="008B60B2">
      <w:r>
        <w:separator/>
      </w:r>
    </w:p>
    <w:p w:rsidR="00A04BB1" w:rsidRPr="00ED77FB" w:rsidRDefault="00A04BB1" w:rsidP="008B60B2">
      <w:pPr>
        <w:spacing w:after="60"/>
        <w:rPr>
          <w:sz w:val="17"/>
          <w:szCs w:val="17"/>
        </w:rPr>
      </w:pPr>
      <w:r w:rsidRPr="00ED77FB">
        <w:rPr>
          <w:sz w:val="17"/>
          <w:szCs w:val="17"/>
        </w:rPr>
        <w:t>[Footnote continued from previous page]</w:t>
      </w:r>
    </w:p>
  </w:footnote>
  <w:footnote w:type="continuationNotice" w:id="1">
    <w:p w:rsidR="00A04BB1" w:rsidRPr="00ED77FB" w:rsidRDefault="00A04B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BA" w:rsidRDefault="00BB7778" w:rsidP="00477D6B">
    <w:pPr>
      <w:jc w:val="right"/>
    </w:pPr>
    <w:proofErr w:type="gramStart"/>
    <w:r>
      <w:t>page</w:t>
    </w:r>
    <w:proofErr w:type="gramEnd"/>
    <w:r>
      <w:t> </w:t>
    </w:r>
    <w:r w:rsidR="001174BA">
      <w:fldChar w:fldCharType="begin"/>
    </w:r>
    <w:r w:rsidR="001174BA">
      <w:instrText xml:space="preserve"> PAGE  \* MERGEFORMAT </w:instrText>
    </w:r>
    <w:r w:rsidR="001174BA">
      <w:fldChar w:fldCharType="separate"/>
    </w:r>
    <w:r w:rsidR="00C90FAD">
      <w:rPr>
        <w:noProof/>
      </w:rPr>
      <w:t>2</w:t>
    </w:r>
    <w:r w:rsidR="001174BA">
      <w:fldChar w:fldCharType="end"/>
    </w:r>
  </w:p>
  <w:p w:rsidR="001174BA" w:rsidRDefault="001174BA"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17" w:rsidRDefault="00291C17" w:rsidP="00B14F03">
    <w:pPr>
      <w:pStyle w:val="Header"/>
      <w:jc w:val="right"/>
    </w:pPr>
    <w:proofErr w:type="spellStart"/>
    <w:r>
      <w:t>Annexe</w:t>
    </w:r>
    <w:proofErr w:type="spellEnd"/>
    <w:r>
      <w:t xml:space="preserve"> II, page 5</w:t>
    </w:r>
  </w:p>
  <w:p w:rsidR="00291C17" w:rsidRDefault="00291C17" w:rsidP="00B14F0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BA" w:rsidRDefault="001174BA" w:rsidP="00B14F0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5E" w:rsidRDefault="00AE0C5E" w:rsidP="00B14F03">
    <w:pPr>
      <w:pStyle w:val="Header"/>
      <w:jc w:val="right"/>
    </w:pPr>
    <w:r>
      <w:t>ANNEXE I</w:t>
    </w:r>
  </w:p>
  <w:p w:rsidR="00AE0C5E" w:rsidRDefault="00AE0C5E" w:rsidP="00B14F0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5E" w:rsidRDefault="00AE0C5E" w:rsidP="00B14F03">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sidR="00C90FAD">
      <w:rPr>
        <w:noProof/>
      </w:rPr>
      <w:t>2</w:t>
    </w:r>
    <w:r>
      <w:rPr>
        <w:noProof/>
      </w:rPr>
      <w:fldChar w:fldCharType="end"/>
    </w:r>
  </w:p>
  <w:p w:rsidR="00AE0C5E" w:rsidRDefault="00AE0C5E" w:rsidP="00B14F0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5E" w:rsidRDefault="00AE0C5E" w:rsidP="00477D6B">
    <w:pPr>
      <w:jc w:val="right"/>
    </w:pPr>
    <w:proofErr w:type="spellStart"/>
    <w:r>
      <w:t>Annexe</w:t>
    </w:r>
    <w:proofErr w:type="spellEnd"/>
    <w:r>
      <w:t xml:space="preserve"> II, page 2</w:t>
    </w:r>
  </w:p>
  <w:p w:rsidR="00AE0C5E" w:rsidRDefault="00AE0C5E"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5E" w:rsidRDefault="00AE0C5E" w:rsidP="00B14F03">
    <w:pPr>
      <w:pStyle w:val="Header"/>
      <w:jc w:val="right"/>
    </w:pPr>
    <w:r>
      <w:t>ANNEXE II</w:t>
    </w:r>
  </w:p>
  <w:p w:rsidR="00AE0C5E" w:rsidRDefault="00AE0C5E" w:rsidP="00B14F03">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5E" w:rsidRDefault="00AE0C5E" w:rsidP="00B14F03">
    <w:pPr>
      <w:pStyle w:val="Header"/>
      <w:jc w:val="right"/>
    </w:pPr>
    <w:proofErr w:type="spellStart"/>
    <w:r>
      <w:t>Annexe</w:t>
    </w:r>
    <w:proofErr w:type="spellEnd"/>
    <w:r>
      <w:t xml:space="preserve"> II, page </w:t>
    </w:r>
    <w:r>
      <w:fldChar w:fldCharType="begin"/>
    </w:r>
    <w:r>
      <w:instrText xml:space="preserve"> PAGE   \* MERGEFORMAT </w:instrText>
    </w:r>
    <w:r>
      <w:fldChar w:fldCharType="separate"/>
    </w:r>
    <w:r w:rsidR="00C90FAD">
      <w:rPr>
        <w:noProof/>
      </w:rPr>
      <w:t>2</w:t>
    </w:r>
    <w:r>
      <w:rPr>
        <w:noProof/>
      </w:rPr>
      <w:fldChar w:fldCharType="end"/>
    </w:r>
  </w:p>
  <w:p w:rsidR="00AE0C5E" w:rsidRDefault="00AE0C5E" w:rsidP="00B14F03">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17" w:rsidRDefault="00291C17" w:rsidP="00B14F03">
    <w:pPr>
      <w:pStyle w:val="Header"/>
      <w:jc w:val="right"/>
    </w:pPr>
    <w:proofErr w:type="spellStart"/>
    <w:r>
      <w:t>Annexe</w:t>
    </w:r>
    <w:proofErr w:type="spellEnd"/>
    <w:r>
      <w:t xml:space="preserve"> II, page 3</w:t>
    </w:r>
  </w:p>
  <w:p w:rsidR="00291C17" w:rsidRDefault="00291C17" w:rsidP="00B14F03">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17" w:rsidRDefault="00291C17" w:rsidP="00B14F03">
    <w:pPr>
      <w:pStyle w:val="Header"/>
      <w:jc w:val="right"/>
    </w:pPr>
    <w:proofErr w:type="spellStart"/>
    <w:r>
      <w:t>Annexe</w:t>
    </w:r>
    <w:proofErr w:type="spellEnd"/>
    <w:r>
      <w:t xml:space="preserve"> II, page 4</w:t>
    </w:r>
  </w:p>
  <w:p w:rsidR="00291C17" w:rsidRDefault="00291C17" w:rsidP="00B14F0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16503B4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BD5468"/>
    <w:multiLevelType w:val="hybridMultilevel"/>
    <w:tmpl w:val="A2205552"/>
    <w:lvl w:ilvl="0" w:tplc="73AAE19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FTS_Glossary|TRADTERM"/>
    <w:docVar w:name="TermBaseURL" w:val="empty"/>
    <w:docVar w:name="TextBases" w:val="TextBase TMs\WorkspaceFTS\EN-FR\Madrid|TextBase TMs\WorkspaceFTS\EN-FR\IPC|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Lisbonne|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
    <w:docVar w:name="TextBaseURL" w:val="empty"/>
    <w:docVar w:name="UILng" w:val="en"/>
  </w:docVars>
  <w:rsids>
    <w:rsidRoot w:val="00CC5016"/>
    <w:rsid w:val="00043313"/>
    <w:rsid w:val="00043CAA"/>
    <w:rsid w:val="00056B3E"/>
    <w:rsid w:val="00070E50"/>
    <w:rsid w:val="00075432"/>
    <w:rsid w:val="00090828"/>
    <w:rsid w:val="000968ED"/>
    <w:rsid w:val="000A6094"/>
    <w:rsid w:val="000B0BB6"/>
    <w:rsid w:val="000B6CA7"/>
    <w:rsid w:val="000B6FC9"/>
    <w:rsid w:val="000F5E56"/>
    <w:rsid w:val="000F6065"/>
    <w:rsid w:val="001174BA"/>
    <w:rsid w:val="001246C9"/>
    <w:rsid w:val="001256B0"/>
    <w:rsid w:val="001362EE"/>
    <w:rsid w:val="00137592"/>
    <w:rsid w:val="00144449"/>
    <w:rsid w:val="001464DA"/>
    <w:rsid w:val="0015037D"/>
    <w:rsid w:val="0017543F"/>
    <w:rsid w:val="001832A6"/>
    <w:rsid w:val="00183C6F"/>
    <w:rsid w:val="001B3BEE"/>
    <w:rsid w:val="001C0371"/>
    <w:rsid w:val="001C20B8"/>
    <w:rsid w:val="001D3B44"/>
    <w:rsid w:val="001E3850"/>
    <w:rsid w:val="001E703D"/>
    <w:rsid w:val="001F1B95"/>
    <w:rsid w:val="001F7609"/>
    <w:rsid w:val="00213964"/>
    <w:rsid w:val="0022493E"/>
    <w:rsid w:val="002507C1"/>
    <w:rsid w:val="00251890"/>
    <w:rsid w:val="0025278E"/>
    <w:rsid w:val="002634C4"/>
    <w:rsid w:val="00264C11"/>
    <w:rsid w:val="00291C17"/>
    <w:rsid w:val="002928D3"/>
    <w:rsid w:val="00293793"/>
    <w:rsid w:val="002A2958"/>
    <w:rsid w:val="002A5BD9"/>
    <w:rsid w:val="002B0E92"/>
    <w:rsid w:val="002C0D64"/>
    <w:rsid w:val="002F1FE6"/>
    <w:rsid w:val="002F4E68"/>
    <w:rsid w:val="00307BA1"/>
    <w:rsid w:val="00310B1C"/>
    <w:rsid w:val="00312F7F"/>
    <w:rsid w:val="00314C69"/>
    <w:rsid w:val="00315F5C"/>
    <w:rsid w:val="00347330"/>
    <w:rsid w:val="00351634"/>
    <w:rsid w:val="00361450"/>
    <w:rsid w:val="003673CF"/>
    <w:rsid w:val="0037592F"/>
    <w:rsid w:val="003845C1"/>
    <w:rsid w:val="00393B0C"/>
    <w:rsid w:val="003A6F89"/>
    <w:rsid w:val="003B38C1"/>
    <w:rsid w:val="003B555E"/>
    <w:rsid w:val="003E708D"/>
    <w:rsid w:val="00400E90"/>
    <w:rsid w:val="00414EA1"/>
    <w:rsid w:val="00417B91"/>
    <w:rsid w:val="00423835"/>
    <w:rsid w:val="00423E3E"/>
    <w:rsid w:val="00427AF4"/>
    <w:rsid w:val="004350F9"/>
    <w:rsid w:val="00440258"/>
    <w:rsid w:val="004431D1"/>
    <w:rsid w:val="00450CAC"/>
    <w:rsid w:val="004550AF"/>
    <w:rsid w:val="004630B4"/>
    <w:rsid w:val="004647DA"/>
    <w:rsid w:val="00474062"/>
    <w:rsid w:val="00477D6B"/>
    <w:rsid w:val="004833EC"/>
    <w:rsid w:val="004932E9"/>
    <w:rsid w:val="004936FC"/>
    <w:rsid w:val="004C0AD9"/>
    <w:rsid w:val="004D1C5A"/>
    <w:rsid w:val="004F5A30"/>
    <w:rsid w:val="005019FF"/>
    <w:rsid w:val="0050560F"/>
    <w:rsid w:val="00517BA5"/>
    <w:rsid w:val="0053057A"/>
    <w:rsid w:val="00531A15"/>
    <w:rsid w:val="005348DF"/>
    <w:rsid w:val="00542239"/>
    <w:rsid w:val="00551671"/>
    <w:rsid w:val="00560A29"/>
    <w:rsid w:val="00560AE5"/>
    <w:rsid w:val="00594A74"/>
    <w:rsid w:val="005A2427"/>
    <w:rsid w:val="005A4A02"/>
    <w:rsid w:val="005B7553"/>
    <w:rsid w:val="005C6649"/>
    <w:rsid w:val="005D0284"/>
    <w:rsid w:val="005D55B9"/>
    <w:rsid w:val="005F3B4B"/>
    <w:rsid w:val="00605827"/>
    <w:rsid w:val="006271F7"/>
    <w:rsid w:val="00627606"/>
    <w:rsid w:val="00644AA2"/>
    <w:rsid w:val="00646050"/>
    <w:rsid w:val="00647B4D"/>
    <w:rsid w:val="00654AE9"/>
    <w:rsid w:val="00660AB7"/>
    <w:rsid w:val="006713CA"/>
    <w:rsid w:val="00676C5C"/>
    <w:rsid w:val="006840AD"/>
    <w:rsid w:val="006902EB"/>
    <w:rsid w:val="006917F4"/>
    <w:rsid w:val="006A333F"/>
    <w:rsid w:val="006A39D6"/>
    <w:rsid w:val="006A746E"/>
    <w:rsid w:val="006B763E"/>
    <w:rsid w:val="006E00E7"/>
    <w:rsid w:val="006F15E8"/>
    <w:rsid w:val="007070FF"/>
    <w:rsid w:val="00711730"/>
    <w:rsid w:val="0072168A"/>
    <w:rsid w:val="00730892"/>
    <w:rsid w:val="00744CF9"/>
    <w:rsid w:val="00744E7C"/>
    <w:rsid w:val="00760CE8"/>
    <w:rsid w:val="00764911"/>
    <w:rsid w:val="00767C4D"/>
    <w:rsid w:val="00790A94"/>
    <w:rsid w:val="007B01DE"/>
    <w:rsid w:val="007B5840"/>
    <w:rsid w:val="007C3E9B"/>
    <w:rsid w:val="007D1613"/>
    <w:rsid w:val="007E728D"/>
    <w:rsid w:val="007F4D09"/>
    <w:rsid w:val="00800FB4"/>
    <w:rsid w:val="0080116E"/>
    <w:rsid w:val="008147A8"/>
    <w:rsid w:val="0082424B"/>
    <w:rsid w:val="00840917"/>
    <w:rsid w:val="00846E0B"/>
    <w:rsid w:val="008640BB"/>
    <w:rsid w:val="00870382"/>
    <w:rsid w:val="00871AC3"/>
    <w:rsid w:val="00885618"/>
    <w:rsid w:val="008B2CC1"/>
    <w:rsid w:val="008B60B2"/>
    <w:rsid w:val="008C2D2F"/>
    <w:rsid w:val="008D1ED4"/>
    <w:rsid w:val="008D2A60"/>
    <w:rsid w:val="008D4F77"/>
    <w:rsid w:val="008D796F"/>
    <w:rsid w:val="00904111"/>
    <w:rsid w:val="009041CB"/>
    <w:rsid w:val="0090731E"/>
    <w:rsid w:val="00916EE2"/>
    <w:rsid w:val="0092128F"/>
    <w:rsid w:val="0093667D"/>
    <w:rsid w:val="00953334"/>
    <w:rsid w:val="00955BA5"/>
    <w:rsid w:val="00960234"/>
    <w:rsid w:val="00966A22"/>
    <w:rsid w:val="0096722F"/>
    <w:rsid w:val="00980843"/>
    <w:rsid w:val="00986348"/>
    <w:rsid w:val="009A7AD1"/>
    <w:rsid w:val="009E2791"/>
    <w:rsid w:val="009E3F6F"/>
    <w:rsid w:val="009E5634"/>
    <w:rsid w:val="009E5F9F"/>
    <w:rsid w:val="009F2A14"/>
    <w:rsid w:val="009F499F"/>
    <w:rsid w:val="009F5AC9"/>
    <w:rsid w:val="00A04BB1"/>
    <w:rsid w:val="00A21684"/>
    <w:rsid w:val="00A3626F"/>
    <w:rsid w:val="00A42DAF"/>
    <w:rsid w:val="00A45BD8"/>
    <w:rsid w:val="00A55980"/>
    <w:rsid w:val="00A6357B"/>
    <w:rsid w:val="00A67A0D"/>
    <w:rsid w:val="00A701A8"/>
    <w:rsid w:val="00A869B7"/>
    <w:rsid w:val="00A9253F"/>
    <w:rsid w:val="00A9469F"/>
    <w:rsid w:val="00A94F37"/>
    <w:rsid w:val="00A97A51"/>
    <w:rsid w:val="00AA1D22"/>
    <w:rsid w:val="00AB50BA"/>
    <w:rsid w:val="00AB5650"/>
    <w:rsid w:val="00AC205C"/>
    <w:rsid w:val="00AE0C5E"/>
    <w:rsid w:val="00AE22E3"/>
    <w:rsid w:val="00AF0A6B"/>
    <w:rsid w:val="00AF5452"/>
    <w:rsid w:val="00AF6661"/>
    <w:rsid w:val="00B05A69"/>
    <w:rsid w:val="00B10376"/>
    <w:rsid w:val="00B35406"/>
    <w:rsid w:val="00B36DF7"/>
    <w:rsid w:val="00B46D7E"/>
    <w:rsid w:val="00B55A78"/>
    <w:rsid w:val="00B72750"/>
    <w:rsid w:val="00B819CE"/>
    <w:rsid w:val="00B83157"/>
    <w:rsid w:val="00B8563D"/>
    <w:rsid w:val="00B8749C"/>
    <w:rsid w:val="00B940C8"/>
    <w:rsid w:val="00B9734B"/>
    <w:rsid w:val="00BA1D56"/>
    <w:rsid w:val="00BA59F8"/>
    <w:rsid w:val="00BB12B3"/>
    <w:rsid w:val="00BB7778"/>
    <w:rsid w:val="00BC1194"/>
    <w:rsid w:val="00BD7FCB"/>
    <w:rsid w:val="00BF0CA8"/>
    <w:rsid w:val="00BF2F07"/>
    <w:rsid w:val="00C06A44"/>
    <w:rsid w:val="00C11BFE"/>
    <w:rsid w:val="00C15A06"/>
    <w:rsid w:val="00C269F6"/>
    <w:rsid w:val="00C41118"/>
    <w:rsid w:val="00C47491"/>
    <w:rsid w:val="00C523BC"/>
    <w:rsid w:val="00C556FE"/>
    <w:rsid w:val="00C65B3F"/>
    <w:rsid w:val="00C7669D"/>
    <w:rsid w:val="00C90FAD"/>
    <w:rsid w:val="00C951A6"/>
    <w:rsid w:val="00CC5016"/>
    <w:rsid w:val="00CD1D60"/>
    <w:rsid w:val="00CD2ED9"/>
    <w:rsid w:val="00CD5752"/>
    <w:rsid w:val="00CE3E34"/>
    <w:rsid w:val="00CE5BED"/>
    <w:rsid w:val="00CE5BF7"/>
    <w:rsid w:val="00CF1F7B"/>
    <w:rsid w:val="00CF3F3D"/>
    <w:rsid w:val="00D44DC9"/>
    <w:rsid w:val="00D45252"/>
    <w:rsid w:val="00D71B4D"/>
    <w:rsid w:val="00D74909"/>
    <w:rsid w:val="00D808CE"/>
    <w:rsid w:val="00D93D55"/>
    <w:rsid w:val="00DB278E"/>
    <w:rsid w:val="00DB2BFC"/>
    <w:rsid w:val="00DB3BF3"/>
    <w:rsid w:val="00DC3F8A"/>
    <w:rsid w:val="00DE0123"/>
    <w:rsid w:val="00DF1A8A"/>
    <w:rsid w:val="00DF5554"/>
    <w:rsid w:val="00E05C90"/>
    <w:rsid w:val="00E120E2"/>
    <w:rsid w:val="00E15196"/>
    <w:rsid w:val="00E17A47"/>
    <w:rsid w:val="00E335FE"/>
    <w:rsid w:val="00E3743C"/>
    <w:rsid w:val="00E45D0B"/>
    <w:rsid w:val="00E57F91"/>
    <w:rsid w:val="00E865D5"/>
    <w:rsid w:val="00E9449A"/>
    <w:rsid w:val="00E970E0"/>
    <w:rsid w:val="00E97F26"/>
    <w:rsid w:val="00EB53A4"/>
    <w:rsid w:val="00EB7273"/>
    <w:rsid w:val="00EC11DB"/>
    <w:rsid w:val="00EC4E49"/>
    <w:rsid w:val="00ED77FB"/>
    <w:rsid w:val="00EE0C2F"/>
    <w:rsid w:val="00EE45FA"/>
    <w:rsid w:val="00EE5D89"/>
    <w:rsid w:val="00EF1CB2"/>
    <w:rsid w:val="00EF308E"/>
    <w:rsid w:val="00EF5D29"/>
    <w:rsid w:val="00F008E2"/>
    <w:rsid w:val="00F121F9"/>
    <w:rsid w:val="00F25354"/>
    <w:rsid w:val="00F4487F"/>
    <w:rsid w:val="00F66152"/>
    <w:rsid w:val="00F7618C"/>
    <w:rsid w:val="00FA74FB"/>
    <w:rsid w:val="00FB1B3B"/>
    <w:rsid w:val="00FB1C01"/>
    <w:rsid w:val="00FC45C2"/>
    <w:rsid w:val="00FD4248"/>
    <w:rsid w:val="00FF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4444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44449"/>
    <w:rPr>
      <w:rFonts w:ascii="Tahoma" w:eastAsia="SimSun" w:hAnsi="Tahoma" w:cs="Tahoma"/>
      <w:sz w:val="16"/>
      <w:szCs w:val="16"/>
      <w:lang w:eastAsia="zh-CN"/>
    </w:rPr>
  </w:style>
  <w:style w:type="paragraph" w:styleId="ListParagraph">
    <w:name w:val="List Paragraph"/>
    <w:basedOn w:val="Normal"/>
    <w:uiPriority w:val="34"/>
    <w:qFormat/>
    <w:rsid w:val="00953334"/>
    <w:pPr>
      <w:ind w:left="720"/>
      <w:contextualSpacing/>
    </w:pPr>
  </w:style>
  <w:style w:type="character" w:styleId="Hyperlink">
    <w:name w:val="Hyperlink"/>
    <w:basedOn w:val="DefaultParagraphFont"/>
    <w:rsid w:val="0037592F"/>
    <w:rPr>
      <w:color w:val="0000FF" w:themeColor="hyperlink"/>
      <w:u w:val="single"/>
    </w:rPr>
  </w:style>
  <w:style w:type="character" w:customStyle="1" w:styleId="HeaderChar">
    <w:name w:val="Header Char"/>
    <w:basedOn w:val="DefaultParagraphFont"/>
    <w:link w:val="Header"/>
    <w:uiPriority w:val="99"/>
    <w:rsid w:val="007B01DE"/>
    <w:rPr>
      <w:rFonts w:ascii="Arial" w:eastAsia="SimSun" w:hAnsi="Arial" w:cs="Arial"/>
      <w:sz w:val="22"/>
      <w:lang w:eastAsia="zh-CN"/>
    </w:rPr>
  </w:style>
  <w:style w:type="paragraph" w:styleId="BodyText2">
    <w:name w:val="Body Text 2"/>
    <w:basedOn w:val="Normal"/>
    <w:link w:val="BodyText2Char"/>
    <w:rsid w:val="00F4487F"/>
    <w:pPr>
      <w:spacing w:after="120" w:line="480" w:lineRule="auto"/>
    </w:pPr>
  </w:style>
  <w:style w:type="character" w:customStyle="1" w:styleId="BodyText2Char">
    <w:name w:val="Body Text 2 Char"/>
    <w:basedOn w:val="DefaultParagraphFont"/>
    <w:link w:val="BodyText2"/>
    <w:rsid w:val="00F4487F"/>
    <w:rPr>
      <w:rFonts w:ascii="Arial" w:eastAsia="SimSun" w:hAnsi="Arial" w:cs="Arial"/>
      <w:sz w:val="22"/>
      <w:lang w:eastAsia="zh-CN"/>
    </w:rPr>
  </w:style>
  <w:style w:type="paragraph" w:styleId="BodyTextIndent2">
    <w:name w:val="Body Text Indent 2"/>
    <w:basedOn w:val="Normal"/>
    <w:link w:val="BodyTextIndent2Char"/>
    <w:rsid w:val="00F4487F"/>
    <w:pPr>
      <w:spacing w:after="120" w:line="480" w:lineRule="auto"/>
      <w:ind w:left="360"/>
    </w:pPr>
  </w:style>
  <w:style w:type="character" w:customStyle="1" w:styleId="BodyTextIndent2Char">
    <w:name w:val="Body Text Indent 2 Char"/>
    <w:basedOn w:val="DefaultParagraphFont"/>
    <w:link w:val="BodyTextIndent2"/>
    <w:rsid w:val="00F4487F"/>
    <w:rPr>
      <w:rFonts w:ascii="Arial" w:eastAsia="SimSun" w:hAnsi="Arial" w:cs="Arial"/>
      <w:sz w:val="22"/>
      <w:lang w:eastAsia="zh-CN"/>
    </w:rPr>
  </w:style>
  <w:style w:type="character" w:customStyle="1" w:styleId="Endofdocument-AnnexChar">
    <w:name w:val="[End of document - Annex] Char"/>
    <w:link w:val="Endofdocument-Annex"/>
    <w:rsid w:val="004C0AD9"/>
    <w:rPr>
      <w:rFonts w:ascii="Arial" w:eastAsia="SimSun" w:hAnsi="Arial" w:cs="Arial"/>
      <w:sz w:val="22"/>
      <w:lang w:eastAsia="zh-CN"/>
    </w:rPr>
  </w:style>
  <w:style w:type="table" w:styleId="TableGrid">
    <w:name w:val="Table Grid"/>
    <w:basedOn w:val="TableNormal"/>
    <w:rsid w:val="00627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
    <w:name w:val="indent_i"/>
    <w:basedOn w:val="Normal"/>
    <w:link w:val="indentiChar"/>
    <w:rsid w:val="00AE0C5E"/>
    <w:pPr>
      <w:numPr>
        <w:ilvl w:val="2"/>
        <w:numId w:val="8"/>
      </w:numPr>
      <w:jc w:val="both"/>
    </w:pPr>
    <w:rPr>
      <w:rFonts w:ascii="Times New Roman" w:eastAsia="Times New Roman" w:hAnsi="Times New Roman" w:cs="Times New Roman"/>
      <w:sz w:val="30"/>
      <w:lang w:eastAsia="en-US"/>
    </w:rPr>
  </w:style>
  <w:style w:type="paragraph" w:customStyle="1" w:styleId="indentihang">
    <w:name w:val="indent_i_hang"/>
    <w:basedOn w:val="Normal"/>
    <w:rsid w:val="00AE0C5E"/>
    <w:pPr>
      <w:numPr>
        <w:numId w:val="8"/>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AE0C5E"/>
    <w:rPr>
      <w:sz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4444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44449"/>
    <w:rPr>
      <w:rFonts w:ascii="Tahoma" w:eastAsia="SimSun" w:hAnsi="Tahoma" w:cs="Tahoma"/>
      <w:sz w:val="16"/>
      <w:szCs w:val="16"/>
      <w:lang w:eastAsia="zh-CN"/>
    </w:rPr>
  </w:style>
  <w:style w:type="paragraph" w:styleId="ListParagraph">
    <w:name w:val="List Paragraph"/>
    <w:basedOn w:val="Normal"/>
    <w:uiPriority w:val="34"/>
    <w:qFormat/>
    <w:rsid w:val="00953334"/>
    <w:pPr>
      <w:ind w:left="720"/>
      <w:contextualSpacing/>
    </w:pPr>
  </w:style>
  <w:style w:type="character" w:styleId="Hyperlink">
    <w:name w:val="Hyperlink"/>
    <w:basedOn w:val="DefaultParagraphFont"/>
    <w:rsid w:val="0037592F"/>
    <w:rPr>
      <w:color w:val="0000FF" w:themeColor="hyperlink"/>
      <w:u w:val="single"/>
    </w:rPr>
  </w:style>
  <w:style w:type="character" w:customStyle="1" w:styleId="HeaderChar">
    <w:name w:val="Header Char"/>
    <w:basedOn w:val="DefaultParagraphFont"/>
    <w:link w:val="Header"/>
    <w:uiPriority w:val="99"/>
    <w:rsid w:val="007B01DE"/>
    <w:rPr>
      <w:rFonts w:ascii="Arial" w:eastAsia="SimSun" w:hAnsi="Arial" w:cs="Arial"/>
      <w:sz w:val="22"/>
      <w:lang w:eastAsia="zh-CN"/>
    </w:rPr>
  </w:style>
  <w:style w:type="paragraph" w:styleId="BodyText2">
    <w:name w:val="Body Text 2"/>
    <w:basedOn w:val="Normal"/>
    <w:link w:val="BodyText2Char"/>
    <w:rsid w:val="00F4487F"/>
    <w:pPr>
      <w:spacing w:after="120" w:line="480" w:lineRule="auto"/>
    </w:pPr>
  </w:style>
  <w:style w:type="character" w:customStyle="1" w:styleId="BodyText2Char">
    <w:name w:val="Body Text 2 Char"/>
    <w:basedOn w:val="DefaultParagraphFont"/>
    <w:link w:val="BodyText2"/>
    <w:rsid w:val="00F4487F"/>
    <w:rPr>
      <w:rFonts w:ascii="Arial" w:eastAsia="SimSun" w:hAnsi="Arial" w:cs="Arial"/>
      <w:sz w:val="22"/>
      <w:lang w:eastAsia="zh-CN"/>
    </w:rPr>
  </w:style>
  <w:style w:type="paragraph" w:styleId="BodyTextIndent2">
    <w:name w:val="Body Text Indent 2"/>
    <w:basedOn w:val="Normal"/>
    <w:link w:val="BodyTextIndent2Char"/>
    <w:rsid w:val="00F4487F"/>
    <w:pPr>
      <w:spacing w:after="120" w:line="480" w:lineRule="auto"/>
      <w:ind w:left="360"/>
    </w:pPr>
  </w:style>
  <w:style w:type="character" w:customStyle="1" w:styleId="BodyTextIndent2Char">
    <w:name w:val="Body Text Indent 2 Char"/>
    <w:basedOn w:val="DefaultParagraphFont"/>
    <w:link w:val="BodyTextIndent2"/>
    <w:rsid w:val="00F4487F"/>
    <w:rPr>
      <w:rFonts w:ascii="Arial" w:eastAsia="SimSun" w:hAnsi="Arial" w:cs="Arial"/>
      <w:sz w:val="22"/>
      <w:lang w:eastAsia="zh-CN"/>
    </w:rPr>
  </w:style>
  <w:style w:type="character" w:customStyle="1" w:styleId="Endofdocument-AnnexChar">
    <w:name w:val="[End of document - Annex] Char"/>
    <w:link w:val="Endofdocument-Annex"/>
    <w:rsid w:val="004C0AD9"/>
    <w:rPr>
      <w:rFonts w:ascii="Arial" w:eastAsia="SimSun" w:hAnsi="Arial" w:cs="Arial"/>
      <w:sz w:val="22"/>
      <w:lang w:eastAsia="zh-CN"/>
    </w:rPr>
  </w:style>
  <w:style w:type="table" w:styleId="TableGrid">
    <w:name w:val="Table Grid"/>
    <w:basedOn w:val="TableNormal"/>
    <w:rsid w:val="00627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
    <w:name w:val="indent_i"/>
    <w:basedOn w:val="Normal"/>
    <w:link w:val="indentiChar"/>
    <w:rsid w:val="00AE0C5E"/>
    <w:pPr>
      <w:numPr>
        <w:ilvl w:val="2"/>
        <w:numId w:val="8"/>
      </w:numPr>
      <w:jc w:val="both"/>
    </w:pPr>
    <w:rPr>
      <w:rFonts w:ascii="Times New Roman" w:eastAsia="Times New Roman" w:hAnsi="Times New Roman" w:cs="Times New Roman"/>
      <w:sz w:val="30"/>
      <w:lang w:eastAsia="en-US"/>
    </w:rPr>
  </w:style>
  <w:style w:type="paragraph" w:customStyle="1" w:styleId="indentihang">
    <w:name w:val="indent_i_hang"/>
    <w:basedOn w:val="Normal"/>
    <w:rsid w:val="00AE0C5E"/>
    <w:pPr>
      <w:numPr>
        <w:numId w:val="8"/>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AE0C5E"/>
    <w:rPr>
      <w:sz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1.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hyperlink" Target="mailto:intreg@wipo.int"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E82B-A1A9-4738-940B-1E0AB008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1513</Words>
  <Characters>8130</Characters>
  <Application>Microsoft Office Word</Application>
  <DocSecurity>0</DocSecurity>
  <Lines>213</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MP/ko</cp:keywords>
  <cp:lastModifiedBy>DIAZ Natacha</cp:lastModifiedBy>
  <cp:revision>16</cp:revision>
  <cp:lastPrinted>2016-03-21T07:34:00Z</cp:lastPrinted>
  <dcterms:created xsi:type="dcterms:W3CDTF">2016-03-24T11:01:00Z</dcterms:created>
  <dcterms:modified xsi:type="dcterms:W3CDTF">2016-03-29T13:47:00Z</dcterms:modified>
</cp:coreProperties>
</file>