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2351B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2351B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2351B" w:rsidRDefault="00956357" w:rsidP="00916EE2">
            <w:pPr>
              <w:rPr>
                <w:lang w:val="fr-FR"/>
              </w:rPr>
            </w:pPr>
            <w:r w:rsidRPr="00D2351B">
              <w:rPr>
                <w:noProof/>
                <w:lang w:eastAsia="en-US"/>
              </w:rPr>
              <w:drawing>
                <wp:inline distT="0" distB="0" distL="0" distR="0" wp14:anchorId="49675C6B" wp14:editId="1D514A71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2351B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D2351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2351B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2351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2351B" w:rsidRDefault="00BC56AE" w:rsidP="00D9344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2351B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CC5016" w:rsidRPr="00D2351B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Pr="00D2351B">
              <w:rPr>
                <w:rFonts w:ascii="Arial Black" w:hAnsi="Arial Black"/>
                <w:caps/>
                <w:sz w:val="15"/>
                <w:lang w:val="fr-FR"/>
              </w:rPr>
              <w:t>° </w:t>
            </w:r>
            <w:r w:rsidR="00D9344D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="00CC5016" w:rsidRPr="00D2351B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6F3270" w:rsidRPr="00D2351B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A42DAF" w:rsidRPr="00D2351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3F5A8C" w:rsidRPr="00D2351B" w:rsidRDefault="003F5A8C" w:rsidP="008B2CC1">
      <w:pPr>
        <w:rPr>
          <w:lang w:val="fr-FR"/>
        </w:rPr>
      </w:pPr>
    </w:p>
    <w:p w:rsidR="003F5A8C" w:rsidRPr="00D2351B" w:rsidRDefault="003F5A8C" w:rsidP="008B2CC1">
      <w:pPr>
        <w:rPr>
          <w:lang w:val="fr-FR"/>
        </w:rPr>
      </w:pPr>
    </w:p>
    <w:p w:rsidR="003F5A8C" w:rsidRPr="00D2351B" w:rsidRDefault="003F5A8C" w:rsidP="008B2CC1">
      <w:pPr>
        <w:rPr>
          <w:lang w:val="fr-FR"/>
        </w:rPr>
      </w:pPr>
    </w:p>
    <w:p w:rsidR="003F5A8C" w:rsidRPr="00D2351B" w:rsidRDefault="003F5A8C" w:rsidP="00CC5016">
      <w:pPr>
        <w:rPr>
          <w:lang w:val="fr-FR"/>
        </w:rPr>
      </w:pPr>
    </w:p>
    <w:p w:rsidR="003F5A8C" w:rsidRPr="00D2351B" w:rsidRDefault="003F5A8C" w:rsidP="00CC5016">
      <w:pPr>
        <w:rPr>
          <w:lang w:val="fr-FR"/>
        </w:rPr>
      </w:pPr>
    </w:p>
    <w:p w:rsidR="00E178BF" w:rsidRPr="00D2351B" w:rsidRDefault="00B12876" w:rsidP="0072055E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Arrangement et </w:t>
      </w:r>
      <w:r w:rsidR="00BC56AE" w:rsidRPr="00D2351B">
        <w:rPr>
          <w:b/>
          <w:bCs/>
          <w:sz w:val="28"/>
          <w:szCs w:val="28"/>
          <w:lang w:val="fr-FR"/>
        </w:rPr>
        <w:t>Protocole de Madrid concernant l</w:t>
      </w:r>
      <w:r w:rsidR="00E178BF" w:rsidRPr="00D2351B">
        <w:rPr>
          <w:b/>
          <w:bCs/>
          <w:sz w:val="28"/>
          <w:szCs w:val="28"/>
          <w:lang w:val="fr-FR"/>
        </w:rPr>
        <w:t>’</w:t>
      </w:r>
      <w:r w:rsidR="00BC56AE" w:rsidRPr="00D2351B">
        <w:rPr>
          <w:b/>
          <w:bCs/>
          <w:sz w:val="28"/>
          <w:szCs w:val="28"/>
          <w:lang w:val="fr-FR"/>
        </w:rPr>
        <w:t>enregistrement international des marques</w:t>
      </w:r>
    </w:p>
    <w:p w:rsidR="003F5A8C" w:rsidRPr="00D2351B" w:rsidRDefault="003F5A8C" w:rsidP="0072055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3F5A8C" w:rsidRPr="00D2351B" w:rsidRDefault="003F5A8C" w:rsidP="0072055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3F5A8C" w:rsidRPr="00D2351B" w:rsidRDefault="003F5A8C" w:rsidP="0072055E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E178BF" w:rsidRPr="00D2351B" w:rsidRDefault="00AA279B" w:rsidP="0072055E">
      <w:pPr>
        <w:rPr>
          <w:b/>
          <w:sz w:val="24"/>
          <w:szCs w:val="24"/>
          <w:lang w:val="fr-FR"/>
        </w:rPr>
      </w:pPr>
      <w:r w:rsidRPr="00D2351B">
        <w:rPr>
          <w:b/>
          <w:sz w:val="24"/>
          <w:szCs w:val="24"/>
          <w:lang w:val="fr-FR"/>
        </w:rPr>
        <w:t>Nouvelle version du Gestionnaire de</w:t>
      </w:r>
      <w:r w:rsidR="00FF5AB7" w:rsidRPr="00D2351B">
        <w:rPr>
          <w:b/>
          <w:sz w:val="24"/>
          <w:szCs w:val="24"/>
          <w:lang w:val="fr-FR"/>
        </w:rPr>
        <w:t>s</w:t>
      </w:r>
      <w:r w:rsidRPr="00D2351B">
        <w:rPr>
          <w:b/>
          <w:sz w:val="24"/>
          <w:szCs w:val="24"/>
          <w:lang w:val="fr-FR"/>
        </w:rPr>
        <w:t xml:space="preserve"> produits et services de Madrid (MGS)</w:t>
      </w:r>
    </w:p>
    <w:p w:rsidR="00450E50" w:rsidRPr="00D2351B" w:rsidRDefault="00450E50" w:rsidP="0072055E">
      <w:pPr>
        <w:rPr>
          <w:szCs w:val="22"/>
          <w:lang w:val="fr-FR"/>
        </w:rPr>
      </w:pPr>
    </w:p>
    <w:p w:rsidR="00E178BF" w:rsidRDefault="00AA279B" w:rsidP="0072055E">
      <w:pPr>
        <w:pStyle w:val="ONUMFS"/>
        <w:rPr>
          <w:lang w:val="fr-FR"/>
        </w:rPr>
      </w:pPr>
      <w:r w:rsidRPr="00D2351B">
        <w:rPr>
          <w:lang w:val="fr-FR"/>
        </w:rPr>
        <w:t>En mars 2016, une nouvelle version</w:t>
      </w:r>
      <w:r w:rsidR="00E178BF" w:rsidRPr="00D2351B">
        <w:rPr>
          <w:lang w:val="fr-FR"/>
        </w:rPr>
        <w:t xml:space="preserve"> du MGS</w:t>
      </w:r>
      <w:r w:rsidRPr="00D2351B">
        <w:rPr>
          <w:lang w:val="fr-FR"/>
        </w:rPr>
        <w:t xml:space="preserve"> a été mise à disposition sur le site</w:t>
      </w:r>
      <w:r w:rsidR="006F2DDB" w:rsidRPr="00D2351B">
        <w:rPr>
          <w:lang w:val="fr-FR"/>
        </w:rPr>
        <w:t> </w:t>
      </w:r>
      <w:r w:rsidRPr="00D2351B">
        <w:rPr>
          <w:lang w:val="fr-FR"/>
        </w:rPr>
        <w:t>Web de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Organisation Mondiale de la Propriété Intellectuelle (OMPI).</w:t>
      </w:r>
      <w:r w:rsidR="002070AB" w:rsidRPr="00D2351B">
        <w:rPr>
          <w:lang w:val="fr-FR"/>
        </w:rPr>
        <w:t xml:space="preserve">  </w:t>
      </w:r>
      <w:r w:rsidR="008044B5" w:rsidRPr="00D2351B">
        <w:rPr>
          <w:lang w:val="fr-FR"/>
        </w:rPr>
        <w:t xml:space="preserve">Cette version apporte des améliorations et </w:t>
      </w:r>
      <w:r w:rsidR="00FF5AB7" w:rsidRPr="00D2351B">
        <w:rPr>
          <w:lang w:val="fr-FR"/>
        </w:rPr>
        <w:t xml:space="preserve">inclut </w:t>
      </w:r>
      <w:r w:rsidR="008044B5" w:rsidRPr="00D2351B">
        <w:rPr>
          <w:lang w:val="fr-FR"/>
        </w:rPr>
        <w:t>de nouvelles fonction</w:t>
      </w:r>
      <w:r w:rsidR="00112B35">
        <w:rPr>
          <w:lang w:val="fr-FR"/>
        </w:rPr>
        <w:t>nalité</w:t>
      </w:r>
      <w:r w:rsidR="008044B5" w:rsidRPr="00D2351B">
        <w:rPr>
          <w:lang w:val="fr-FR"/>
        </w:rPr>
        <w:t>s destinées à renforcer l</w:t>
      </w:r>
      <w:r w:rsidR="00E178BF" w:rsidRPr="00D2351B">
        <w:rPr>
          <w:lang w:val="fr-FR"/>
        </w:rPr>
        <w:t>’</w:t>
      </w:r>
      <w:r w:rsidR="008044B5" w:rsidRPr="00D2351B">
        <w:rPr>
          <w:lang w:val="fr-FR"/>
        </w:rPr>
        <w:t>utilité de l</w:t>
      </w:r>
      <w:r w:rsidR="00E178BF" w:rsidRPr="00D2351B">
        <w:rPr>
          <w:lang w:val="fr-FR"/>
        </w:rPr>
        <w:t>’</w:t>
      </w:r>
      <w:r w:rsidR="008044B5" w:rsidRPr="00D2351B">
        <w:rPr>
          <w:lang w:val="fr-FR"/>
        </w:rPr>
        <w:t>application MGS et à améliorer l</w:t>
      </w:r>
      <w:r w:rsidR="00E178BF" w:rsidRPr="00D2351B">
        <w:rPr>
          <w:lang w:val="fr-FR"/>
        </w:rPr>
        <w:t>’</w:t>
      </w:r>
      <w:r w:rsidR="008044B5" w:rsidRPr="00D2351B">
        <w:rPr>
          <w:lang w:val="fr-FR"/>
        </w:rPr>
        <w:t>accès à l</w:t>
      </w:r>
      <w:r w:rsidR="00E178BF" w:rsidRPr="00D2351B">
        <w:rPr>
          <w:lang w:val="fr-FR"/>
        </w:rPr>
        <w:t>’</w:t>
      </w:r>
      <w:r w:rsidR="008044B5" w:rsidRPr="00D2351B">
        <w:rPr>
          <w:lang w:val="fr-FR"/>
        </w:rPr>
        <w:t>information relative à la classification.</w:t>
      </w:r>
    </w:p>
    <w:p w:rsidR="003F5A8C" w:rsidRPr="00D2351B" w:rsidRDefault="00192AE3" w:rsidP="00A44F2E">
      <w:pPr>
        <w:pStyle w:val="Heading3"/>
        <w:spacing w:before="0"/>
      </w:pPr>
      <w:r w:rsidRPr="00450E50">
        <w:t>Affichage</w:t>
      </w:r>
      <w:r w:rsidR="008044B5" w:rsidRPr="00450E50">
        <w:t xml:space="preserve"> des notes explicatives </w:t>
      </w:r>
      <w:r w:rsidR="00940490" w:rsidRPr="00450E50">
        <w:t>de</w:t>
      </w:r>
      <w:r w:rsidR="008044B5" w:rsidRPr="00450E50">
        <w:t xml:space="preserve"> la classification de Nice dans les 17</w:t>
      </w:r>
      <w:r w:rsidR="00450E50" w:rsidRPr="00450E50">
        <w:t> </w:t>
      </w:r>
      <w:r w:rsidR="008044B5" w:rsidRPr="00450E50">
        <w:t>langues actuellement</w:t>
      </w:r>
      <w:r w:rsidR="008044B5" w:rsidRPr="00D2351B">
        <w:t xml:space="preserve"> </w:t>
      </w:r>
      <w:r w:rsidR="00940490" w:rsidRPr="00D2351B">
        <w:t>disponibles</w:t>
      </w:r>
      <w:r w:rsidR="008044B5" w:rsidRPr="00D2351B">
        <w:t xml:space="preserve"> dans</w:t>
      </w:r>
      <w:r w:rsidR="00E178BF" w:rsidRPr="00D2351B">
        <w:t xml:space="preserve"> le MGS</w:t>
      </w:r>
    </w:p>
    <w:p w:rsidR="003F5A8C" w:rsidRPr="00D2351B" w:rsidRDefault="003F5A8C" w:rsidP="0072055E">
      <w:pPr>
        <w:rPr>
          <w:u w:val="single"/>
          <w:lang w:val="fr-FR"/>
        </w:rPr>
      </w:pPr>
    </w:p>
    <w:p w:rsidR="00E178BF" w:rsidRPr="00D2351B" w:rsidRDefault="000D239F" w:rsidP="0072055E">
      <w:pPr>
        <w:pStyle w:val="ONUMFS"/>
        <w:rPr>
          <w:lang w:val="fr-FR"/>
        </w:rPr>
      </w:pPr>
      <w:r w:rsidRPr="00D2351B">
        <w:rPr>
          <w:lang w:val="fr-FR"/>
        </w:rPr>
        <w:t>Les notes explicatives de la version</w:t>
      </w:r>
      <w:r w:rsidR="00450E50">
        <w:rPr>
          <w:lang w:val="fr-FR"/>
        </w:rPr>
        <w:t> </w:t>
      </w:r>
      <w:r w:rsidRPr="00D2351B">
        <w:rPr>
          <w:lang w:val="fr-FR"/>
        </w:rPr>
        <w:t xml:space="preserve">2016 de la dixième édition de la </w:t>
      </w:r>
      <w:r w:rsidR="00A44F2E">
        <w:rPr>
          <w:lang w:val="fr-FR"/>
        </w:rPr>
        <w:t>C</w:t>
      </w:r>
      <w:r w:rsidRPr="00D2351B">
        <w:rPr>
          <w:lang w:val="fr-FR"/>
        </w:rPr>
        <w:t>lassification internationale des produits et des services aux fins de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enregistrement des marques (classification de Nice) sont désormais accessibles dans toutes les interfaces linguistiques</w:t>
      </w:r>
      <w:r w:rsidR="00E178BF" w:rsidRPr="00D2351B">
        <w:rPr>
          <w:lang w:val="fr-FR"/>
        </w:rPr>
        <w:t xml:space="preserve"> du </w:t>
      </w:r>
      <w:r w:rsidR="00E178BF" w:rsidRPr="00D2351B">
        <w:rPr>
          <w:color w:val="000000"/>
          <w:lang w:val="fr-FR"/>
        </w:rPr>
        <w:t>MGS</w:t>
      </w:r>
      <w:r w:rsidRPr="00D2351B">
        <w:rPr>
          <w:color w:val="000000"/>
          <w:lang w:val="fr-FR"/>
        </w:rPr>
        <w:t xml:space="preserve">, avec les intitulés des classes </w:t>
      </w:r>
      <w:r w:rsidR="00FF5AB7" w:rsidRPr="00D2351B">
        <w:rPr>
          <w:color w:val="000000"/>
          <w:lang w:val="fr-FR"/>
        </w:rPr>
        <w:t>associés</w:t>
      </w:r>
      <w:r w:rsidRPr="00D2351B">
        <w:rPr>
          <w:color w:val="000000"/>
          <w:lang w:val="fr-FR"/>
        </w:rPr>
        <w:t>.</w:t>
      </w:r>
    </w:p>
    <w:p w:rsidR="00E178BF" w:rsidRPr="00D2351B" w:rsidRDefault="000D4BF8" w:rsidP="0072055E">
      <w:pPr>
        <w:pStyle w:val="ONUMFS"/>
        <w:rPr>
          <w:lang w:val="fr-FR"/>
        </w:rPr>
      </w:pPr>
      <w:r w:rsidRPr="00D2351B">
        <w:rPr>
          <w:color w:val="000000"/>
          <w:lang w:val="fr-FR"/>
        </w:rPr>
        <w:t xml:space="preserve">Cela signifie que, </w:t>
      </w:r>
      <w:r w:rsidR="00FF5AB7" w:rsidRPr="00D2351B">
        <w:rPr>
          <w:color w:val="000000"/>
          <w:lang w:val="fr-FR"/>
        </w:rPr>
        <w:t>en plus d</w:t>
      </w:r>
      <w:r w:rsidR="00E178BF" w:rsidRPr="00D2351B">
        <w:rPr>
          <w:color w:val="000000"/>
          <w:lang w:val="fr-FR"/>
        </w:rPr>
        <w:t>’</w:t>
      </w:r>
      <w:r w:rsidR="00FF5AB7" w:rsidRPr="00D2351B">
        <w:rPr>
          <w:color w:val="000000"/>
          <w:lang w:val="fr-FR"/>
        </w:rPr>
        <w:t xml:space="preserve">être officiellement publiées </w:t>
      </w:r>
      <w:r w:rsidRPr="00D2351B">
        <w:rPr>
          <w:color w:val="000000"/>
          <w:lang w:val="fr-FR"/>
        </w:rPr>
        <w:t>par l</w:t>
      </w:r>
      <w:r w:rsidR="00E178BF" w:rsidRPr="00D2351B">
        <w:rPr>
          <w:color w:val="000000"/>
          <w:lang w:val="fr-FR"/>
        </w:rPr>
        <w:t>’</w:t>
      </w:r>
      <w:r w:rsidRPr="00D2351B">
        <w:rPr>
          <w:color w:val="000000"/>
          <w:lang w:val="fr-FR"/>
        </w:rPr>
        <w:t>OMPI dans les trois</w:t>
      </w:r>
      <w:r w:rsidR="006F2DDB" w:rsidRPr="00D2351B">
        <w:rPr>
          <w:color w:val="000000"/>
          <w:lang w:val="fr-FR"/>
        </w:rPr>
        <w:t> </w:t>
      </w:r>
      <w:r w:rsidRPr="00D2351B">
        <w:rPr>
          <w:color w:val="000000"/>
          <w:lang w:val="fr-FR"/>
        </w:rPr>
        <w:t xml:space="preserve">langues de travail du système de Madrid (français, anglais et espagnol), les notes explicatives peuvent désormais </w:t>
      </w:r>
      <w:r w:rsidR="004F7E47" w:rsidRPr="00D2351B">
        <w:rPr>
          <w:color w:val="000000"/>
          <w:lang w:val="fr-FR"/>
        </w:rPr>
        <w:t xml:space="preserve">également </w:t>
      </w:r>
      <w:r w:rsidRPr="00D2351B">
        <w:rPr>
          <w:color w:val="000000"/>
          <w:lang w:val="fr-FR"/>
        </w:rPr>
        <w:t>être consultées dans toutes les autres langues</w:t>
      </w:r>
      <w:r w:rsidR="00E178BF" w:rsidRPr="00D2351B">
        <w:rPr>
          <w:color w:val="000000"/>
          <w:lang w:val="fr-FR"/>
        </w:rPr>
        <w:t xml:space="preserve"> du MGS</w:t>
      </w:r>
      <w:r w:rsidRPr="00D2351B">
        <w:rPr>
          <w:color w:val="000000"/>
          <w:lang w:val="fr-FR"/>
        </w:rPr>
        <w:t>, permettant ainsi aux déposants de demandes d</w:t>
      </w:r>
      <w:r w:rsidR="00E178BF" w:rsidRPr="00D2351B">
        <w:rPr>
          <w:color w:val="000000"/>
          <w:lang w:val="fr-FR"/>
        </w:rPr>
        <w:t>’</w:t>
      </w:r>
      <w:r w:rsidRPr="00D2351B">
        <w:rPr>
          <w:color w:val="000000"/>
          <w:lang w:val="fr-FR"/>
        </w:rPr>
        <w:t>enregistrement de marques de disposer d</w:t>
      </w:r>
      <w:r w:rsidR="00E178BF" w:rsidRPr="00D2351B">
        <w:rPr>
          <w:color w:val="000000"/>
          <w:lang w:val="fr-FR"/>
        </w:rPr>
        <w:t>’</w:t>
      </w:r>
      <w:r w:rsidRPr="00D2351B">
        <w:rPr>
          <w:color w:val="000000"/>
          <w:lang w:val="fr-FR"/>
        </w:rPr>
        <w:t>orientations améliorées.</w:t>
      </w:r>
    </w:p>
    <w:p w:rsidR="003F5A8C" w:rsidRPr="00D2351B" w:rsidRDefault="000D4BF8" w:rsidP="0072055E">
      <w:pPr>
        <w:pStyle w:val="ONUMFS"/>
        <w:rPr>
          <w:lang w:val="fr-FR"/>
        </w:rPr>
      </w:pPr>
      <w:r w:rsidRPr="00D2351B">
        <w:rPr>
          <w:color w:val="000000"/>
          <w:lang w:val="fr-FR"/>
        </w:rPr>
        <w:t>Il est rappelé que les notes explicatives relatives aux différentes classes contiennent des informations très utiles pour s</w:t>
      </w:r>
      <w:r w:rsidR="00E178BF" w:rsidRPr="00D2351B">
        <w:rPr>
          <w:color w:val="000000"/>
          <w:lang w:val="fr-FR"/>
        </w:rPr>
        <w:t>’</w:t>
      </w:r>
      <w:r w:rsidRPr="00D2351B">
        <w:rPr>
          <w:color w:val="000000"/>
          <w:lang w:val="fr-FR"/>
        </w:rPr>
        <w:t>assurer du classement correct d</w:t>
      </w:r>
      <w:r w:rsidR="00E178BF" w:rsidRPr="00D2351B">
        <w:rPr>
          <w:color w:val="000000"/>
          <w:lang w:val="fr-FR"/>
        </w:rPr>
        <w:t>’</w:t>
      </w:r>
      <w:r w:rsidRPr="00D2351B">
        <w:rPr>
          <w:color w:val="000000"/>
          <w:lang w:val="fr-FR"/>
        </w:rPr>
        <w:t>un produit ou d</w:t>
      </w:r>
      <w:r w:rsidR="00E178BF" w:rsidRPr="00D2351B">
        <w:rPr>
          <w:color w:val="000000"/>
          <w:lang w:val="fr-FR"/>
        </w:rPr>
        <w:t>’</w:t>
      </w:r>
      <w:r w:rsidRPr="00D2351B">
        <w:rPr>
          <w:color w:val="000000"/>
          <w:lang w:val="fr-FR"/>
        </w:rPr>
        <w:t>un service qui ne figure pas dans la liste alphabétique des produits et des servic</w:t>
      </w:r>
      <w:r w:rsidR="00A926F9">
        <w:rPr>
          <w:color w:val="000000"/>
          <w:lang w:val="fr-FR"/>
        </w:rPr>
        <w:t>es.  C</w:t>
      </w:r>
      <w:r w:rsidR="00D2351B" w:rsidRPr="00D2351B">
        <w:rPr>
          <w:color w:val="000000"/>
          <w:lang w:val="fr-FR"/>
        </w:rPr>
        <w:t>e</w:t>
      </w:r>
      <w:r w:rsidR="007D2D1E" w:rsidRPr="00D2351B">
        <w:rPr>
          <w:color w:val="000000"/>
          <w:lang w:val="fr-FR"/>
        </w:rPr>
        <w:t>s notes complètent les informations fournies par les indications générales des intitulés des différentes classes de la classification de Nice.</w:t>
      </w:r>
    </w:p>
    <w:p w:rsidR="003F5A8C" w:rsidRPr="00D2351B" w:rsidRDefault="00192AE3" w:rsidP="00A44F2E">
      <w:pPr>
        <w:pStyle w:val="Heading3"/>
        <w:spacing w:before="0"/>
      </w:pPr>
      <w:r w:rsidRPr="00D2351B">
        <w:t>Affichage des codes de groupes similaires et recherche par codes de groupes similaires</w:t>
      </w:r>
    </w:p>
    <w:p w:rsidR="003F5A8C" w:rsidRPr="00D2351B" w:rsidRDefault="003F5A8C" w:rsidP="0072055E">
      <w:pPr>
        <w:rPr>
          <w:lang w:val="fr-FR"/>
        </w:rPr>
      </w:pPr>
    </w:p>
    <w:p w:rsidR="00E178BF" w:rsidRPr="00D2351B" w:rsidRDefault="0019549F" w:rsidP="0072055E">
      <w:pPr>
        <w:pStyle w:val="ONUMFS"/>
        <w:rPr>
          <w:lang w:val="fr-FR"/>
        </w:rPr>
      </w:pPr>
      <w:r w:rsidRPr="00D2351B">
        <w:rPr>
          <w:lang w:val="fr-FR"/>
        </w:rPr>
        <w:t>Des systèmes taxonomiques ont été conçus par les offices de certains pays</w:t>
      </w:r>
      <w:r w:rsidR="00FF5AB7" w:rsidRPr="00D2351B">
        <w:rPr>
          <w:lang w:val="fr-FR"/>
        </w:rPr>
        <w:t>,</w:t>
      </w:r>
      <w:r w:rsidRPr="00D2351B">
        <w:rPr>
          <w:lang w:val="fr-FR"/>
        </w:rPr>
        <w:t xml:space="preserve"> dans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 xml:space="preserve">optique de grouper les indications de produits et services considérés comme </w:t>
      </w:r>
      <w:r w:rsidR="006F2DDB" w:rsidRPr="00D2351B">
        <w:rPr>
          <w:lang w:val="fr-FR"/>
        </w:rPr>
        <w:t>“</w:t>
      </w:r>
      <w:r w:rsidRPr="00D2351B">
        <w:rPr>
          <w:lang w:val="fr-FR"/>
        </w:rPr>
        <w:t>similaires</w:t>
      </w:r>
      <w:r w:rsidR="00D2351B" w:rsidRPr="00D2351B">
        <w:rPr>
          <w:lang w:val="fr-FR"/>
        </w:rPr>
        <w:t>”.</w:t>
      </w:r>
      <w:r w:rsidR="002070AB" w:rsidRPr="00D2351B">
        <w:rPr>
          <w:lang w:val="fr-FR"/>
        </w:rPr>
        <w:t xml:space="preserve"> </w:t>
      </w:r>
      <w:r w:rsidR="006956D1" w:rsidRPr="00D2351B">
        <w:rPr>
          <w:lang w:val="fr-FR"/>
        </w:rPr>
        <w:t xml:space="preserve"> </w:t>
      </w:r>
      <w:r w:rsidRPr="00D2351B">
        <w:rPr>
          <w:lang w:val="fr-FR"/>
        </w:rPr>
        <w:t>Un code propre à chaque système taxonomique national est attribué aux groupes ainsi form</w:t>
      </w:r>
      <w:r w:rsidR="00D2351B" w:rsidRPr="00D2351B">
        <w:rPr>
          <w:lang w:val="fr-FR"/>
        </w:rPr>
        <w:t>és.  Lo</w:t>
      </w:r>
      <w:r w:rsidR="00702A6E" w:rsidRPr="00D2351B">
        <w:rPr>
          <w:lang w:val="fr-FR"/>
        </w:rPr>
        <w:t>rsqu</w:t>
      </w:r>
      <w:r w:rsidR="00E178BF" w:rsidRPr="00D2351B">
        <w:rPr>
          <w:lang w:val="fr-FR"/>
        </w:rPr>
        <w:t>’</w:t>
      </w:r>
      <w:r w:rsidR="00702A6E" w:rsidRPr="00D2351B">
        <w:rPr>
          <w:lang w:val="fr-FR"/>
        </w:rPr>
        <w:t>ils procèdent à un examen sur la base de motifs relatifs, les examinateurs de demandes d</w:t>
      </w:r>
      <w:r w:rsidR="00E178BF" w:rsidRPr="00D2351B">
        <w:rPr>
          <w:lang w:val="fr-FR"/>
        </w:rPr>
        <w:t>’</w:t>
      </w:r>
      <w:r w:rsidR="00702A6E" w:rsidRPr="00D2351B">
        <w:rPr>
          <w:lang w:val="fr-FR"/>
        </w:rPr>
        <w:t xml:space="preserve">enregistrement de marques peuvent se </w:t>
      </w:r>
      <w:r w:rsidR="001535D7" w:rsidRPr="00D2351B">
        <w:rPr>
          <w:lang w:val="fr-FR"/>
        </w:rPr>
        <w:t>reporter à ces codes</w:t>
      </w:r>
      <w:r w:rsidR="00702A6E" w:rsidRPr="00D2351B">
        <w:rPr>
          <w:lang w:val="fr-FR"/>
        </w:rPr>
        <w:t xml:space="preserve"> appelés </w:t>
      </w:r>
      <w:r w:rsidR="006F2DDB" w:rsidRPr="00D2351B">
        <w:rPr>
          <w:lang w:val="fr-FR"/>
        </w:rPr>
        <w:t>“</w:t>
      </w:r>
      <w:r w:rsidR="00702A6E" w:rsidRPr="00D2351B">
        <w:rPr>
          <w:lang w:val="fr-FR"/>
        </w:rPr>
        <w:t>codes de groupes similaires</w:t>
      </w:r>
      <w:r w:rsidR="00D2351B" w:rsidRPr="00D2351B">
        <w:rPr>
          <w:lang w:val="fr-FR"/>
        </w:rPr>
        <w:t>”</w:t>
      </w:r>
      <w:r w:rsidR="00702A6E" w:rsidRPr="00D2351B">
        <w:rPr>
          <w:lang w:val="fr-FR"/>
        </w:rPr>
        <w:t xml:space="preserve"> pour effectuer des rech</w:t>
      </w:r>
      <w:r w:rsidR="001535D7" w:rsidRPr="00D2351B">
        <w:rPr>
          <w:lang w:val="fr-FR"/>
        </w:rPr>
        <w:t>erches par similitude dans leur registre</w:t>
      </w:r>
      <w:r w:rsidR="00702A6E" w:rsidRPr="00D2351B">
        <w:rPr>
          <w:lang w:val="fr-FR"/>
        </w:rPr>
        <w:t xml:space="preserve"> </w:t>
      </w:r>
      <w:r w:rsidR="001535D7" w:rsidRPr="00D2351B">
        <w:rPr>
          <w:lang w:val="fr-FR"/>
        </w:rPr>
        <w:t>national</w:t>
      </w:r>
      <w:r w:rsidR="00FF5AB7" w:rsidRPr="00D2351B">
        <w:rPr>
          <w:lang w:val="fr-FR"/>
        </w:rPr>
        <w:t xml:space="preserve"> des marques</w:t>
      </w:r>
      <w:r w:rsidR="00702A6E" w:rsidRPr="00D2351B">
        <w:rPr>
          <w:lang w:val="fr-FR"/>
        </w:rPr>
        <w:t>.</w:t>
      </w:r>
    </w:p>
    <w:p w:rsidR="00E178BF" w:rsidRPr="00D2351B" w:rsidRDefault="00702A6E" w:rsidP="0072055E">
      <w:pPr>
        <w:pStyle w:val="ONUMFS"/>
        <w:rPr>
          <w:lang w:val="fr-FR"/>
        </w:rPr>
      </w:pPr>
      <w:r w:rsidRPr="00D2351B">
        <w:rPr>
          <w:lang w:val="fr-FR"/>
        </w:rPr>
        <w:lastRenderedPageBreak/>
        <w:t xml:space="preserve">Les utilisateurs pourront désormais consulter les codes de groupes similaires nationaux dans la nouvelle version du MGS, ce qui </w:t>
      </w:r>
      <w:r w:rsidR="00112B35">
        <w:rPr>
          <w:szCs w:val="22"/>
          <w:lang w:val="fr-FR"/>
        </w:rPr>
        <w:t>pourra faciliter</w:t>
      </w:r>
      <w:r w:rsidR="00FF5AB7" w:rsidRPr="00D2351B">
        <w:rPr>
          <w:szCs w:val="22"/>
          <w:lang w:val="fr-FR"/>
        </w:rPr>
        <w:t xml:space="preserve">, </w:t>
      </w:r>
      <w:r w:rsidRPr="00D2351B">
        <w:rPr>
          <w:lang w:val="fr-FR"/>
        </w:rPr>
        <w:t>par exemple</w:t>
      </w:r>
      <w:r w:rsidR="00FF5AB7" w:rsidRPr="00D2351B">
        <w:rPr>
          <w:lang w:val="fr-FR"/>
        </w:rPr>
        <w:t>,</w:t>
      </w:r>
      <w:r w:rsidRPr="00D2351B">
        <w:rPr>
          <w:lang w:val="fr-FR"/>
        </w:rPr>
        <w:t xml:space="preserve"> la recherche </w:t>
      </w:r>
      <w:r w:rsidR="00A42224" w:rsidRPr="00D2351B">
        <w:rPr>
          <w:lang w:val="fr-FR"/>
        </w:rPr>
        <w:t>de marques antérieures par similitude</w:t>
      </w:r>
      <w:r w:rsidRPr="00D2351B">
        <w:rPr>
          <w:lang w:val="fr-FR"/>
        </w:rPr>
        <w:t xml:space="preserve"> avant le dépôt d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une demande.</w:t>
      </w:r>
    </w:p>
    <w:p w:rsidR="003F5A8C" w:rsidRPr="00D2351B" w:rsidRDefault="001535D7" w:rsidP="0072055E">
      <w:pPr>
        <w:pStyle w:val="ONUMFS"/>
        <w:rPr>
          <w:lang w:val="fr-FR"/>
        </w:rPr>
      </w:pPr>
      <w:r w:rsidRPr="00D2351B">
        <w:rPr>
          <w:lang w:val="fr-FR"/>
        </w:rPr>
        <w:t>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Office des brevets du Japon (JPO) et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Office coréen de la propriété intellectuelle (KIPO) ont transmis à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OMPI leurs codes de groupes similaires pour les indications jugées acceptables par chacun d</w:t>
      </w:r>
      <w:r w:rsidR="00E178BF" w:rsidRPr="00D2351B">
        <w:rPr>
          <w:lang w:val="fr-FR"/>
        </w:rPr>
        <w:t>’</w:t>
      </w:r>
      <w:r w:rsidR="00FF5AB7" w:rsidRPr="00D2351B">
        <w:rPr>
          <w:lang w:val="fr-FR"/>
        </w:rPr>
        <w:t>entre eux</w:t>
      </w:r>
      <w:r w:rsidRPr="00D2351B">
        <w:rPr>
          <w:lang w:val="fr-FR"/>
        </w:rPr>
        <w:t xml:space="preserve">, notamment pour les indications </w:t>
      </w:r>
      <w:r w:rsidR="004F7E47" w:rsidRPr="00D2351B">
        <w:rPr>
          <w:lang w:val="fr-FR"/>
        </w:rPr>
        <w:t>figurant</w:t>
      </w:r>
      <w:r w:rsidRPr="00D2351B">
        <w:rPr>
          <w:lang w:val="fr-FR"/>
        </w:rPr>
        <w:t xml:space="preserve"> dans la liste alphabétique de la classification de Nice, ainsi que pour les indications générales extraites des intitulés des différentes classes de la classification de Nice.</w:t>
      </w:r>
    </w:p>
    <w:p w:rsidR="003F5A8C" w:rsidRPr="00D2351B" w:rsidRDefault="004466CA" w:rsidP="0072055E">
      <w:pPr>
        <w:pStyle w:val="ONUMFS"/>
        <w:rPr>
          <w:lang w:val="fr-FR"/>
        </w:rPr>
      </w:pPr>
      <w:r w:rsidRPr="00D2351B">
        <w:rPr>
          <w:lang w:val="fr-FR"/>
        </w:rPr>
        <w:t>Les utilisateurs peuvent désormais choisir d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afficher le code de groupe similaire utilisé par</w:t>
      </w:r>
      <w:r w:rsidR="00E178BF" w:rsidRPr="00D2351B">
        <w:rPr>
          <w:lang w:val="fr-FR"/>
        </w:rPr>
        <w:t xml:space="preserve"> le JPO</w:t>
      </w:r>
      <w:r w:rsidRPr="00D2351B">
        <w:rPr>
          <w:lang w:val="fr-FR"/>
        </w:rPr>
        <w:t xml:space="preserve"> ou</w:t>
      </w:r>
      <w:r w:rsidR="00E178BF" w:rsidRPr="00D2351B">
        <w:rPr>
          <w:lang w:val="fr-FR"/>
        </w:rPr>
        <w:t xml:space="preserve"> le KIP</w:t>
      </w:r>
      <w:r w:rsidRPr="00D2351B">
        <w:rPr>
          <w:lang w:val="fr-FR"/>
        </w:rPr>
        <w:t>O à côté des indications de produits et services qu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ils ont sélectionné</w:t>
      </w:r>
      <w:r w:rsidR="00FF5AB7" w:rsidRPr="00D2351B">
        <w:rPr>
          <w:lang w:val="fr-FR"/>
        </w:rPr>
        <w:t>e</w:t>
      </w:r>
      <w:r w:rsidRPr="00D2351B">
        <w:rPr>
          <w:lang w:val="fr-FR"/>
        </w:rPr>
        <w:t>s dans</w:t>
      </w:r>
      <w:r w:rsidR="00E178BF" w:rsidRPr="00D2351B">
        <w:rPr>
          <w:lang w:val="fr-FR"/>
        </w:rPr>
        <w:t xml:space="preserve"> le </w:t>
      </w:r>
      <w:r w:rsidR="00D2351B" w:rsidRPr="00D2351B">
        <w:rPr>
          <w:lang w:val="fr-FR"/>
        </w:rPr>
        <w:t>MGS.  Le</w:t>
      </w:r>
      <w:r w:rsidR="004F7E47" w:rsidRPr="00D2351B">
        <w:rPr>
          <w:lang w:val="fr-FR"/>
        </w:rPr>
        <w:t xml:space="preserve"> code de groupe similaire correspondant utilisé par chaque office s</w:t>
      </w:r>
      <w:r w:rsidR="00E178BF" w:rsidRPr="00D2351B">
        <w:rPr>
          <w:lang w:val="fr-FR"/>
        </w:rPr>
        <w:t>’</w:t>
      </w:r>
      <w:r w:rsidR="004F7E47" w:rsidRPr="00D2351B">
        <w:rPr>
          <w:lang w:val="fr-FR"/>
        </w:rPr>
        <w:t>affichera s</w:t>
      </w:r>
      <w:r w:rsidR="00E178BF" w:rsidRPr="00D2351B">
        <w:rPr>
          <w:lang w:val="fr-FR"/>
        </w:rPr>
        <w:t>’</w:t>
      </w:r>
      <w:r w:rsidR="00FF5AB7" w:rsidRPr="00D2351B">
        <w:rPr>
          <w:lang w:val="fr-FR"/>
        </w:rPr>
        <w:t>il a été communiqué pour les indications sélectionnées</w:t>
      </w:r>
      <w:r w:rsidRPr="00D2351B">
        <w:rPr>
          <w:lang w:val="fr-FR"/>
        </w:rPr>
        <w:t>.</w:t>
      </w:r>
    </w:p>
    <w:p w:rsidR="00E178BF" w:rsidRPr="00D2351B" w:rsidRDefault="00F83160" w:rsidP="0072055E">
      <w:pPr>
        <w:pStyle w:val="ONUMFS"/>
        <w:rPr>
          <w:lang w:val="fr-FR"/>
        </w:rPr>
      </w:pPr>
      <w:r w:rsidRPr="00D2351B">
        <w:rPr>
          <w:lang w:val="fr-FR"/>
        </w:rPr>
        <w:t xml:space="preserve">Les codes de groupes similaires peuvent également être utilisés pour trouver des indications de produits et services en </w:t>
      </w:r>
      <w:r w:rsidR="00FF5AB7" w:rsidRPr="00D2351B">
        <w:rPr>
          <w:lang w:val="fr-FR"/>
        </w:rPr>
        <w:t>entrant</w:t>
      </w:r>
      <w:r w:rsidRPr="00D2351B">
        <w:rPr>
          <w:lang w:val="fr-FR"/>
        </w:rPr>
        <w:t xml:space="preserve"> un code dans le champ de saisie</w:t>
      </w:r>
      <w:r w:rsidR="00E178BF" w:rsidRPr="00D2351B">
        <w:rPr>
          <w:lang w:val="fr-FR"/>
        </w:rPr>
        <w:t xml:space="preserve"> du </w:t>
      </w:r>
      <w:r w:rsidR="00D2351B" w:rsidRPr="00D2351B">
        <w:rPr>
          <w:lang w:val="fr-FR"/>
        </w:rPr>
        <w:t>MGS.  Ce</w:t>
      </w:r>
      <w:r w:rsidR="00184698" w:rsidRPr="00D2351B">
        <w:rPr>
          <w:lang w:val="fr-FR"/>
        </w:rPr>
        <w:t>la permet d</w:t>
      </w:r>
      <w:r w:rsidR="00E178BF" w:rsidRPr="00D2351B">
        <w:rPr>
          <w:lang w:val="fr-FR"/>
        </w:rPr>
        <w:t>’</w:t>
      </w:r>
      <w:r w:rsidR="00184698" w:rsidRPr="00D2351B">
        <w:rPr>
          <w:lang w:val="fr-FR"/>
        </w:rPr>
        <w:t xml:space="preserve">extraire de la base de données MGS les indications de produits et services considérés comme </w:t>
      </w:r>
      <w:r w:rsidR="006F2DDB" w:rsidRPr="00D2351B">
        <w:rPr>
          <w:lang w:val="fr-FR"/>
        </w:rPr>
        <w:t>“</w:t>
      </w:r>
      <w:r w:rsidR="00184698" w:rsidRPr="00D2351B">
        <w:rPr>
          <w:lang w:val="fr-FR"/>
        </w:rPr>
        <w:t>similaires</w:t>
      </w:r>
      <w:r w:rsidR="00D2351B" w:rsidRPr="00D2351B">
        <w:rPr>
          <w:lang w:val="fr-FR"/>
        </w:rPr>
        <w:t>”</w:t>
      </w:r>
      <w:r w:rsidR="00184698" w:rsidRPr="00D2351B">
        <w:rPr>
          <w:lang w:val="fr-FR"/>
        </w:rPr>
        <w:t xml:space="preserve"> par</w:t>
      </w:r>
      <w:r w:rsidR="00E178BF" w:rsidRPr="00D2351B">
        <w:rPr>
          <w:lang w:val="fr-FR"/>
        </w:rPr>
        <w:t xml:space="preserve"> le JPO</w:t>
      </w:r>
      <w:r w:rsidR="00184698" w:rsidRPr="00D2351B">
        <w:rPr>
          <w:lang w:val="fr-FR"/>
        </w:rPr>
        <w:t xml:space="preserve"> ou</w:t>
      </w:r>
      <w:r w:rsidR="00E178BF" w:rsidRPr="00D2351B">
        <w:rPr>
          <w:lang w:val="fr-FR"/>
        </w:rPr>
        <w:t xml:space="preserve"> le K</w:t>
      </w:r>
      <w:r w:rsidR="00D2351B" w:rsidRPr="00D2351B">
        <w:rPr>
          <w:lang w:val="fr-FR"/>
        </w:rPr>
        <w:t>IPO.  Il</w:t>
      </w:r>
      <w:r w:rsidR="00184698" w:rsidRPr="00D2351B">
        <w:rPr>
          <w:lang w:val="fr-FR"/>
        </w:rPr>
        <w:t xml:space="preserve"> est à noter que la </w:t>
      </w:r>
      <w:r w:rsidR="006F2DDB" w:rsidRPr="00D2351B">
        <w:rPr>
          <w:lang w:val="fr-FR"/>
        </w:rPr>
        <w:t>“</w:t>
      </w:r>
      <w:r w:rsidR="00184698" w:rsidRPr="00D2351B">
        <w:rPr>
          <w:lang w:val="fr-FR"/>
        </w:rPr>
        <w:t>similitude</w:t>
      </w:r>
      <w:r w:rsidR="00D2351B" w:rsidRPr="00D2351B">
        <w:rPr>
          <w:lang w:val="fr-FR"/>
        </w:rPr>
        <w:t>”</w:t>
      </w:r>
      <w:r w:rsidR="00184698" w:rsidRPr="00D2351B">
        <w:rPr>
          <w:lang w:val="fr-FR"/>
        </w:rPr>
        <w:t xml:space="preserve"> exprimée peut </w:t>
      </w:r>
      <w:r w:rsidR="00FF5AB7" w:rsidRPr="00D2351B">
        <w:rPr>
          <w:lang w:val="fr-FR"/>
        </w:rPr>
        <w:t>relier</w:t>
      </w:r>
      <w:r w:rsidR="00A926F9">
        <w:rPr>
          <w:lang w:val="fr-FR"/>
        </w:rPr>
        <w:t xml:space="preserve"> horizontalement d</w:t>
      </w:r>
      <w:r w:rsidR="00184698" w:rsidRPr="00D2351B">
        <w:rPr>
          <w:lang w:val="fr-FR"/>
        </w:rPr>
        <w:t>es produits et services relevant de classes distinctes sous un code de groupe similai</w:t>
      </w:r>
      <w:r w:rsidR="00D2351B" w:rsidRPr="00D2351B">
        <w:rPr>
          <w:lang w:val="fr-FR"/>
        </w:rPr>
        <w:t>re.  Le</w:t>
      </w:r>
      <w:r w:rsidR="004F7E47" w:rsidRPr="00D2351B">
        <w:rPr>
          <w:lang w:val="fr-FR"/>
        </w:rPr>
        <w:t xml:space="preserve">s </w:t>
      </w:r>
      <w:r w:rsidR="00184698" w:rsidRPr="00D2351B">
        <w:rPr>
          <w:lang w:val="fr-FR"/>
        </w:rPr>
        <w:t xml:space="preserve">utilisateurs peuvent </w:t>
      </w:r>
      <w:r w:rsidR="004F7E47" w:rsidRPr="00D2351B">
        <w:rPr>
          <w:lang w:val="fr-FR"/>
        </w:rPr>
        <w:t xml:space="preserve">cependant </w:t>
      </w:r>
      <w:r w:rsidR="00184698" w:rsidRPr="00D2351B">
        <w:rPr>
          <w:lang w:val="fr-FR"/>
        </w:rPr>
        <w:t>limiter les résultats de la recherche à une classe donnée, qu</w:t>
      </w:r>
      <w:r w:rsidR="004F7E47" w:rsidRPr="00D2351B">
        <w:rPr>
          <w:lang w:val="fr-FR"/>
        </w:rPr>
        <w:t>e</w:t>
      </w:r>
      <w:r w:rsidR="00A926F9">
        <w:rPr>
          <w:lang w:val="fr-FR"/>
        </w:rPr>
        <w:t xml:space="preserve"> la</w:t>
      </w:r>
      <w:r w:rsidR="004F7E47" w:rsidRPr="00D2351B">
        <w:rPr>
          <w:lang w:val="fr-FR"/>
        </w:rPr>
        <w:t xml:space="preserve"> recherche </w:t>
      </w:r>
      <w:r w:rsidR="00A926F9">
        <w:rPr>
          <w:lang w:val="fr-FR"/>
        </w:rPr>
        <w:t xml:space="preserve">soit </w:t>
      </w:r>
      <w:r w:rsidR="004F7E47" w:rsidRPr="00D2351B">
        <w:rPr>
          <w:lang w:val="fr-FR"/>
        </w:rPr>
        <w:t xml:space="preserve">fondée sur des mots </w:t>
      </w:r>
      <w:r w:rsidR="00184698" w:rsidRPr="00D2351B">
        <w:rPr>
          <w:lang w:val="fr-FR"/>
        </w:rPr>
        <w:t>clés ou sur des codes de groupes similaires.</w:t>
      </w:r>
    </w:p>
    <w:p w:rsidR="003F5A8C" w:rsidRPr="00D2351B" w:rsidRDefault="00AD16F0" w:rsidP="00A44F2E">
      <w:pPr>
        <w:pStyle w:val="Heading3"/>
        <w:spacing w:before="0"/>
      </w:pPr>
      <w:r w:rsidRPr="00D2351B">
        <w:t>Recherche par numéro de base des indications dans la liste alpha</w:t>
      </w:r>
      <w:r w:rsidR="0072055E">
        <w:t>bétique de la classification de </w:t>
      </w:r>
      <w:r w:rsidRPr="00D2351B">
        <w:t>Nice</w:t>
      </w:r>
    </w:p>
    <w:p w:rsidR="003F5A8C" w:rsidRPr="00D2351B" w:rsidRDefault="003F5A8C" w:rsidP="0072055E">
      <w:pPr>
        <w:rPr>
          <w:lang w:val="fr-FR"/>
        </w:rPr>
      </w:pPr>
    </w:p>
    <w:p w:rsidR="00E178BF" w:rsidRPr="00D2351B" w:rsidRDefault="00FF5AB7" w:rsidP="0072055E">
      <w:pPr>
        <w:pStyle w:val="ONUMFS"/>
        <w:rPr>
          <w:lang w:val="fr-FR"/>
        </w:rPr>
      </w:pPr>
      <w:r w:rsidRPr="00D2351B">
        <w:rPr>
          <w:lang w:val="fr-FR"/>
        </w:rPr>
        <w:t>Afin</w:t>
      </w:r>
      <w:r w:rsidR="007A3277" w:rsidRPr="00D2351B">
        <w:rPr>
          <w:lang w:val="fr-FR"/>
        </w:rPr>
        <w:t xml:space="preserve"> d</w:t>
      </w:r>
      <w:r w:rsidR="00E178BF" w:rsidRPr="00D2351B">
        <w:rPr>
          <w:lang w:val="fr-FR"/>
        </w:rPr>
        <w:t>’</w:t>
      </w:r>
      <w:r w:rsidR="007A3277" w:rsidRPr="00D2351B">
        <w:rPr>
          <w:lang w:val="fr-FR"/>
        </w:rPr>
        <w:t>aider les utilisateurs à mieux gérer leurs listes de produits et services,</w:t>
      </w:r>
      <w:r w:rsidR="00E178BF" w:rsidRPr="00D2351B">
        <w:rPr>
          <w:lang w:val="fr-FR"/>
        </w:rPr>
        <w:t xml:space="preserve"> le MGS</w:t>
      </w:r>
      <w:r w:rsidR="007A3277" w:rsidRPr="00D2351B">
        <w:rPr>
          <w:lang w:val="fr-FR"/>
        </w:rPr>
        <w:t xml:space="preserve"> affiche le </w:t>
      </w:r>
      <w:r w:rsidR="006F2DDB" w:rsidRPr="00D2351B">
        <w:rPr>
          <w:lang w:val="fr-FR"/>
        </w:rPr>
        <w:t>“</w:t>
      </w:r>
      <w:r w:rsidR="007A3277" w:rsidRPr="00D2351B">
        <w:rPr>
          <w:lang w:val="fr-FR"/>
        </w:rPr>
        <w:t>numéro de base</w:t>
      </w:r>
      <w:r w:rsidR="00D2351B" w:rsidRPr="00D2351B">
        <w:rPr>
          <w:lang w:val="fr-FR"/>
        </w:rPr>
        <w:t>”</w:t>
      </w:r>
      <w:r w:rsidR="007A3277" w:rsidRPr="00D2351B">
        <w:rPr>
          <w:lang w:val="fr-FR"/>
        </w:rPr>
        <w:t xml:space="preserve"> associé aux indications de la liste alphabétique de la classification de Nice.</w:t>
      </w:r>
    </w:p>
    <w:p w:rsidR="00E178BF" w:rsidRPr="00D2351B" w:rsidRDefault="007A3277" w:rsidP="0072055E">
      <w:pPr>
        <w:pStyle w:val="ONUMFS"/>
        <w:rPr>
          <w:lang w:val="fr-FR"/>
        </w:rPr>
      </w:pPr>
      <w:r w:rsidRPr="00D2351B">
        <w:rPr>
          <w:lang w:val="fr-FR"/>
        </w:rPr>
        <w:t>Dans sa nouvelle version,</w:t>
      </w:r>
      <w:r w:rsidR="00E178BF" w:rsidRPr="00D2351B">
        <w:rPr>
          <w:lang w:val="fr-FR"/>
        </w:rPr>
        <w:t xml:space="preserve"> le MGS</w:t>
      </w:r>
      <w:r w:rsidRPr="00D2351B">
        <w:rPr>
          <w:lang w:val="fr-FR"/>
        </w:rPr>
        <w:t xml:space="preserve"> permet également de rechercher des indications de la classification de Nice grâce à leur numéro de ba</w:t>
      </w:r>
      <w:r w:rsidR="00D2351B" w:rsidRPr="00D2351B">
        <w:rPr>
          <w:lang w:val="fr-FR"/>
        </w:rPr>
        <w:t xml:space="preserve">se.  </w:t>
      </w:r>
      <w:r w:rsidR="00A926F9">
        <w:rPr>
          <w:lang w:val="fr-FR"/>
        </w:rPr>
        <w:t>E</w:t>
      </w:r>
      <w:r w:rsidR="00FF5AB7" w:rsidRPr="00D2351B">
        <w:rPr>
          <w:lang w:val="fr-FR"/>
        </w:rPr>
        <w:t>ntre</w:t>
      </w:r>
      <w:r w:rsidR="00A926F9">
        <w:rPr>
          <w:lang w:val="fr-FR"/>
        </w:rPr>
        <w:t>r</w:t>
      </w:r>
      <w:r w:rsidR="00FF5AB7" w:rsidRPr="00D2351B">
        <w:rPr>
          <w:lang w:val="fr-FR"/>
        </w:rPr>
        <w:t xml:space="preserve"> </w:t>
      </w:r>
      <w:r w:rsidRPr="00D2351B">
        <w:rPr>
          <w:lang w:val="fr-FR"/>
        </w:rPr>
        <w:t>un numéro de base de la classification de Nice dans le champ de saisie permettra d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 xml:space="preserve">obtenir une liste de résultats contenant toutes les indications synonymes </w:t>
      </w:r>
      <w:r w:rsidR="00A926F9">
        <w:rPr>
          <w:lang w:val="fr-FR"/>
        </w:rPr>
        <w:t>enregistr</w:t>
      </w:r>
      <w:r w:rsidRPr="00D2351B">
        <w:rPr>
          <w:lang w:val="fr-FR"/>
        </w:rPr>
        <w:t>ées sous le numéro de base en question.</w:t>
      </w:r>
    </w:p>
    <w:p w:rsidR="00E178BF" w:rsidRPr="00D2351B" w:rsidRDefault="007A3277" w:rsidP="0072055E">
      <w:pPr>
        <w:pStyle w:val="ONUMFS"/>
        <w:rPr>
          <w:lang w:val="fr-FR"/>
        </w:rPr>
      </w:pPr>
      <w:r w:rsidRPr="00D2351B">
        <w:rPr>
          <w:lang w:val="fr-FR"/>
        </w:rPr>
        <w:t>Par exemple, les résultats ci</w:t>
      </w:r>
      <w:r w:rsidR="00D2351B" w:rsidRPr="00D2351B">
        <w:rPr>
          <w:lang w:val="fr-FR"/>
        </w:rPr>
        <w:noBreakHyphen/>
      </w:r>
      <w:r w:rsidRPr="00D2351B">
        <w:rPr>
          <w:lang w:val="fr-FR"/>
        </w:rPr>
        <w:t>après s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afficheront si le numéro de base</w:t>
      </w:r>
      <w:r w:rsidR="00450E50">
        <w:rPr>
          <w:lang w:val="fr-FR"/>
        </w:rPr>
        <w:t> </w:t>
      </w:r>
      <w:r w:rsidRPr="00D2351B">
        <w:rPr>
          <w:lang w:val="fr-FR"/>
        </w:rPr>
        <w:t>“300059” est entré dans le champ de saisie</w:t>
      </w:r>
      <w:r w:rsidR="00112B35">
        <w:rPr>
          <w:lang w:val="fr-FR"/>
        </w:rPr>
        <w:t xml:space="preserve"> de l'interface en anglais</w:t>
      </w:r>
      <w:r w:rsidR="006F2DDB" w:rsidRPr="00D2351B">
        <w:rPr>
          <w:lang w:val="fr-FR"/>
        </w:rPr>
        <w:t> </w:t>
      </w:r>
      <w:r w:rsidRPr="00D2351B">
        <w:rPr>
          <w:lang w:val="fr-FR"/>
        </w:rPr>
        <w:t>:</w:t>
      </w:r>
    </w:p>
    <w:p w:rsidR="00A44F2E" w:rsidRPr="00A44F2E" w:rsidRDefault="00A44F2E" w:rsidP="00A44F2E">
      <w:pPr>
        <w:numPr>
          <w:ilvl w:val="0"/>
          <w:numId w:val="7"/>
        </w:numPr>
        <w:ind w:left="1134" w:hanging="567"/>
        <w:rPr>
          <w:i/>
        </w:rPr>
      </w:pPr>
      <w:r w:rsidRPr="00A44F2E">
        <w:rPr>
          <w:i/>
        </w:rPr>
        <w:t>corn flour</w:t>
      </w:r>
    </w:p>
    <w:p w:rsidR="00A44F2E" w:rsidRPr="00A44F2E" w:rsidRDefault="00A44F2E" w:rsidP="00A44F2E">
      <w:pPr>
        <w:numPr>
          <w:ilvl w:val="0"/>
          <w:numId w:val="7"/>
        </w:numPr>
        <w:ind w:left="1134" w:hanging="567"/>
        <w:rPr>
          <w:i/>
        </w:rPr>
      </w:pPr>
      <w:r w:rsidRPr="00A44F2E">
        <w:rPr>
          <w:i/>
        </w:rPr>
        <w:t>corn meal</w:t>
      </w:r>
    </w:p>
    <w:p w:rsidR="00A44F2E" w:rsidRPr="00A44F2E" w:rsidRDefault="00A44F2E" w:rsidP="00A44F2E">
      <w:pPr>
        <w:numPr>
          <w:ilvl w:val="0"/>
          <w:numId w:val="7"/>
        </w:numPr>
        <w:ind w:left="1134" w:hanging="567"/>
        <w:rPr>
          <w:i/>
        </w:rPr>
      </w:pPr>
      <w:r w:rsidRPr="00A44F2E">
        <w:rPr>
          <w:i/>
        </w:rPr>
        <w:t xml:space="preserve">maize flour </w:t>
      </w:r>
    </w:p>
    <w:p w:rsidR="00A44F2E" w:rsidRPr="00A44F2E" w:rsidRDefault="00A44F2E" w:rsidP="00A44F2E">
      <w:pPr>
        <w:numPr>
          <w:ilvl w:val="0"/>
          <w:numId w:val="7"/>
        </w:numPr>
        <w:ind w:left="1134" w:hanging="567"/>
        <w:rPr>
          <w:i/>
        </w:rPr>
      </w:pPr>
      <w:r w:rsidRPr="00A44F2E">
        <w:rPr>
          <w:i/>
        </w:rPr>
        <w:t>maize meal</w:t>
      </w:r>
    </w:p>
    <w:p w:rsidR="00450E50" w:rsidRPr="00D2351B" w:rsidRDefault="00450E50" w:rsidP="0072055E">
      <w:pPr>
        <w:rPr>
          <w:lang w:val="fr-FR"/>
        </w:rPr>
      </w:pPr>
    </w:p>
    <w:p w:rsidR="00E178BF" w:rsidRPr="00D2351B" w:rsidRDefault="00FF5AB7" w:rsidP="00A44F2E">
      <w:pPr>
        <w:pStyle w:val="Heading3"/>
        <w:spacing w:before="0"/>
      </w:pPr>
      <w:r w:rsidRPr="00D2351B">
        <w:t>Actualisation</w:t>
      </w:r>
      <w:r w:rsidR="00367320" w:rsidRPr="00D2351B">
        <w:t xml:space="preserve"> des modules AIDE et </w:t>
      </w:r>
      <w:r w:rsidR="002070AB" w:rsidRPr="00D2351B">
        <w:t>FAQ</w:t>
      </w:r>
    </w:p>
    <w:p w:rsidR="003F5A8C" w:rsidRPr="00D2351B" w:rsidRDefault="003F5A8C" w:rsidP="0072055E">
      <w:pPr>
        <w:rPr>
          <w:lang w:val="fr-FR"/>
        </w:rPr>
      </w:pPr>
    </w:p>
    <w:p w:rsidR="00E178BF" w:rsidRPr="00D2351B" w:rsidRDefault="003F5A8C" w:rsidP="0072055E">
      <w:pPr>
        <w:pStyle w:val="ONUMFS"/>
        <w:rPr>
          <w:lang w:val="fr-FR"/>
        </w:rPr>
      </w:pPr>
      <w:r w:rsidRPr="00D2351B">
        <w:rPr>
          <w:lang w:val="fr-FR"/>
        </w:rPr>
        <w:t>Compte tenu des améliorations et des nouvelles fonction</w:t>
      </w:r>
      <w:r w:rsidR="00112B35">
        <w:rPr>
          <w:lang w:val="fr-FR"/>
        </w:rPr>
        <w:t>nalité</w:t>
      </w:r>
      <w:r w:rsidRPr="00D2351B">
        <w:rPr>
          <w:lang w:val="fr-FR"/>
        </w:rPr>
        <w:t>s apportées à la nouvelle version</w:t>
      </w:r>
      <w:r w:rsidR="00E178BF" w:rsidRPr="00D2351B">
        <w:rPr>
          <w:lang w:val="fr-FR"/>
        </w:rPr>
        <w:t xml:space="preserve"> du MGS</w:t>
      </w:r>
      <w:r w:rsidRPr="00D2351B">
        <w:rPr>
          <w:lang w:val="fr-FR"/>
        </w:rPr>
        <w:t xml:space="preserve">, les modules AIDE et FAQ ont été </w:t>
      </w:r>
      <w:r w:rsidR="00FF5AB7" w:rsidRPr="00D2351B">
        <w:rPr>
          <w:lang w:val="fr-FR"/>
        </w:rPr>
        <w:t>actualisés</w:t>
      </w:r>
      <w:r w:rsidRPr="00D2351B">
        <w:rPr>
          <w:lang w:val="fr-FR"/>
        </w:rPr>
        <w:t xml:space="preserve"> dans toutes les langues </w:t>
      </w:r>
      <w:r w:rsidR="00A926F9">
        <w:rPr>
          <w:lang w:val="fr-FR"/>
        </w:rPr>
        <w:t>disponible</w:t>
      </w:r>
      <w:r w:rsidRPr="00D2351B">
        <w:rPr>
          <w:lang w:val="fr-FR"/>
        </w:rPr>
        <w:t>s</w:t>
      </w:r>
      <w:r w:rsidR="00E178BF" w:rsidRPr="00D2351B">
        <w:rPr>
          <w:lang w:val="fr-FR"/>
        </w:rPr>
        <w:t xml:space="preserve"> d</w:t>
      </w:r>
      <w:r w:rsidR="00A926F9">
        <w:rPr>
          <w:lang w:val="fr-FR"/>
        </w:rPr>
        <w:t>ans le</w:t>
      </w:r>
      <w:r w:rsidR="00E178BF" w:rsidRPr="00D2351B">
        <w:rPr>
          <w:lang w:val="fr-FR"/>
        </w:rPr>
        <w:t> MGS</w:t>
      </w:r>
      <w:r w:rsidR="00FF5AB7" w:rsidRPr="00D2351B">
        <w:rPr>
          <w:lang w:val="fr-FR"/>
        </w:rPr>
        <w:t xml:space="preserve">, </w:t>
      </w:r>
      <w:r w:rsidR="00A926F9">
        <w:rPr>
          <w:lang w:val="fr-FR"/>
        </w:rPr>
        <w:t>avec la</w:t>
      </w:r>
      <w:r w:rsidR="00FF5AB7" w:rsidRPr="00D2351B">
        <w:rPr>
          <w:lang w:val="fr-FR"/>
        </w:rPr>
        <w:t xml:space="preserve"> coopération </w:t>
      </w:r>
      <w:r w:rsidR="00A926F9">
        <w:rPr>
          <w:lang w:val="fr-FR"/>
        </w:rPr>
        <w:t>d</w:t>
      </w:r>
      <w:r w:rsidR="00FF5AB7" w:rsidRPr="00D2351B">
        <w:rPr>
          <w:lang w:val="fr-FR"/>
        </w:rPr>
        <w:t>es offic</w:t>
      </w:r>
      <w:r w:rsidRPr="00D2351B">
        <w:rPr>
          <w:lang w:val="fr-FR"/>
        </w:rPr>
        <w:t xml:space="preserve">es, </w:t>
      </w:r>
      <w:r w:rsidR="00FF5AB7" w:rsidRPr="00D2351B">
        <w:rPr>
          <w:lang w:val="fr-FR"/>
        </w:rPr>
        <w:t>afin d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améliorer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accès à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information connexe pour tous les utilisateurs</w:t>
      </w:r>
      <w:r w:rsidR="00E178BF" w:rsidRPr="00D2351B">
        <w:rPr>
          <w:lang w:val="fr-FR"/>
        </w:rPr>
        <w:t xml:space="preserve"> du MGS</w:t>
      </w:r>
      <w:r w:rsidRPr="00D2351B">
        <w:rPr>
          <w:lang w:val="fr-FR"/>
        </w:rPr>
        <w:t>.</w:t>
      </w:r>
    </w:p>
    <w:p w:rsidR="003F5A8C" w:rsidRPr="00D2351B" w:rsidRDefault="003F5A8C" w:rsidP="00A44F2E">
      <w:pPr>
        <w:pStyle w:val="Heading3"/>
        <w:keepNext w:val="0"/>
        <w:spacing w:before="0"/>
      </w:pPr>
      <w:r w:rsidRPr="00D2351B">
        <w:t xml:space="preserve">Liste étendue des </w:t>
      </w:r>
      <w:r w:rsidR="00A44F2E" w:rsidRPr="00D2351B">
        <w:t>parties contractantes</w:t>
      </w:r>
      <w:r w:rsidR="00E178BF" w:rsidRPr="00D2351B">
        <w:t xml:space="preserve"> au MGS</w:t>
      </w:r>
    </w:p>
    <w:p w:rsidR="003F5A8C" w:rsidRPr="00D2351B" w:rsidRDefault="003F5A8C" w:rsidP="00A44F2E">
      <w:pPr>
        <w:keepLines/>
        <w:rPr>
          <w:lang w:val="fr-FR"/>
        </w:rPr>
      </w:pPr>
    </w:p>
    <w:p w:rsidR="003F5A8C" w:rsidRPr="00D2351B" w:rsidRDefault="00050C2C" w:rsidP="00A44F2E">
      <w:pPr>
        <w:pStyle w:val="ONUMFS"/>
        <w:keepLines/>
        <w:rPr>
          <w:lang w:val="fr-FR"/>
        </w:rPr>
      </w:pPr>
      <w:r w:rsidRPr="00D2351B">
        <w:rPr>
          <w:lang w:val="fr-FR"/>
        </w:rPr>
        <w:t>Le nombre de parties contractantes du système de Madrid dont les offices partagent des informations relatives à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acceptation avec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OMPI aux fins</w:t>
      </w:r>
      <w:r w:rsidR="00E178BF" w:rsidRPr="00D2351B">
        <w:rPr>
          <w:lang w:val="fr-FR"/>
        </w:rPr>
        <w:t xml:space="preserve"> du MGS</w:t>
      </w:r>
      <w:r w:rsidRPr="00D2351B">
        <w:rPr>
          <w:lang w:val="fr-FR"/>
        </w:rPr>
        <w:t xml:space="preserve"> s</w:t>
      </w:r>
      <w:r w:rsidR="00E178BF" w:rsidRPr="00D2351B">
        <w:rPr>
          <w:lang w:val="fr-FR"/>
        </w:rPr>
        <w:t>’</w:t>
      </w:r>
      <w:r w:rsidR="00A926F9">
        <w:rPr>
          <w:lang w:val="fr-FR"/>
        </w:rPr>
        <w:t>est élevé à </w:t>
      </w:r>
      <w:r w:rsidRPr="00D2351B">
        <w:rPr>
          <w:lang w:val="fr-FR"/>
        </w:rPr>
        <w:t>26.</w:t>
      </w:r>
    </w:p>
    <w:p w:rsidR="00E178BF" w:rsidRPr="00D2351B" w:rsidRDefault="00050C2C" w:rsidP="0072055E">
      <w:pPr>
        <w:pStyle w:val="ONUMFS"/>
        <w:rPr>
          <w:lang w:val="fr-FR"/>
        </w:rPr>
      </w:pPr>
      <w:r w:rsidRPr="00D2351B">
        <w:rPr>
          <w:lang w:val="fr-FR"/>
        </w:rPr>
        <w:lastRenderedPageBreak/>
        <w:t>Les informations relatives à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acceptation communiquée</w:t>
      </w:r>
      <w:r w:rsidR="00FF5AB7" w:rsidRPr="00D2351B">
        <w:rPr>
          <w:lang w:val="fr-FR"/>
        </w:rPr>
        <w:t>s</w:t>
      </w:r>
      <w:r w:rsidRPr="00D2351B">
        <w:rPr>
          <w:lang w:val="fr-FR"/>
        </w:rPr>
        <w:t xml:space="preserve"> par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office d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une partie contractante sont utilisées dans la fonction exclusive</w:t>
      </w:r>
      <w:r w:rsidR="00E178BF" w:rsidRPr="00D2351B">
        <w:rPr>
          <w:lang w:val="fr-FR"/>
        </w:rPr>
        <w:t xml:space="preserve"> du MGS</w:t>
      </w:r>
      <w:r w:rsidRPr="00D2351B">
        <w:rPr>
          <w:lang w:val="fr-FR"/>
        </w:rPr>
        <w:t xml:space="preserve"> intitulée </w:t>
      </w:r>
      <w:r w:rsidR="006F2DDB" w:rsidRPr="00D2351B">
        <w:rPr>
          <w:lang w:val="fr-FR"/>
        </w:rPr>
        <w:t>“</w:t>
      </w:r>
      <w:r w:rsidRPr="00D2351B">
        <w:rPr>
          <w:lang w:val="fr-FR"/>
        </w:rPr>
        <w:t>Vérification de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acceptation par la Partie Contractante désignée</w:t>
      </w:r>
      <w:r w:rsidR="00D2351B" w:rsidRPr="00D2351B">
        <w:rPr>
          <w:lang w:val="fr-FR"/>
        </w:rPr>
        <w:t xml:space="preserve">”. </w:t>
      </w:r>
      <w:r w:rsidR="002070AB" w:rsidRPr="00D2351B">
        <w:rPr>
          <w:lang w:val="fr-FR"/>
        </w:rPr>
        <w:t xml:space="preserve"> </w:t>
      </w:r>
      <w:r w:rsidRPr="00D2351B">
        <w:rPr>
          <w:lang w:val="fr-FR"/>
        </w:rPr>
        <w:t>Cette fonction est spécialement conçue pour aider les déposants de demandes d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 xml:space="preserve">enregistrement de marques à éviter </w:t>
      </w:r>
      <w:r w:rsidR="00A926F9" w:rsidRPr="00D2351B">
        <w:rPr>
          <w:lang w:val="fr-FR"/>
        </w:rPr>
        <w:t>des refus provisoires</w:t>
      </w:r>
      <w:r w:rsidR="00A926F9">
        <w:rPr>
          <w:lang w:val="fr-FR"/>
        </w:rPr>
        <w:t xml:space="preserve"> de la part d</w:t>
      </w:r>
      <w:r w:rsidRPr="00D2351B">
        <w:rPr>
          <w:lang w:val="fr-FR"/>
        </w:rPr>
        <w:t>es offices des parties contractantes qu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>ils désignent dans les demandes internationales.</w:t>
      </w:r>
    </w:p>
    <w:p w:rsidR="00E178BF" w:rsidRPr="00D2351B" w:rsidRDefault="00C71E51" w:rsidP="0072055E">
      <w:pPr>
        <w:pStyle w:val="ONUMFS"/>
        <w:rPr>
          <w:lang w:val="fr-FR"/>
        </w:rPr>
      </w:pPr>
      <w:r w:rsidRPr="00D2351B">
        <w:rPr>
          <w:lang w:val="fr-FR"/>
        </w:rPr>
        <w:t xml:space="preserve">La fonction </w:t>
      </w:r>
      <w:r w:rsidR="006F2DDB" w:rsidRPr="00D2351B">
        <w:rPr>
          <w:lang w:val="fr-FR"/>
        </w:rPr>
        <w:t>“</w:t>
      </w:r>
      <w:r w:rsidRPr="00D2351B">
        <w:rPr>
          <w:lang w:val="fr-FR"/>
        </w:rPr>
        <w:t>Vérification de l</w:t>
      </w:r>
      <w:r w:rsidR="00E178BF" w:rsidRPr="00D2351B">
        <w:rPr>
          <w:lang w:val="fr-FR"/>
        </w:rPr>
        <w:t>’</w:t>
      </w:r>
      <w:r w:rsidRPr="00D2351B">
        <w:rPr>
          <w:lang w:val="fr-FR"/>
        </w:rPr>
        <w:t xml:space="preserve">acceptation par </w:t>
      </w:r>
      <w:r w:rsidR="00D2351B" w:rsidRPr="00D2351B">
        <w:rPr>
          <w:lang w:val="fr-FR"/>
        </w:rPr>
        <w:t>la Partie Contractante désignée”</w:t>
      </w:r>
      <w:r w:rsidRPr="00D2351B">
        <w:rPr>
          <w:lang w:val="fr-FR"/>
        </w:rPr>
        <w:t xml:space="preserve"> ne fournit pas seulement des informations </w:t>
      </w:r>
      <w:r w:rsidR="00A926F9">
        <w:rPr>
          <w:lang w:val="fr-FR"/>
        </w:rPr>
        <w:t>quant à</w:t>
      </w:r>
      <w:r w:rsidRPr="00D2351B">
        <w:rPr>
          <w:lang w:val="fr-FR"/>
        </w:rPr>
        <w:t xml:space="preserve"> savoir si les indications proposées dans</w:t>
      </w:r>
      <w:r w:rsidR="00E178BF" w:rsidRPr="00D2351B">
        <w:rPr>
          <w:lang w:val="fr-FR"/>
        </w:rPr>
        <w:t xml:space="preserve"> le MGS</w:t>
      </w:r>
      <w:r w:rsidRPr="00D2351B">
        <w:rPr>
          <w:lang w:val="fr-FR"/>
        </w:rPr>
        <w:t xml:space="preserve"> seraient acceptées dans plusieurs parties contractantes mais, </w:t>
      </w:r>
      <w:r w:rsidR="00A926F9">
        <w:rPr>
          <w:lang w:val="fr-FR"/>
        </w:rPr>
        <w:t>surtout</w:t>
      </w:r>
      <w:r w:rsidRPr="00D2351B">
        <w:rPr>
          <w:lang w:val="fr-FR"/>
        </w:rPr>
        <w:t xml:space="preserve">, elle indique </w:t>
      </w:r>
      <w:r w:rsidR="00FF5AB7" w:rsidRPr="00D2351B">
        <w:rPr>
          <w:lang w:val="fr-FR"/>
        </w:rPr>
        <w:t>quelles</w:t>
      </w:r>
      <w:r w:rsidRPr="00D2351B">
        <w:rPr>
          <w:lang w:val="fr-FR"/>
        </w:rPr>
        <w:t xml:space="preserve"> indications seraient rejetées dans certaines de ces parties contractant</w:t>
      </w:r>
      <w:r w:rsidR="00D2351B" w:rsidRPr="00D2351B">
        <w:rPr>
          <w:lang w:val="fr-FR"/>
        </w:rPr>
        <w:t>es.  L’o</w:t>
      </w:r>
      <w:r w:rsidR="007F5069" w:rsidRPr="00D2351B">
        <w:rPr>
          <w:lang w:val="fr-FR"/>
        </w:rPr>
        <w:t>ffice d</w:t>
      </w:r>
      <w:r w:rsidR="00E178BF" w:rsidRPr="00D2351B">
        <w:rPr>
          <w:lang w:val="fr-FR"/>
        </w:rPr>
        <w:t>’</w:t>
      </w:r>
      <w:r w:rsidR="007F5069" w:rsidRPr="00D2351B">
        <w:rPr>
          <w:lang w:val="fr-FR"/>
        </w:rPr>
        <w:t xml:space="preserve">une partie contractante peut rejeter certaines indications de produits ou de services pour diverses raisons, </w:t>
      </w:r>
      <w:r w:rsidR="00A926F9">
        <w:rPr>
          <w:lang w:val="fr-FR"/>
        </w:rPr>
        <w:t>par exemple un</w:t>
      </w:r>
      <w:r w:rsidR="007F5069" w:rsidRPr="00D2351B">
        <w:rPr>
          <w:lang w:val="fr-FR"/>
        </w:rPr>
        <w:t xml:space="preserve"> niveau élevé d</w:t>
      </w:r>
      <w:r w:rsidR="00A926F9">
        <w:rPr>
          <w:lang w:val="fr-FR"/>
        </w:rPr>
        <w:t>’</w:t>
      </w:r>
      <w:r w:rsidR="00FF5AB7" w:rsidRPr="00D2351B">
        <w:rPr>
          <w:lang w:val="fr-FR"/>
        </w:rPr>
        <w:t>exigences en matière de précision</w:t>
      </w:r>
      <w:r w:rsidR="007F5069" w:rsidRPr="00D2351B">
        <w:rPr>
          <w:lang w:val="fr-FR"/>
        </w:rPr>
        <w:t>, des lois ou pratiques nationales s</w:t>
      </w:r>
      <w:r w:rsidR="00A926F9">
        <w:rPr>
          <w:lang w:val="fr-FR"/>
        </w:rPr>
        <w:t>pécifiques</w:t>
      </w:r>
      <w:r w:rsidR="007F5069" w:rsidRPr="00D2351B">
        <w:rPr>
          <w:lang w:val="fr-FR"/>
        </w:rPr>
        <w:t xml:space="preserve"> ou des accords bilatéraux sur les indications géographiques.</w:t>
      </w:r>
    </w:p>
    <w:p w:rsidR="00E178BF" w:rsidRPr="00D2351B" w:rsidRDefault="00CC0EEA" w:rsidP="0072055E">
      <w:pPr>
        <w:pStyle w:val="ONUMFS"/>
        <w:rPr>
          <w:lang w:val="fr-FR"/>
        </w:rPr>
      </w:pPr>
      <w:r w:rsidRPr="00D2351B">
        <w:rPr>
          <w:lang w:val="fr-FR"/>
        </w:rPr>
        <w:t xml:space="preserve">Depuis </w:t>
      </w:r>
      <w:r w:rsidR="00E178BF" w:rsidRPr="00D2351B">
        <w:rPr>
          <w:lang w:val="fr-FR"/>
        </w:rPr>
        <w:t>janvier 20</w:t>
      </w:r>
      <w:r w:rsidR="007F5069" w:rsidRPr="00D2351B">
        <w:rPr>
          <w:lang w:val="fr-FR"/>
        </w:rPr>
        <w:t>16, la liste des parties contractantes participant</w:t>
      </w:r>
      <w:r w:rsidR="00E178BF" w:rsidRPr="00D2351B">
        <w:rPr>
          <w:lang w:val="fr-FR"/>
        </w:rPr>
        <w:t xml:space="preserve"> au MGS</w:t>
      </w:r>
      <w:r w:rsidR="00DE54AE">
        <w:rPr>
          <w:lang w:val="fr-FR"/>
        </w:rPr>
        <w:t xml:space="preserve"> comprend les </w:t>
      </w:r>
      <w:r w:rsidR="00DE54AE" w:rsidRPr="00D2351B">
        <w:rPr>
          <w:lang w:val="fr-FR"/>
        </w:rPr>
        <w:t>parties contractantes</w:t>
      </w:r>
      <w:r w:rsidRPr="00D2351B">
        <w:rPr>
          <w:lang w:val="fr-FR"/>
        </w:rPr>
        <w:t xml:space="preserve"> suivant</w:t>
      </w:r>
      <w:r w:rsidR="00DE54AE">
        <w:rPr>
          <w:lang w:val="fr-FR"/>
        </w:rPr>
        <w:t>e</w:t>
      </w:r>
      <w:r w:rsidRPr="00D2351B">
        <w:rPr>
          <w:lang w:val="fr-FR"/>
        </w:rPr>
        <w:t>s</w:t>
      </w:r>
      <w:r w:rsidR="006F2DDB" w:rsidRPr="00D2351B">
        <w:rPr>
          <w:lang w:val="fr-FR"/>
        </w:rPr>
        <w:t> </w:t>
      </w:r>
      <w:r w:rsidR="002070AB" w:rsidRPr="00D2351B">
        <w:rPr>
          <w:lang w:val="fr-FR"/>
        </w:rPr>
        <w:t>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75"/>
        <w:gridCol w:w="742"/>
        <w:gridCol w:w="1344"/>
        <w:gridCol w:w="3476"/>
        <w:gridCol w:w="1134"/>
      </w:tblGrid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Allemagne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DE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Japon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JP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Autriche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AT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Mexique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MX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proofErr w:type="spellStart"/>
            <w:r w:rsidRPr="00450E50">
              <w:rPr>
                <w:lang w:val="fr-FR"/>
              </w:rPr>
              <w:t>Bélarus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BY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Norvège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NO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Benelux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BX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Portugal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PT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Chine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CN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République de Corée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KR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Colombie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CO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Royaume</w:t>
            </w:r>
            <w:r w:rsidRPr="00450E50">
              <w:rPr>
                <w:lang w:val="fr-FR"/>
              </w:rPr>
              <w:noBreakHyphen/>
              <w:t>Uni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GB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Danemark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DK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Serbie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RS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Estonie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EE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Singapour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SG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États</w:t>
            </w:r>
            <w:r w:rsidRPr="00450E50">
              <w:rPr>
                <w:lang w:val="fr-FR"/>
              </w:rPr>
              <w:noBreakHyphen/>
              <w:t>Unis d’Amérique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US</w:t>
            </w:r>
          </w:p>
        </w:tc>
        <w:tc>
          <w:tcPr>
            <w:tcW w:w="1344" w:type="dxa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Suède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SE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Fédération de Russie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RU</w:t>
            </w:r>
          </w:p>
        </w:tc>
        <w:tc>
          <w:tcPr>
            <w:tcW w:w="1344" w:type="dxa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Suisse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CH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Finlande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FI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Turquie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TR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Israël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IL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Ukraine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UA</w:t>
            </w:r>
          </w:p>
        </w:tc>
      </w:tr>
      <w:tr w:rsidR="00450E50" w:rsidRPr="00450E50" w:rsidTr="00450E50">
        <w:trPr>
          <w:trHeight w:val="366"/>
        </w:trPr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Italie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IT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E50" w:rsidRPr="00450E50" w:rsidRDefault="00450E50" w:rsidP="0072055E">
            <w:pPr>
              <w:rPr>
                <w:lang w:val="fr-FR"/>
              </w:rPr>
            </w:pPr>
          </w:p>
        </w:tc>
        <w:tc>
          <w:tcPr>
            <w:tcW w:w="3476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Union européenne</w:t>
            </w:r>
          </w:p>
        </w:tc>
        <w:tc>
          <w:tcPr>
            <w:tcW w:w="1134" w:type="dxa"/>
          </w:tcPr>
          <w:p w:rsidR="00450E50" w:rsidRPr="00450E50" w:rsidRDefault="00450E50" w:rsidP="0072055E">
            <w:pPr>
              <w:rPr>
                <w:lang w:val="fr-FR"/>
              </w:rPr>
            </w:pPr>
            <w:r w:rsidRPr="00450E50">
              <w:rPr>
                <w:lang w:val="fr-FR"/>
              </w:rPr>
              <w:t>EM</w:t>
            </w:r>
          </w:p>
        </w:tc>
      </w:tr>
    </w:tbl>
    <w:p w:rsidR="003F5A8C" w:rsidRPr="00D2351B" w:rsidRDefault="003F5A8C" w:rsidP="0072055E">
      <w:pPr>
        <w:rPr>
          <w:lang w:val="fr-FR"/>
        </w:rPr>
      </w:pPr>
    </w:p>
    <w:p w:rsidR="003F5A8C" w:rsidRPr="00D2351B" w:rsidRDefault="003F5A8C" w:rsidP="0072055E">
      <w:pPr>
        <w:rPr>
          <w:lang w:val="fr-FR"/>
        </w:rPr>
      </w:pPr>
    </w:p>
    <w:p w:rsidR="003F5A8C" w:rsidRPr="00D2351B" w:rsidRDefault="003F5A8C" w:rsidP="0072055E">
      <w:pPr>
        <w:rPr>
          <w:lang w:val="fr-FR"/>
        </w:rPr>
      </w:pPr>
    </w:p>
    <w:p w:rsidR="004936FC" w:rsidRPr="00D2351B" w:rsidRDefault="00450E50" w:rsidP="0072055E">
      <w:pPr>
        <w:pStyle w:val="Endofdocument-Annex"/>
        <w:rPr>
          <w:lang w:val="fr-FR"/>
        </w:rPr>
      </w:pPr>
      <w:r>
        <w:rPr>
          <w:lang w:val="fr-FR"/>
        </w:rPr>
        <w:t>Le </w:t>
      </w:r>
      <w:r w:rsidR="00D9344D">
        <w:rPr>
          <w:lang w:val="fr-FR"/>
        </w:rPr>
        <w:t>22</w:t>
      </w:r>
      <w:bookmarkStart w:id="2" w:name="_GoBack"/>
      <w:bookmarkEnd w:id="2"/>
      <w:r w:rsidR="00CC0EEA" w:rsidRPr="00D2351B">
        <w:rPr>
          <w:lang w:val="fr-FR"/>
        </w:rPr>
        <w:t> mars </w:t>
      </w:r>
      <w:r w:rsidR="006F3270" w:rsidRPr="00D2351B">
        <w:rPr>
          <w:lang w:val="fr-FR"/>
        </w:rPr>
        <w:t>2016</w:t>
      </w:r>
    </w:p>
    <w:sectPr w:rsidR="004936FC" w:rsidRPr="00D2351B" w:rsidSect="00E178BF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 w:rsidR="00450E5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9344D">
      <w:rPr>
        <w:noProof/>
      </w:rPr>
      <w:t>3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56723D"/>
    <w:multiLevelType w:val="hybridMultilevel"/>
    <w:tmpl w:val="0C046C72"/>
    <w:lvl w:ilvl="0" w:tplc="EF7885A4">
      <w:start w:val="2"/>
      <w:numFmt w:val="bullet"/>
      <w:lvlText w:val="̶"/>
      <w:lvlJc w:val="left"/>
      <w:pPr>
        <w:ind w:left="1287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D163E8"/>
    <w:multiLevelType w:val="hybridMultilevel"/>
    <w:tmpl w:val="D0088148"/>
    <w:lvl w:ilvl="0" w:tplc="13062E2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A91276"/>
    <w:multiLevelType w:val="hybridMultilevel"/>
    <w:tmpl w:val="BA54D5A2"/>
    <w:lvl w:ilvl="0" w:tplc="495477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UPOV_Beta|FTS_Glossary|TRADTERM"/>
    <w:docVar w:name="TermBaseURL" w:val="empty"/>
    <w:docVar w:name="TextBases" w:val="TextBase TMs\Treaties\Model Laws|TextBase TMs\Treaties\Other Laws and Agreements|TextBase TMs\Treaties\WIPO-administered|TextBase TMs\Trademarks\Meetings|TextBase TMs\Trademarks\Other|TextBase TMs\Trademarks\Publications|TextBase TMs\Patents\Meetings|TextBase TMs\Patents\Other|TextBase TMs\Patents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Glossaries\EN-FR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|TextBase TMs\UPOV\Meetings|TextBase TMs\UPOV\Other|TextBase TMs\UPOV\Publications|TextBase TMs\UPOV\Technical Guideline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CC5016"/>
    <w:rsid w:val="000054D9"/>
    <w:rsid w:val="00005CFF"/>
    <w:rsid w:val="000123A6"/>
    <w:rsid w:val="00021CC8"/>
    <w:rsid w:val="00043313"/>
    <w:rsid w:val="00043892"/>
    <w:rsid w:val="00043CAA"/>
    <w:rsid w:val="00050C2C"/>
    <w:rsid w:val="000728FF"/>
    <w:rsid w:val="00075432"/>
    <w:rsid w:val="000968ED"/>
    <w:rsid w:val="000A525D"/>
    <w:rsid w:val="000B3533"/>
    <w:rsid w:val="000C09DC"/>
    <w:rsid w:val="000C45C4"/>
    <w:rsid w:val="000D239F"/>
    <w:rsid w:val="000D3921"/>
    <w:rsid w:val="000D4BF8"/>
    <w:rsid w:val="000F5E56"/>
    <w:rsid w:val="00112B35"/>
    <w:rsid w:val="001272E3"/>
    <w:rsid w:val="00131BD8"/>
    <w:rsid w:val="0013392A"/>
    <w:rsid w:val="00133F53"/>
    <w:rsid w:val="001362EE"/>
    <w:rsid w:val="00143803"/>
    <w:rsid w:val="0015037D"/>
    <w:rsid w:val="001535D7"/>
    <w:rsid w:val="00166299"/>
    <w:rsid w:val="001832A6"/>
    <w:rsid w:val="00183A73"/>
    <w:rsid w:val="00184698"/>
    <w:rsid w:val="00184A75"/>
    <w:rsid w:val="00185E31"/>
    <w:rsid w:val="00186DE1"/>
    <w:rsid w:val="00192AE3"/>
    <w:rsid w:val="0019549F"/>
    <w:rsid w:val="001A67A5"/>
    <w:rsid w:val="001C2D7E"/>
    <w:rsid w:val="001E3850"/>
    <w:rsid w:val="001F1B95"/>
    <w:rsid w:val="001F717F"/>
    <w:rsid w:val="0020551F"/>
    <w:rsid w:val="002070AB"/>
    <w:rsid w:val="0022493E"/>
    <w:rsid w:val="00251890"/>
    <w:rsid w:val="0025278E"/>
    <w:rsid w:val="002634C4"/>
    <w:rsid w:val="0028754B"/>
    <w:rsid w:val="002928D3"/>
    <w:rsid w:val="00293C86"/>
    <w:rsid w:val="00295560"/>
    <w:rsid w:val="002A2E4F"/>
    <w:rsid w:val="002B208D"/>
    <w:rsid w:val="002C1554"/>
    <w:rsid w:val="002C38D8"/>
    <w:rsid w:val="002C74EB"/>
    <w:rsid w:val="002D0CCE"/>
    <w:rsid w:val="002E1FA9"/>
    <w:rsid w:val="002E2F76"/>
    <w:rsid w:val="002F1FE6"/>
    <w:rsid w:val="002F4E68"/>
    <w:rsid w:val="00312F7F"/>
    <w:rsid w:val="00317670"/>
    <w:rsid w:val="00335EC1"/>
    <w:rsid w:val="00342677"/>
    <w:rsid w:val="00347330"/>
    <w:rsid w:val="00357985"/>
    <w:rsid w:val="00361450"/>
    <w:rsid w:val="00367320"/>
    <w:rsid w:val="003673CF"/>
    <w:rsid w:val="003845C1"/>
    <w:rsid w:val="003A6F89"/>
    <w:rsid w:val="003B19FC"/>
    <w:rsid w:val="003B38C1"/>
    <w:rsid w:val="003E0D9F"/>
    <w:rsid w:val="003F5A8C"/>
    <w:rsid w:val="004052E1"/>
    <w:rsid w:val="004067BD"/>
    <w:rsid w:val="00411FB2"/>
    <w:rsid w:val="00414A9E"/>
    <w:rsid w:val="00423E3E"/>
    <w:rsid w:val="00427AF4"/>
    <w:rsid w:val="004466CA"/>
    <w:rsid w:val="004478C3"/>
    <w:rsid w:val="00450E50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A2ABE"/>
    <w:rsid w:val="004B0093"/>
    <w:rsid w:val="004B336C"/>
    <w:rsid w:val="004D5ECF"/>
    <w:rsid w:val="004F5A30"/>
    <w:rsid w:val="004F7E47"/>
    <w:rsid w:val="005019FF"/>
    <w:rsid w:val="005243B1"/>
    <w:rsid w:val="0053057A"/>
    <w:rsid w:val="0054277A"/>
    <w:rsid w:val="00546473"/>
    <w:rsid w:val="00546A94"/>
    <w:rsid w:val="00560A29"/>
    <w:rsid w:val="005710ED"/>
    <w:rsid w:val="0057681E"/>
    <w:rsid w:val="0058570B"/>
    <w:rsid w:val="005868B8"/>
    <w:rsid w:val="005C6649"/>
    <w:rsid w:val="005F2F3B"/>
    <w:rsid w:val="00605827"/>
    <w:rsid w:val="00623B00"/>
    <w:rsid w:val="00644AA2"/>
    <w:rsid w:val="00646050"/>
    <w:rsid w:val="00647B0C"/>
    <w:rsid w:val="00654AE9"/>
    <w:rsid w:val="00660713"/>
    <w:rsid w:val="00663D91"/>
    <w:rsid w:val="006659A7"/>
    <w:rsid w:val="006713CA"/>
    <w:rsid w:val="00674ABA"/>
    <w:rsid w:val="00676C5C"/>
    <w:rsid w:val="0068464E"/>
    <w:rsid w:val="00684699"/>
    <w:rsid w:val="006956D1"/>
    <w:rsid w:val="006C15FB"/>
    <w:rsid w:val="006F2DDB"/>
    <w:rsid w:val="006F3270"/>
    <w:rsid w:val="00702A6E"/>
    <w:rsid w:val="0072055E"/>
    <w:rsid w:val="00725FF6"/>
    <w:rsid w:val="00734305"/>
    <w:rsid w:val="00735242"/>
    <w:rsid w:val="00740DC1"/>
    <w:rsid w:val="00767C4D"/>
    <w:rsid w:val="00773CE3"/>
    <w:rsid w:val="00775EBD"/>
    <w:rsid w:val="00790A94"/>
    <w:rsid w:val="007A2C1E"/>
    <w:rsid w:val="007A3277"/>
    <w:rsid w:val="007A3CCA"/>
    <w:rsid w:val="007B7F73"/>
    <w:rsid w:val="007C3E9B"/>
    <w:rsid w:val="007D1613"/>
    <w:rsid w:val="007D250A"/>
    <w:rsid w:val="007D2D1E"/>
    <w:rsid w:val="007E1FCB"/>
    <w:rsid w:val="007F4D09"/>
    <w:rsid w:val="007F5069"/>
    <w:rsid w:val="008044B5"/>
    <w:rsid w:val="00804D7A"/>
    <w:rsid w:val="00804EC4"/>
    <w:rsid w:val="00840826"/>
    <w:rsid w:val="00853FA8"/>
    <w:rsid w:val="00854071"/>
    <w:rsid w:val="00875C15"/>
    <w:rsid w:val="00885618"/>
    <w:rsid w:val="008948BE"/>
    <w:rsid w:val="008977D0"/>
    <w:rsid w:val="008B2CC1"/>
    <w:rsid w:val="008B3B33"/>
    <w:rsid w:val="008B5502"/>
    <w:rsid w:val="008B60B2"/>
    <w:rsid w:val="008B707B"/>
    <w:rsid w:val="008C19D7"/>
    <w:rsid w:val="008C2D2F"/>
    <w:rsid w:val="008C2FE6"/>
    <w:rsid w:val="008C3C1D"/>
    <w:rsid w:val="008F1F70"/>
    <w:rsid w:val="008F7675"/>
    <w:rsid w:val="0090731E"/>
    <w:rsid w:val="0091220F"/>
    <w:rsid w:val="00916EE2"/>
    <w:rsid w:val="00922789"/>
    <w:rsid w:val="009378BE"/>
    <w:rsid w:val="00940490"/>
    <w:rsid w:val="00940793"/>
    <w:rsid w:val="00956357"/>
    <w:rsid w:val="00965EC2"/>
    <w:rsid w:val="00966A22"/>
    <w:rsid w:val="0096722F"/>
    <w:rsid w:val="00980843"/>
    <w:rsid w:val="009820CB"/>
    <w:rsid w:val="0098282D"/>
    <w:rsid w:val="0099133C"/>
    <w:rsid w:val="00997AAD"/>
    <w:rsid w:val="009A3866"/>
    <w:rsid w:val="009A591F"/>
    <w:rsid w:val="009B13ED"/>
    <w:rsid w:val="009B590E"/>
    <w:rsid w:val="009C0C04"/>
    <w:rsid w:val="009D0249"/>
    <w:rsid w:val="009E2791"/>
    <w:rsid w:val="009E3F6F"/>
    <w:rsid w:val="009E5F9F"/>
    <w:rsid w:val="009F2A14"/>
    <w:rsid w:val="009F499F"/>
    <w:rsid w:val="009F7B95"/>
    <w:rsid w:val="00A21684"/>
    <w:rsid w:val="00A25430"/>
    <w:rsid w:val="00A353ED"/>
    <w:rsid w:val="00A3669C"/>
    <w:rsid w:val="00A42224"/>
    <w:rsid w:val="00A42DAF"/>
    <w:rsid w:val="00A44F2E"/>
    <w:rsid w:val="00A45BD8"/>
    <w:rsid w:val="00A869B7"/>
    <w:rsid w:val="00A926F9"/>
    <w:rsid w:val="00AA1EEF"/>
    <w:rsid w:val="00AA279B"/>
    <w:rsid w:val="00AC1FD1"/>
    <w:rsid w:val="00AC205C"/>
    <w:rsid w:val="00AD16F0"/>
    <w:rsid w:val="00AD38EE"/>
    <w:rsid w:val="00AF0A6B"/>
    <w:rsid w:val="00AF5108"/>
    <w:rsid w:val="00B05A69"/>
    <w:rsid w:val="00B12876"/>
    <w:rsid w:val="00B21387"/>
    <w:rsid w:val="00B2247B"/>
    <w:rsid w:val="00B2488A"/>
    <w:rsid w:val="00B36ABA"/>
    <w:rsid w:val="00B46B7E"/>
    <w:rsid w:val="00B46D7E"/>
    <w:rsid w:val="00B54D7D"/>
    <w:rsid w:val="00B83157"/>
    <w:rsid w:val="00B83FD6"/>
    <w:rsid w:val="00B9734B"/>
    <w:rsid w:val="00B97A85"/>
    <w:rsid w:val="00BA59F8"/>
    <w:rsid w:val="00BA5E47"/>
    <w:rsid w:val="00BA63F6"/>
    <w:rsid w:val="00BA6DE5"/>
    <w:rsid w:val="00BB1430"/>
    <w:rsid w:val="00BB266C"/>
    <w:rsid w:val="00BB30F3"/>
    <w:rsid w:val="00BB78C7"/>
    <w:rsid w:val="00BC56AE"/>
    <w:rsid w:val="00BD4190"/>
    <w:rsid w:val="00BE55D6"/>
    <w:rsid w:val="00BE5857"/>
    <w:rsid w:val="00BF7BC5"/>
    <w:rsid w:val="00C11BFE"/>
    <w:rsid w:val="00C1296A"/>
    <w:rsid w:val="00C21565"/>
    <w:rsid w:val="00C21EEC"/>
    <w:rsid w:val="00C32F61"/>
    <w:rsid w:val="00C45642"/>
    <w:rsid w:val="00C46049"/>
    <w:rsid w:val="00C47421"/>
    <w:rsid w:val="00C53171"/>
    <w:rsid w:val="00C556FE"/>
    <w:rsid w:val="00C66F71"/>
    <w:rsid w:val="00C71E51"/>
    <w:rsid w:val="00C72A44"/>
    <w:rsid w:val="00C75303"/>
    <w:rsid w:val="00C977DB"/>
    <w:rsid w:val="00CB132F"/>
    <w:rsid w:val="00CB6962"/>
    <w:rsid w:val="00CC0EEA"/>
    <w:rsid w:val="00CC5016"/>
    <w:rsid w:val="00CE0A51"/>
    <w:rsid w:val="00CE0F4D"/>
    <w:rsid w:val="00CE6390"/>
    <w:rsid w:val="00CE763A"/>
    <w:rsid w:val="00CF4536"/>
    <w:rsid w:val="00D22BD4"/>
    <w:rsid w:val="00D2344D"/>
    <w:rsid w:val="00D2351B"/>
    <w:rsid w:val="00D30CC7"/>
    <w:rsid w:val="00D31C2F"/>
    <w:rsid w:val="00D40A98"/>
    <w:rsid w:val="00D424EC"/>
    <w:rsid w:val="00D45252"/>
    <w:rsid w:val="00D5076E"/>
    <w:rsid w:val="00D57F87"/>
    <w:rsid w:val="00D57F90"/>
    <w:rsid w:val="00D71B4D"/>
    <w:rsid w:val="00D76F38"/>
    <w:rsid w:val="00D903BA"/>
    <w:rsid w:val="00D90EE5"/>
    <w:rsid w:val="00D9344D"/>
    <w:rsid w:val="00D93D55"/>
    <w:rsid w:val="00DB42CB"/>
    <w:rsid w:val="00DC3E50"/>
    <w:rsid w:val="00DE54AE"/>
    <w:rsid w:val="00E102D6"/>
    <w:rsid w:val="00E178BF"/>
    <w:rsid w:val="00E335FE"/>
    <w:rsid w:val="00E42572"/>
    <w:rsid w:val="00E42B9A"/>
    <w:rsid w:val="00E532DC"/>
    <w:rsid w:val="00E66C2C"/>
    <w:rsid w:val="00E9722E"/>
    <w:rsid w:val="00EA46DD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5FB2"/>
    <w:rsid w:val="00F561E7"/>
    <w:rsid w:val="00F66152"/>
    <w:rsid w:val="00F734CA"/>
    <w:rsid w:val="00F76ED7"/>
    <w:rsid w:val="00F7721F"/>
    <w:rsid w:val="00F83160"/>
    <w:rsid w:val="00F906E8"/>
    <w:rsid w:val="00F94A0D"/>
    <w:rsid w:val="00FA2C4C"/>
    <w:rsid w:val="00FC3D36"/>
    <w:rsid w:val="00FC4C8A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50E50"/>
    <w:pPr>
      <w:keepNext/>
      <w:spacing w:before="120" w:after="60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50E50"/>
    <w:pPr>
      <w:keepNext/>
      <w:spacing w:before="120" w:after="60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CC9B-7D2D-4CBD-9EB1-CB7D8A89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1072</Words>
  <Characters>5988</Characters>
  <Application>Microsoft Office Word</Application>
  <DocSecurity>0</DocSecurity>
  <Lines>221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DB/ko</cp:keywords>
  <cp:lastModifiedBy>DIAZ Natacha</cp:lastModifiedBy>
  <cp:revision>6</cp:revision>
  <cp:lastPrinted>2016-03-17T16:49:00Z</cp:lastPrinted>
  <dcterms:created xsi:type="dcterms:W3CDTF">2016-03-17T16:57:00Z</dcterms:created>
  <dcterms:modified xsi:type="dcterms:W3CDTF">2016-03-22T14:51:00Z</dcterms:modified>
</cp:coreProperties>
</file>