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5C42E9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FF4B45" w:rsidP="005C42E9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271D6FF9" wp14:editId="2F5D5EF4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5C42E9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5C42E9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33593F" w:rsidP="00903DDE">
            <w:pPr>
              <w:jc w:val="right"/>
            </w:pPr>
            <w:r w:rsidRPr="00AD1D90">
              <w:rPr>
                <w:rFonts w:ascii="Arial Black" w:hAnsi="Arial Black"/>
                <w:caps/>
                <w:sz w:val="15"/>
              </w:rPr>
              <w:t>AVIS N°</w:t>
            </w:r>
            <w:r w:rsidR="00163F61" w:rsidRPr="00AD1D90">
              <w:rPr>
                <w:rFonts w:ascii="Arial Black" w:hAnsi="Arial Black"/>
                <w:caps/>
                <w:sz w:val="15"/>
              </w:rPr>
              <w:t xml:space="preserve"> </w:t>
            </w:r>
            <w:r w:rsidR="00903DDE">
              <w:rPr>
                <w:rFonts w:ascii="Arial Black" w:hAnsi="Arial Black"/>
                <w:caps/>
                <w:sz w:val="15"/>
              </w:rPr>
              <w:t>28</w:t>
            </w:r>
            <w:r w:rsidR="00163F61" w:rsidRPr="00AD1D90">
              <w:rPr>
                <w:rFonts w:ascii="Arial Black" w:hAnsi="Arial Black"/>
                <w:caps/>
                <w:sz w:val="15"/>
              </w:rPr>
              <w:t>/201</w:t>
            </w:r>
            <w:r w:rsidR="00992A2D" w:rsidRPr="00AD1D90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163F61" w:rsidRPr="00D409DF" w:rsidRDefault="00163F61" w:rsidP="005C42E9"/>
    <w:p w:rsidR="00163F61" w:rsidRPr="00D409DF" w:rsidRDefault="00163F61" w:rsidP="005C42E9"/>
    <w:p w:rsidR="00163F61" w:rsidRPr="00D409DF" w:rsidRDefault="00163F61" w:rsidP="005C42E9"/>
    <w:p w:rsidR="00163F61" w:rsidRPr="00D409DF" w:rsidRDefault="00163F61" w:rsidP="005C42E9"/>
    <w:p w:rsidR="00163F61" w:rsidRPr="00D409DF" w:rsidRDefault="00163F61" w:rsidP="005C42E9"/>
    <w:p w:rsidR="00163F61" w:rsidRPr="00423C54" w:rsidRDefault="00423C54" w:rsidP="005C42E9">
      <w:pPr>
        <w:autoSpaceDE w:val="0"/>
        <w:autoSpaceDN w:val="0"/>
        <w:adjustRightInd w:val="0"/>
        <w:rPr>
          <w:b/>
          <w:bCs/>
          <w:sz w:val="28"/>
          <w:szCs w:val="28"/>
          <w:highlight w:val="yellow"/>
          <w:lang w:val="fr-CH"/>
        </w:rPr>
      </w:pPr>
      <w:r w:rsidRPr="00423C54">
        <w:rPr>
          <w:b/>
          <w:bCs/>
          <w:sz w:val="28"/>
          <w:szCs w:val="28"/>
          <w:lang w:val="fr-CH"/>
        </w:rPr>
        <w:t>Arrangement et Protocole de Madrid concernant l</w:t>
      </w:r>
      <w:r w:rsidR="00975827">
        <w:rPr>
          <w:b/>
          <w:bCs/>
          <w:sz w:val="28"/>
          <w:szCs w:val="28"/>
          <w:lang w:val="fr-CH"/>
        </w:rPr>
        <w:t>’</w:t>
      </w:r>
      <w:r w:rsidRPr="00423C54">
        <w:rPr>
          <w:b/>
          <w:bCs/>
          <w:sz w:val="28"/>
          <w:szCs w:val="28"/>
          <w:lang w:val="fr-CH"/>
        </w:rPr>
        <w:t>enregistrement international des marques</w:t>
      </w:r>
    </w:p>
    <w:p w:rsidR="00163F61" w:rsidRPr="00423C54" w:rsidRDefault="00163F61" w:rsidP="005C42E9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163F61" w:rsidRPr="00423C54" w:rsidRDefault="00163F61" w:rsidP="005C42E9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163F61" w:rsidRPr="00423C54" w:rsidRDefault="00163F61" w:rsidP="005C42E9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75827" w:rsidRDefault="00F24524" w:rsidP="005C42E9">
      <w:pPr>
        <w:autoSpaceDE w:val="0"/>
        <w:autoSpaceDN w:val="0"/>
        <w:adjustRightInd w:val="0"/>
        <w:rPr>
          <w:b/>
          <w:bCs/>
          <w:sz w:val="24"/>
          <w:szCs w:val="24"/>
          <w:lang w:val="fr-CH"/>
        </w:rPr>
      </w:pPr>
      <w:r w:rsidRPr="00F24524">
        <w:rPr>
          <w:b/>
          <w:bCs/>
          <w:sz w:val="24"/>
          <w:szCs w:val="24"/>
          <w:lang w:val="fr-CH"/>
        </w:rPr>
        <w:t>N</w:t>
      </w:r>
      <w:r w:rsidR="00423C54" w:rsidRPr="00F24524">
        <w:rPr>
          <w:b/>
          <w:bCs/>
          <w:sz w:val="24"/>
          <w:szCs w:val="24"/>
          <w:lang w:val="fr-CH"/>
        </w:rPr>
        <w:t>ouvelles modalités et conditions</w:t>
      </w:r>
      <w:r w:rsidRPr="00F24524">
        <w:rPr>
          <w:b/>
          <w:bCs/>
          <w:sz w:val="24"/>
          <w:szCs w:val="24"/>
          <w:lang w:val="fr-CH"/>
        </w:rPr>
        <w:t xml:space="preserve"> pour </w:t>
      </w:r>
      <w:r w:rsidR="002E2078">
        <w:rPr>
          <w:b/>
          <w:bCs/>
          <w:sz w:val="24"/>
          <w:szCs w:val="24"/>
          <w:lang w:val="fr-CH"/>
        </w:rPr>
        <w:t>la</w:t>
      </w:r>
      <w:r w:rsidRPr="00F24524">
        <w:rPr>
          <w:b/>
          <w:bCs/>
          <w:sz w:val="24"/>
          <w:szCs w:val="24"/>
          <w:lang w:val="fr-CH"/>
        </w:rPr>
        <w:t xml:space="preserve"> </w:t>
      </w:r>
      <w:r w:rsidR="002E2078">
        <w:rPr>
          <w:b/>
          <w:bCs/>
          <w:sz w:val="24"/>
          <w:szCs w:val="24"/>
          <w:lang w:val="fr-CH"/>
        </w:rPr>
        <w:t>communication électronique</w:t>
      </w:r>
      <w:r w:rsidRPr="00F24524">
        <w:rPr>
          <w:b/>
          <w:bCs/>
          <w:sz w:val="24"/>
          <w:szCs w:val="24"/>
          <w:lang w:val="fr-CH"/>
        </w:rPr>
        <w:t xml:space="preserve"> entre le Bureau international</w:t>
      </w:r>
      <w:r>
        <w:rPr>
          <w:b/>
          <w:bCs/>
          <w:sz w:val="24"/>
          <w:szCs w:val="24"/>
          <w:lang w:val="fr-CH"/>
        </w:rPr>
        <w:t xml:space="preserve"> </w:t>
      </w:r>
      <w:r w:rsidRPr="00F24524">
        <w:rPr>
          <w:b/>
          <w:bCs/>
          <w:sz w:val="24"/>
          <w:szCs w:val="24"/>
          <w:lang w:val="fr-CH"/>
        </w:rPr>
        <w:t>de l</w:t>
      </w:r>
      <w:r w:rsidR="00975827">
        <w:rPr>
          <w:b/>
          <w:bCs/>
          <w:sz w:val="24"/>
          <w:szCs w:val="24"/>
          <w:lang w:val="fr-CH"/>
        </w:rPr>
        <w:t>’</w:t>
      </w:r>
      <w:r w:rsidRPr="00F24524">
        <w:rPr>
          <w:b/>
          <w:bCs/>
          <w:sz w:val="24"/>
          <w:szCs w:val="24"/>
          <w:lang w:val="fr-CH"/>
        </w:rPr>
        <w:t>Organisation Mondiale de la Propriété Intellectuelle (OMPI)</w:t>
      </w:r>
      <w:r w:rsidR="00423C54" w:rsidRPr="00F24524">
        <w:rPr>
          <w:b/>
          <w:bCs/>
          <w:sz w:val="24"/>
          <w:szCs w:val="24"/>
          <w:lang w:val="fr-CH"/>
        </w:rPr>
        <w:t xml:space="preserve"> </w:t>
      </w:r>
      <w:r>
        <w:rPr>
          <w:b/>
          <w:bCs/>
          <w:sz w:val="24"/>
          <w:szCs w:val="24"/>
          <w:lang w:val="fr-CH"/>
        </w:rPr>
        <w:t xml:space="preserve">et </w:t>
      </w:r>
      <w:r w:rsidRPr="00F24524">
        <w:rPr>
          <w:b/>
          <w:bCs/>
          <w:sz w:val="24"/>
          <w:szCs w:val="24"/>
          <w:lang w:val="fr-CH"/>
        </w:rPr>
        <w:t>les déposants et les titulaires d</w:t>
      </w:r>
      <w:r w:rsidR="00975827">
        <w:rPr>
          <w:b/>
          <w:bCs/>
          <w:sz w:val="24"/>
          <w:szCs w:val="24"/>
          <w:lang w:val="fr-CH"/>
        </w:rPr>
        <w:t>’</w:t>
      </w:r>
      <w:r w:rsidRPr="00F24524">
        <w:rPr>
          <w:b/>
          <w:bCs/>
          <w:sz w:val="24"/>
          <w:szCs w:val="24"/>
          <w:lang w:val="fr-CH"/>
        </w:rPr>
        <w:t>enregistrements internationaux</w:t>
      </w:r>
    </w:p>
    <w:p w:rsidR="006D1756" w:rsidRPr="00F24524" w:rsidRDefault="006D1756" w:rsidP="005C42E9">
      <w:pPr>
        <w:rPr>
          <w:szCs w:val="22"/>
          <w:lang w:val="fr-CH"/>
        </w:rPr>
      </w:pPr>
    </w:p>
    <w:p w:rsidR="00B53D28" w:rsidRPr="00F24524" w:rsidRDefault="00B53D28" w:rsidP="005C42E9">
      <w:pPr>
        <w:rPr>
          <w:lang w:val="fr-CH"/>
        </w:rPr>
      </w:pPr>
      <w:r>
        <w:fldChar w:fldCharType="begin"/>
      </w:r>
      <w:r w:rsidRPr="00F24524">
        <w:rPr>
          <w:lang w:val="fr-CH"/>
        </w:rPr>
        <w:instrText xml:space="preserve"> AUTONUM  </w:instrText>
      </w:r>
      <w:r>
        <w:fldChar w:fldCharType="end"/>
      </w:r>
      <w:r w:rsidRPr="00F24524">
        <w:rPr>
          <w:lang w:val="fr-CH"/>
        </w:rPr>
        <w:tab/>
      </w:r>
      <w:r w:rsidR="002E2078">
        <w:rPr>
          <w:lang w:val="fr-CH"/>
        </w:rPr>
        <w:t>En vertu de</w:t>
      </w:r>
      <w:r w:rsidR="00F24524" w:rsidRPr="00F24524">
        <w:rPr>
          <w:lang w:val="fr-CH"/>
        </w:rPr>
        <w:t xml:space="preserve"> l</w:t>
      </w:r>
      <w:r w:rsidR="00975827">
        <w:rPr>
          <w:lang w:val="fr-CH"/>
        </w:rPr>
        <w:t>’</w:t>
      </w:r>
      <w:r w:rsidR="00F24524" w:rsidRPr="00F24524">
        <w:rPr>
          <w:lang w:val="fr-CH"/>
        </w:rPr>
        <w:t>instruction 11</w:t>
      </w:r>
      <w:r w:rsidR="00A50380">
        <w:rPr>
          <w:lang w:val="fr-CH"/>
        </w:rPr>
        <w:t>.</w:t>
      </w:r>
      <w:r w:rsidR="00F24524" w:rsidRPr="00F24524">
        <w:rPr>
          <w:lang w:val="fr-CH"/>
        </w:rPr>
        <w:t>a)ii) des instructions administratives pour l</w:t>
      </w:r>
      <w:r w:rsidR="00975827">
        <w:rPr>
          <w:lang w:val="fr-CH"/>
        </w:rPr>
        <w:t>’</w:t>
      </w:r>
      <w:r w:rsidR="00F24524" w:rsidRPr="00F24524">
        <w:rPr>
          <w:lang w:val="fr-CH"/>
        </w:rPr>
        <w:t>application de l</w:t>
      </w:r>
      <w:r w:rsidR="00975827">
        <w:rPr>
          <w:lang w:val="fr-CH"/>
        </w:rPr>
        <w:t>’</w:t>
      </w:r>
      <w:r w:rsidR="00F24524" w:rsidRPr="00F24524">
        <w:rPr>
          <w:lang w:val="fr-CH"/>
        </w:rPr>
        <w:t>Arrangement de Madrid concernant l</w:t>
      </w:r>
      <w:r w:rsidR="00975827">
        <w:rPr>
          <w:lang w:val="fr-CH"/>
        </w:rPr>
        <w:t>’</w:t>
      </w:r>
      <w:r w:rsidR="00F24524" w:rsidRPr="00F24524">
        <w:rPr>
          <w:lang w:val="fr-CH"/>
        </w:rPr>
        <w:t xml:space="preserve">enregistrement international des marques et du Protocole </w:t>
      </w:r>
      <w:proofErr w:type="gramStart"/>
      <w:r w:rsidR="00F24524" w:rsidRPr="00F24524">
        <w:rPr>
          <w:lang w:val="fr-CH"/>
        </w:rPr>
        <w:t>y</w:t>
      </w:r>
      <w:proofErr w:type="gramEnd"/>
      <w:r w:rsidR="00F24524" w:rsidRPr="00F24524">
        <w:rPr>
          <w:lang w:val="fr-CH"/>
        </w:rPr>
        <w:t xml:space="preserve"> relatif, </w:t>
      </w:r>
      <w:r w:rsidR="00532C1F">
        <w:rPr>
          <w:lang w:val="fr-CH"/>
        </w:rPr>
        <w:t>“</w:t>
      </w:r>
      <w:r w:rsidR="00F24524" w:rsidRPr="00F24524">
        <w:rPr>
          <w:lang w:val="fr-CH"/>
        </w:rPr>
        <w:t xml:space="preserve">les communications entre le Bureau international </w:t>
      </w:r>
      <w:r w:rsidR="00F24524">
        <w:rPr>
          <w:lang w:val="fr-CH"/>
        </w:rPr>
        <w:t>de l</w:t>
      </w:r>
      <w:r w:rsidR="00975827">
        <w:rPr>
          <w:lang w:val="fr-CH"/>
        </w:rPr>
        <w:t>’</w:t>
      </w:r>
      <w:r w:rsidR="00F24524">
        <w:rPr>
          <w:lang w:val="fr-CH"/>
        </w:rPr>
        <w:t xml:space="preserve">OMPI </w:t>
      </w:r>
      <w:r w:rsidR="00F24524" w:rsidRPr="00F24524">
        <w:rPr>
          <w:lang w:val="fr-CH"/>
        </w:rPr>
        <w:t>et les déposants et les titulaires peuvent être faites par des moyens électroniques, au moment et selon des modalités qui sont établis par le Bureau international</w:t>
      </w:r>
      <w:r w:rsidR="00F24524">
        <w:rPr>
          <w:lang w:val="fr-CH"/>
        </w:rPr>
        <w:t xml:space="preserve"> de l</w:t>
      </w:r>
      <w:r w:rsidR="00975827">
        <w:rPr>
          <w:lang w:val="fr-CH"/>
        </w:rPr>
        <w:t>’</w:t>
      </w:r>
      <w:r w:rsidR="00F24524">
        <w:rPr>
          <w:lang w:val="fr-CH"/>
        </w:rPr>
        <w:t>OMPI</w:t>
      </w:r>
      <w:r w:rsidR="00F24524" w:rsidRPr="00F24524">
        <w:rPr>
          <w:lang w:val="fr-CH"/>
        </w:rPr>
        <w:t xml:space="preserve">, dont les prescriptions détaillées seront publiées dans la </w:t>
      </w:r>
      <w:r w:rsidR="00F24524" w:rsidRPr="00F24524">
        <w:rPr>
          <w:i/>
          <w:lang w:val="fr-CH"/>
        </w:rPr>
        <w:t>Gazette OMPI des marques internationales</w:t>
      </w:r>
      <w:r w:rsidR="00532C1F">
        <w:rPr>
          <w:i/>
          <w:lang w:val="fr-CH"/>
        </w:rPr>
        <w:t>”</w:t>
      </w:r>
      <w:r w:rsidR="00F24524">
        <w:rPr>
          <w:lang w:val="fr-CH"/>
        </w:rPr>
        <w:t>.</w:t>
      </w:r>
    </w:p>
    <w:p w:rsidR="00B53D28" w:rsidRPr="00F24524" w:rsidRDefault="00B53D28" w:rsidP="005C42E9">
      <w:pPr>
        <w:rPr>
          <w:lang w:val="fr-CH"/>
        </w:rPr>
      </w:pPr>
    </w:p>
    <w:p w:rsidR="00975827" w:rsidRDefault="00B53D28" w:rsidP="005C42E9">
      <w:pPr>
        <w:rPr>
          <w:lang w:val="fr-CH"/>
        </w:rPr>
      </w:pPr>
      <w:r>
        <w:fldChar w:fldCharType="begin"/>
      </w:r>
      <w:r w:rsidRPr="00FD385B">
        <w:rPr>
          <w:lang w:val="fr-CH"/>
        </w:rPr>
        <w:instrText xml:space="preserve"> AUTONUM  </w:instrText>
      </w:r>
      <w:r>
        <w:fldChar w:fldCharType="end"/>
      </w:r>
      <w:r w:rsidRPr="00FD385B">
        <w:rPr>
          <w:lang w:val="fr-CH"/>
        </w:rPr>
        <w:tab/>
      </w:r>
      <w:r w:rsidR="00532C1F">
        <w:rPr>
          <w:lang w:val="fr-CH"/>
        </w:rPr>
        <w:t>À</w:t>
      </w:r>
      <w:r w:rsidR="00FD385B" w:rsidRPr="00FD385B">
        <w:rPr>
          <w:lang w:val="fr-CH"/>
        </w:rPr>
        <w:t xml:space="preserve"> cet effet, le Bureau international de l</w:t>
      </w:r>
      <w:r w:rsidR="00975827">
        <w:rPr>
          <w:lang w:val="fr-CH"/>
        </w:rPr>
        <w:t>’</w:t>
      </w:r>
      <w:r w:rsidR="00FD385B" w:rsidRPr="00FD385B">
        <w:rPr>
          <w:lang w:val="fr-CH"/>
        </w:rPr>
        <w:t xml:space="preserve">OMPI publie, </w:t>
      </w:r>
      <w:r w:rsidR="002E2078">
        <w:rPr>
          <w:lang w:val="fr-CH"/>
        </w:rPr>
        <w:t>dans le cadre de cet avis, de</w:t>
      </w:r>
      <w:r w:rsidR="00FD385B" w:rsidRPr="00FD385B">
        <w:rPr>
          <w:lang w:val="fr-CH"/>
        </w:rPr>
        <w:t xml:space="preserve"> nouvelles modalités et conditions pour </w:t>
      </w:r>
      <w:r w:rsidR="002E2078">
        <w:rPr>
          <w:lang w:val="fr-CH"/>
        </w:rPr>
        <w:t>la communication électronique, reproduites à la page</w:t>
      </w:r>
      <w:r w:rsidR="00532C1F">
        <w:rPr>
          <w:lang w:val="fr-CH"/>
        </w:rPr>
        <w:t> </w:t>
      </w:r>
      <w:r w:rsidR="002E2078">
        <w:rPr>
          <w:lang w:val="fr-CH"/>
        </w:rPr>
        <w:t>2.</w:t>
      </w:r>
      <w:r w:rsidR="00532C1F">
        <w:rPr>
          <w:lang w:val="fr-CH"/>
        </w:rPr>
        <w:t xml:space="preserve"> </w:t>
      </w:r>
      <w:r w:rsidR="002E2078">
        <w:rPr>
          <w:lang w:val="fr-CH"/>
        </w:rPr>
        <w:t xml:space="preserve"> Ces modalités et conditions remplacent celles publiées </w:t>
      </w:r>
      <w:r w:rsidR="005B4D03">
        <w:rPr>
          <w:lang w:val="fr-CH"/>
        </w:rPr>
        <w:t>dans le cadre de l</w:t>
      </w:r>
      <w:r w:rsidR="00975827">
        <w:rPr>
          <w:lang w:val="fr-CH"/>
        </w:rPr>
        <w:t>’</w:t>
      </w:r>
      <w:r w:rsidR="005B4D03">
        <w:rPr>
          <w:lang w:val="fr-CH"/>
        </w:rPr>
        <w:t>avis n°</w:t>
      </w:r>
      <w:r w:rsidR="00532C1F">
        <w:rPr>
          <w:lang w:val="fr-CH"/>
        </w:rPr>
        <w:t> </w:t>
      </w:r>
      <w:r w:rsidR="005B4D03">
        <w:rPr>
          <w:lang w:val="fr-CH"/>
        </w:rPr>
        <w:t>36/2011.</w:t>
      </w:r>
    </w:p>
    <w:p w:rsidR="00751766" w:rsidRPr="00FD385B" w:rsidRDefault="00751766" w:rsidP="005C42E9">
      <w:pPr>
        <w:rPr>
          <w:lang w:val="fr-CH"/>
        </w:rPr>
      </w:pPr>
    </w:p>
    <w:p w:rsidR="00751766" w:rsidRPr="00FD385B" w:rsidRDefault="00751766" w:rsidP="005C42E9">
      <w:pPr>
        <w:rPr>
          <w:lang w:val="fr-CH"/>
        </w:rPr>
      </w:pPr>
    </w:p>
    <w:p w:rsidR="000829E9" w:rsidRPr="00FD385B" w:rsidRDefault="000829E9" w:rsidP="005C42E9">
      <w:pPr>
        <w:rPr>
          <w:lang w:val="fr-CH"/>
        </w:rPr>
      </w:pPr>
    </w:p>
    <w:p w:rsidR="00B53D28" w:rsidRPr="00FD385B" w:rsidRDefault="00B53D28" w:rsidP="005C42E9">
      <w:pPr>
        <w:rPr>
          <w:lang w:val="fr-CH"/>
        </w:rPr>
        <w:sectPr w:rsidR="00B53D28" w:rsidRPr="00FD385B" w:rsidSect="00CC13A4">
          <w:headerReference w:type="defaul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975827" w:rsidRDefault="00546309" w:rsidP="005C42E9">
      <w:pPr>
        <w:pStyle w:val="Heading1"/>
        <w:rPr>
          <w:lang w:val="fr-CH"/>
        </w:rPr>
      </w:pPr>
      <w:r w:rsidRPr="00546309">
        <w:rPr>
          <w:lang w:val="fr-CH"/>
        </w:rPr>
        <w:lastRenderedPageBreak/>
        <w:t>MODALITÉS ET CONDITIONS POUR LA COMMUNICATION ÉLECTRONIQUE ENTRE LE BUREAU INTERNATIONAL DE L</w:t>
      </w:r>
      <w:r w:rsidR="00975827">
        <w:rPr>
          <w:lang w:val="fr-CH"/>
        </w:rPr>
        <w:t>’</w:t>
      </w:r>
      <w:r w:rsidRPr="00546309">
        <w:rPr>
          <w:lang w:val="fr-CH"/>
        </w:rPr>
        <w:t>ORGANISATION MONDIALE DE LA PROPRIéTé INTELLECTUELLE (omPI) ET LES DÉPOSANTS ET LES TITULAIRES D</w:t>
      </w:r>
      <w:r w:rsidR="00975827">
        <w:rPr>
          <w:lang w:val="fr-CH"/>
        </w:rPr>
        <w:t>’</w:t>
      </w:r>
      <w:r w:rsidRPr="00546309">
        <w:rPr>
          <w:lang w:val="fr-CH"/>
        </w:rPr>
        <w:t>ENREGISTREMENTS INTERNATIONAUX (MAI 2015)</w:t>
      </w:r>
    </w:p>
    <w:p w:rsidR="00B53D28" w:rsidRPr="00546309" w:rsidRDefault="00546309" w:rsidP="005C42E9">
      <w:pPr>
        <w:pStyle w:val="Heading2"/>
        <w:rPr>
          <w:highlight w:val="lightGray"/>
          <w:lang w:val="fr-CH"/>
        </w:rPr>
      </w:pPr>
      <w:r w:rsidRPr="00546309">
        <w:rPr>
          <w:lang w:val="fr-CH"/>
        </w:rPr>
        <w:t>MODALITÉS GÉNÉRALES</w:t>
      </w:r>
    </w:p>
    <w:p w:rsidR="00B53D28" w:rsidRPr="00546309" w:rsidRDefault="00B53D28" w:rsidP="005C42E9">
      <w:pPr>
        <w:pStyle w:val="Endofdocument-Annex"/>
        <w:ind w:left="0"/>
        <w:rPr>
          <w:lang w:val="fr-CH"/>
        </w:rPr>
      </w:pPr>
    </w:p>
    <w:p w:rsidR="00975827" w:rsidRDefault="00546309" w:rsidP="005C42E9">
      <w:pPr>
        <w:pStyle w:val="Endofdocument-Annex"/>
        <w:ind w:left="0"/>
        <w:rPr>
          <w:lang w:val="fr-CH"/>
        </w:rPr>
      </w:pPr>
      <w:r w:rsidRPr="00546309">
        <w:rPr>
          <w:lang w:val="fr-CH"/>
        </w:rPr>
        <w:t>Les modalités et conditions suivantes s</w:t>
      </w:r>
      <w:r w:rsidR="00975827">
        <w:rPr>
          <w:lang w:val="fr-CH"/>
        </w:rPr>
        <w:t>’</w:t>
      </w:r>
      <w:r w:rsidRPr="00546309">
        <w:rPr>
          <w:lang w:val="fr-CH"/>
        </w:rPr>
        <w:t>appliquent aux déposants et aux titulaires d</w:t>
      </w:r>
      <w:r w:rsidR="00975827">
        <w:rPr>
          <w:lang w:val="fr-CH"/>
        </w:rPr>
        <w:t>’</w:t>
      </w:r>
      <w:r w:rsidRPr="00546309">
        <w:rPr>
          <w:lang w:val="fr-CH"/>
        </w:rPr>
        <w:t>enregistrements internationaux qui ont choisi de recevoir les communications du Bureau international de l</w:t>
      </w:r>
      <w:r w:rsidR="00975827">
        <w:rPr>
          <w:lang w:val="fr-CH"/>
        </w:rPr>
        <w:t>’</w:t>
      </w:r>
      <w:r w:rsidRPr="00546309">
        <w:rPr>
          <w:lang w:val="fr-CH"/>
        </w:rPr>
        <w:t xml:space="preserve">OMPI </w:t>
      </w:r>
      <w:r w:rsidR="005C42E9">
        <w:rPr>
          <w:lang w:val="fr-CH"/>
        </w:rPr>
        <w:t>au</w:t>
      </w:r>
      <w:r w:rsidR="00574AB3">
        <w:rPr>
          <w:lang w:val="fr-CH"/>
        </w:rPr>
        <w:t xml:space="preserve"> format électronique</w:t>
      </w:r>
      <w:r>
        <w:rPr>
          <w:lang w:val="fr-CH"/>
        </w:rPr>
        <w:t>.</w:t>
      </w:r>
    </w:p>
    <w:p w:rsidR="00B53D28" w:rsidRPr="00A50380" w:rsidRDefault="00B53D28" w:rsidP="005C42E9">
      <w:pPr>
        <w:pStyle w:val="Endofdocument-Annex"/>
        <w:ind w:left="0"/>
        <w:rPr>
          <w:lang w:val="fr-CH"/>
        </w:rPr>
      </w:pPr>
    </w:p>
    <w:p w:rsidR="00975827" w:rsidRDefault="00A50380" w:rsidP="005C42E9">
      <w:pPr>
        <w:pStyle w:val="Endofdocument-Annex"/>
        <w:ind w:left="0"/>
        <w:rPr>
          <w:lang w:val="fr-CH"/>
        </w:rPr>
      </w:pPr>
      <w:r w:rsidRPr="00A50380">
        <w:rPr>
          <w:lang w:val="fr-CH"/>
        </w:rPr>
        <w:t>Il est entendu que les déposants et les titulaires qui ont choisi ce service ont lu et approuvé ces modalités et conditions</w:t>
      </w:r>
      <w:r w:rsidR="00B53D28" w:rsidRPr="00A50380">
        <w:rPr>
          <w:lang w:val="fr-CH"/>
        </w:rPr>
        <w:t>.</w:t>
      </w:r>
    </w:p>
    <w:p w:rsidR="00B53D28" w:rsidRPr="00A50380" w:rsidRDefault="00B53D28" w:rsidP="005C42E9">
      <w:pPr>
        <w:pStyle w:val="Endofdocument-Annex"/>
        <w:ind w:left="0"/>
        <w:rPr>
          <w:lang w:val="fr-CH"/>
        </w:rPr>
      </w:pPr>
    </w:p>
    <w:p w:rsidR="00975827" w:rsidRDefault="003B7E74" w:rsidP="005C42E9">
      <w:pPr>
        <w:pStyle w:val="Endofdocument-Annex"/>
        <w:ind w:left="0"/>
        <w:rPr>
          <w:lang w:val="fr-CH"/>
        </w:rPr>
      </w:pPr>
      <w:r w:rsidRPr="003B7E74">
        <w:rPr>
          <w:lang w:val="fr-CH"/>
        </w:rPr>
        <w:t>En vertu de la règle</w:t>
      </w:r>
      <w:r w:rsidR="00532C1F">
        <w:rPr>
          <w:lang w:val="fr-CH"/>
        </w:rPr>
        <w:t> </w:t>
      </w:r>
      <w:r w:rsidRPr="003B7E74">
        <w:rPr>
          <w:lang w:val="fr-CH"/>
        </w:rPr>
        <w:t xml:space="preserve">3.5)b) du </w:t>
      </w:r>
      <w:r w:rsidR="00532C1F">
        <w:rPr>
          <w:lang w:val="fr-CH"/>
        </w:rPr>
        <w:t>règle</w:t>
      </w:r>
      <w:r w:rsidRPr="003B7E74">
        <w:rPr>
          <w:lang w:val="fr-CH"/>
        </w:rPr>
        <w:t>ment d</w:t>
      </w:r>
      <w:r w:rsidR="00975827">
        <w:rPr>
          <w:lang w:val="fr-CH"/>
        </w:rPr>
        <w:t>’</w:t>
      </w:r>
      <w:r w:rsidRPr="003B7E74">
        <w:rPr>
          <w:lang w:val="fr-CH"/>
        </w:rPr>
        <w:t>exécution commun à l</w:t>
      </w:r>
      <w:r w:rsidR="00975827">
        <w:rPr>
          <w:lang w:val="fr-CH"/>
        </w:rPr>
        <w:t>’</w:t>
      </w:r>
      <w:r w:rsidRPr="003B7E74">
        <w:rPr>
          <w:lang w:val="fr-CH"/>
        </w:rPr>
        <w:t>Arrangement de Madrid concernant l</w:t>
      </w:r>
      <w:r w:rsidR="00975827">
        <w:rPr>
          <w:lang w:val="fr-CH"/>
        </w:rPr>
        <w:t>’</w:t>
      </w:r>
      <w:r w:rsidRPr="003B7E74">
        <w:rPr>
          <w:lang w:val="fr-CH"/>
        </w:rPr>
        <w:t>enregistrement international des marques et au Protocole relatif à cet Arrangement (ci</w:t>
      </w:r>
      <w:r w:rsidR="00FF4B45">
        <w:rPr>
          <w:lang w:val="fr-CH"/>
        </w:rPr>
        <w:noBreakHyphen/>
      </w:r>
      <w:r w:rsidRPr="003B7E74">
        <w:rPr>
          <w:lang w:val="fr-CH"/>
        </w:rPr>
        <w:t>après dénommé “règlement d</w:t>
      </w:r>
      <w:r w:rsidR="00975827">
        <w:rPr>
          <w:lang w:val="fr-CH"/>
        </w:rPr>
        <w:t>’</w:t>
      </w:r>
      <w:r w:rsidRPr="003B7E74">
        <w:rPr>
          <w:lang w:val="fr-CH"/>
        </w:rPr>
        <w:t xml:space="preserve">exécution commun”), toute </w:t>
      </w:r>
      <w:r>
        <w:rPr>
          <w:lang w:val="fr-CH"/>
        </w:rPr>
        <w:t>communication électronique adressée au mandataire inscrit doit avoir les mêmes effets que si elle avait été adressée au déposant ou titulaire.</w:t>
      </w:r>
    </w:p>
    <w:p w:rsidR="00B53D28" w:rsidRPr="00574AB3" w:rsidRDefault="00B53D28" w:rsidP="005C42E9">
      <w:pPr>
        <w:pStyle w:val="Endofdocument-Annex"/>
        <w:ind w:left="0"/>
        <w:rPr>
          <w:lang w:val="fr-CH"/>
        </w:rPr>
      </w:pPr>
    </w:p>
    <w:p w:rsidR="00975827" w:rsidRDefault="00574AB3" w:rsidP="005C42E9">
      <w:pPr>
        <w:pStyle w:val="Endofdocument-Annex"/>
        <w:ind w:left="0"/>
        <w:rPr>
          <w:lang w:val="fr-CH"/>
        </w:rPr>
      </w:pPr>
      <w:r w:rsidRPr="00574AB3">
        <w:rPr>
          <w:lang w:val="fr-CH"/>
        </w:rPr>
        <w:t>Quant à la politique de confidentialité concernant les sites</w:t>
      </w:r>
      <w:r w:rsidR="00532C1F">
        <w:rPr>
          <w:lang w:val="fr-CH"/>
        </w:rPr>
        <w:t> </w:t>
      </w:r>
      <w:r w:rsidRPr="00574AB3">
        <w:rPr>
          <w:lang w:val="fr-CH"/>
        </w:rPr>
        <w:t>Web de l</w:t>
      </w:r>
      <w:r w:rsidR="00975827">
        <w:rPr>
          <w:lang w:val="fr-CH"/>
        </w:rPr>
        <w:t>’</w:t>
      </w:r>
      <w:r w:rsidRPr="00574AB3">
        <w:rPr>
          <w:lang w:val="fr-CH"/>
        </w:rPr>
        <w:t>OMPI, il est fait référence à l</w:t>
      </w:r>
      <w:r w:rsidR="00975827">
        <w:rPr>
          <w:lang w:val="fr-CH"/>
        </w:rPr>
        <w:t>’</w:t>
      </w:r>
      <w:r w:rsidRPr="00574AB3">
        <w:rPr>
          <w:lang w:val="fr-CH"/>
        </w:rPr>
        <w:t>avis aux utilisateurs qui est disponible à l</w:t>
      </w:r>
      <w:r w:rsidR="00975827">
        <w:rPr>
          <w:lang w:val="fr-CH"/>
        </w:rPr>
        <w:t>’</w:t>
      </w:r>
      <w:r w:rsidRPr="00574AB3">
        <w:rPr>
          <w:lang w:val="fr-CH"/>
        </w:rPr>
        <w:t>adresse suivante</w:t>
      </w:r>
      <w:r w:rsidR="00532C1F">
        <w:rPr>
          <w:lang w:val="fr-CH"/>
        </w:rPr>
        <w:t> </w:t>
      </w:r>
      <w:r w:rsidRPr="00574AB3">
        <w:rPr>
          <w:lang w:val="fr-CH"/>
        </w:rPr>
        <w:t xml:space="preserve">: </w:t>
      </w:r>
      <w:r w:rsidRPr="00AD1D90">
        <w:rPr>
          <w:lang w:val="fr-CH"/>
        </w:rPr>
        <w:t>http://www.wipo.int/tools/fr</w:t>
      </w:r>
      <w:r w:rsidR="00B53D28" w:rsidRPr="00AD1D90">
        <w:rPr>
          <w:lang w:val="fr-CH"/>
        </w:rPr>
        <w:t>/disclaim.html</w:t>
      </w:r>
      <w:r w:rsidR="00B53D28" w:rsidRPr="00574AB3">
        <w:rPr>
          <w:lang w:val="fr-CH"/>
        </w:rPr>
        <w:t>.</w:t>
      </w:r>
    </w:p>
    <w:p w:rsidR="00975827" w:rsidRPr="00AD1D90" w:rsidRDefault="00574AB3" w:rsidP="005C42E9">
      <w:pPr>
        <w:pStyle w:val="Heading2"/>
        <w:rPr>
          <w:lang w:val="fr-CH"/>
        </w:rPr>
      </w:pPr>
      <w:r w:rsidRPr="00AD1D90">
        <w:rPr>
          <w:lang w:val="fr-CH"/>
        </w:rPr>
        <w:t>COMMUNICATIONS CONCERNÉES PAR CE SERVICE</w:t>
      </w:r>
    </w:p>
    <w:p w:rsidR="00B53D28" w:rsidRPr="00AD1D90" w:rsidRDefault="00B53D28" w:rsidP="005C42E9">
      <w:pPr>
        <w:pStyle w:val="Endofdocument-Annex"/>
        <w:ind w:left="0"/>
        <w:rPr>
          <w:u w:val="single"/>
          <w:lang w:val="fr-CH"/>
        </w:rPr>
      </w:pPr>
    </w:p>
    <w:p w:rsidR="00975827" w:rsidRDefault="00574AB3" w:rsidP="005C42E9">
      <w:pPr>
        <w:pStyle w:val="Endofdocument-Annex"/>
        <w:ind w:left="0"/>
        <w:rPr>
          <w:lang w:val="fr-CH"/>
        </w:rPr>
      </w:pPr>
      <w:r w:rsidRPr="00574AB3">
        <w:rPr>
          <w:lang w:val="fr-CH"/>
        </w:rPr>
        <w:t>Toutes les communications envoyées en vertu du règlement d</w:t>
      </w:r>
      <w:r w:rsidR="00975827">
        <w:rPr>
          <w:lang w:val="fr-CH"/>
        </w:rPr>
        <w:t>’</w:t>
      </w:r>
      <w:r w:rsidRPr="00574AB3">
        <w:rPr>
          <w:lang w:val="fr-CH"/>
        </w:rPr>
        <w:t xml:space="preserve">exécution commun aux déposants et aux titulaires </w:t>
      </w:r>
      <w:r>
        <w:rPr>
          <w:lang w:val="fr-CH"/>
        </w:rPr>
        <w:t>d</w:t>
      </w:r>
      <w:r w:rsidR="00975827">
        <w:rPr>
          <w:lang w:val="fr-CH"/>
        </w:rPr>
        <w:t>’</w:t>
      </w:r>
      <w:r>
        <w:rPr>
          <w:lang w:val="fr-CH"/>
        </w:rPr>
        <w:t xml:space="preserve">enregistrements internationaux </w:t>
      </w:r>
      <w:r w:rsidRPr="00546309">
        <w:rPr>
          <w:lang w:val="fr-CH"/>
        </w:rPr>
        <w:t>qui ont choisi de recevoir les communications du Bureau international de l</w:t>
      </w:r>
      <w:r w:rsidR="00975827">
        <w:rPr>
          <w:lang w:val="fr-CH"/>
        </w:rPr>
        <w:t>’</w:t>
      </w:r>
      <w:r w:rsidRPr="00546309">
        <w:rPr>
          <w:lang w:val="fr-CH"/>
        </w:rPr>
        <w:t xml:space="preserve">OMPI </w:t>
      </w:r>
      <w:r w:rsidR="005C42E9">
        <w:rPr>
          <w:lang w:val="fr-CH"/>
        </w:rPr>
        <w:t>au</w:t>
      </w:r>
      <w:r>
        <w:rPr>
          <w:lang w:val="fr-CH"/>
        </w:rPr>
        <w:t xml:space="preserve"> format électronique seront envoyées par des moyens électroniques.</w:t>
      </w:r>
    </w:p>
    <w:p w:rsidR="007E6D40" w:rsidRDefault="007E6D40" w:rsidP="005C42E9">
      <w:pPr>
        <w:pStyle w:val="Endofdocument-Annex"/>
        <w:ind w:left="0"/>
        <w:rPr>
          <w:lang w:val="fr-CH"/>
        </w:rPr>
      </w:pPr>
    </w:p>
    <w:p w:rsidR="00975827" w:rsidRDefault="007E6D40" w:rsidP="005C42E9">
      <w:pPr>
        <w:pStyle w:val="Endofdocument-Annex"/>
        <w:ind w:left="0"/>
        <w:rPr>
          <w:lang w:val="fr-CH"/>
        </w:rPr>
      </w:pPr>
      <w:r>
        <w:rPr>
          <w:lang w:val="fr-CH"/>
        </w:rPr>
        <w:t>Cependant, les certificats d</w:t>
      </w:r>
      <w:r w:rsidR="00975827">
        <w:rPr>
          <w:lang w:val="fr-CH"/>
        </w:rPr>
        <w:t>’</w:t>
      </w:r>
      <w:r>
        <w:rPr>
          <w:lang w:val="fr-CH"/>
        </w:rPr>
        <w:t>enregistrement international et de renouvellement d</w:t>
      </w:r>
      <w:r w:rsidR="00975827">
        <w:rPr>
          <w:lang w:val="fr-CH"/>
        </w:rPr>
        <w:t>’</w:t>
      </w:r>
      <w:r>
        <w:rPr>
          <w:lang w:val="fr-CH"/>
        </w:rPr>
        <w:t>un enregistrement international, ainsi que les avis officieux d</w:t>
      </w:r>
      <w:r w:rsidR="00975827">
        <w:rPr>
          <w:lang w:val="fr-CH"/>
        </w:rPr>
        <w:t>’</w:t>
      </w:r>
      <w:r>
        <w:rPr>
          <w:lang w:val="fr-CH"/>
        </w:rPr>
        <w:t>échéance envoyés en vertu de la règle</w:t>
      </w:r>
      <w:r w:rsidR="00532C1F">
        <w:rPr>
          <w:lang w:val="fr-CH"/>
        </w:rPr>
        <w:t> </w:t>
      </w:r>
      <w:r>
        <w:rPr>
          <w:lang w:val="fr-CH"/>
        </w:rPr>
        <w:t xml:space="preserve">29 </w:t>
      </w:r>
      <w:r w:rsidR="008D237A">
        <w:rPr>
          <w:lang w:val="fr-CH"/>
        </w:rPr>
        <w:t xml:space="preserve">et les notifications en cas de non-renouvellement en vertu de la règle 31.4) </w:t>
      </w:r>
      <w:r>
        <w:rPr>
          <w:lang w:val="fr-CH"/>
        </w:rPr>
        <w:t xml:space="preserve">du </w:t>
      </w:r>
      <w:r w:rsidRPr="003B7E74">
        <w:rPr>
          <w:lang w:val="fr-CH"/>
        </w:rPr>
        <w:t>règlement d</w:t>
      </w:r>
      <w:r w:rsidR="00975827">
        <w:rPr>
          <w:lang w:val="fr-CH"/>
        </w:rPr>
        <w:t>’</w:t>
      </w:r>
      <w:r w:rsidRPr="003B7E74">
        <w:rPr>
          <w:lang w:val="fr-CH"/>
        </w:rPr>
        <w:t>exécution commun</w:t>
      </w:r>
      <w:r>
        <w:rPr>
          <w:lang w:val="fr-CH"/>
        </w:rPr>
        <w:t xml:space="preserve"> seront envoyés aux titulaires par le Bureau international de l</w:t>
      </w:r>
      <w:r w:rsidR="00975827">
        <w:rPr>
          <w:lang w:val="fr-CH"/>
        </w:rPr>
        <w:t>’</w:t>
      </w:r>
      <w:r>
        <w:rPr>
          <w:lang w:val="fr-CH"/>
        </w:rPr>
        <w:t>OMPI par courrier.</w:t>
      </w:r>
    </w:p>
    <w:p w:rsidR="00975827" w:rsidRDefault="004232FD" w:rsidP="005C42E9">
      <w:pPr>
        <w:pStyle w:val="Heading2"/>
        <w:rPr>
          <w:highlight w:val="lightGray"/>
          <w:lang w:val="fr-CH"/>
        </w:rPr>
      </w:pPr>
      <w:r w:rsidRPr="004232FD">
        <w:rPr>
          <w:lang w:val="fr-CH"/>
        </w:rPr>
        <w:t>MOYENS DE COMMUNICATION ÉLECTRONIQUE</w:t>
      </w:r>
    </w:p>
    <w:p w:rsidR="00B53D28" w:rsidRPr="004232FD" w:rsidRDefault="00B53D28" w:rsidP="005C42E9">
      <w:pPr>
        <w:pStyle w:val="Endofdocument-Annex"/>
        <w:ind w:left="0"/>
        <w:rPr>
          <w:lang w:val="fr-CH"/>
        </w:rPr>
      </w:pPr>
    </w:p>
    <w:p w:rsidR="00975827" w:rsidRDefault="009A26B2" w:rsidP="005C42E9">
      <w:pPr>
        <w:pStyle w:val="Endofdocument-Annex"/>
        <w:ind w:left="0"/>
        <w:rPr>
          <w:lang w:val="fr-CH"/>
        </w:rPr>
      </w:pPr>
      <w:r w:rsidRPr="009A26B2">
        <w:rPr>
          <w:lang w:val="fr-CH"/>
        </w:rPr>
        <w:t>Le Bureau international de l</w:t>
      </w:r>
      <w:r w:rsidR="00975827">
        <w:rPr>
          <w:lang w:val="fr-CH"/>
        </w:rPr>
        <w:t>’</w:t>
      </w:r>
      <w:r w:rsidRPr="009A26B2">
        <w:rPr>
          <w:lang w:val="fr-CH"/>
        </w:rPr>
        <w:t>OMPI enverra les communications destinées aux déposants et aux titulaires par courrier électronique (e</w:t>
      </w:r>
      <w:r w:rsidR="00FF4B45">
        <w:rPr>
          <w:lang w:val="fr-CH"/>
        </w:rPr>
        <w:noBreakHyphen/>
      </w:r>
      <w:r w:rsidRPr="009A26B2">
        <w:rPr>
          <w:lang w:val="fr-CH"/>
        </w:rPr>
        <w:t>mail) à l</w:t>
      </w:r>
      <w:r w:rsidR="00975827">
        <w:rPr>
          <w:lang w:val="fr-CH"/>
        </w:rPr>
        <w:t>’</w:t>
      </w:r>
      <w:r w:rsidRPr="009A26B2">
        <w:rPr>
          <w:lang w:val="fr-CH"/>
        </w:rPr>
        <w:t xml:space="preserve">adresse </w:t>
      </w:r>
      <w:r>
        <w:rPr>
          <w:lang w:val="fr-CH"/>
        </w:rPr>
        <w:t>électronique qu</w:t>
      </w:r>
      <w:r w:rsidR="00975827">
        <w:rPr>
          <w:lang w:val="fr-CH"/>
        </w:rPr>
        <w:t>’</w:t>
      </w:r>
      <w:r>
        <w:rPr>
          <w:lang w:val="fr-CH"/>
        </w:rPr>
        <w:t>ils auront indiquée à cet effet</w:t>
      </w:r>
      <w:r w:rsidR="00B53D28" w:rsidRPr="009A26B2">
        <w:rPr>
          <w:lang w:val="fr-CH"/>
        </w:rPr>
        <w:t>.</w:t>
      </w:r>
    </w:p>
    <w:p w:rsidR="00B53D28" w:rsidRPr="009A26B2" w:rsidRDefault="00B53D28" w:rsidP="005C42E9">
      <w:pPr>
        <w:pStyle w:val="Endofdocument-Annex"/>
        <w:ind w:left="0"/>
        <w:rPr>
          <w:lang w:val="fr-CH"/>
        </w:rPr>
      </w:pPr>
    </w:p>
    <w:p w:rsidR="00975827" w:rsidRDefault="009A26B2" w:rsidP="005C42E9">
      <w:pPr>
        <w:pStyle w:val="Endofdocument-Annex"/>
        <w:ind w:left="0"/>
        <w:rPr>
          <w:lang w:val="fr-CH"/>
        </w:rPr>
      </w:pPr>
      <w:r w:rsidRPr="009A26B2">
        <w:rPr>
          <w:lang w:val="fr-CH"/>
        </w:rPr>
        <w:t xml:space="preserve">Les documents envoyés par des moyens électroniques seront transmis sous forme de pièces jointes au format </w:t>
      </w:r>
      <w:r w:rsidR="00A7197A">
        <w:rPr>
          <w:lang w:val="fr-CH"/>
        </w:rPr>
        <w:t>PDF</w:t>
      </w:r>
      <w:r w:rsidRPr="009A26B2">
        <w:rPr>
          <w:lang w:val="fr-CH"/>
        </w:rPr>
        <w:t xml:space="preserve"> (</w:t>
      </w:r>
      <w:r w:rsidRPr="008D237A">
        <w:rPr>
          <w:i/>
          <w:lang w:val="fr-CH"/>
        </w:rPr>
        <w:t>Portable Document Format</w:t>
      </w:r>
      <w:r w:rsidRPr="009A26B2">
        <w:rPr>
          <w:lang w:val="fr-CH"/>
        </w:rPr>
        <w:t xml:space="preserve">). </w:t>
      </w:r>
      <w:r>
        <w:rPr>
          <w:lang w:val="fr-CH"/>
        </w:rPr>
        <w:t xml:space="preserve"> Il se peut qu</w:t>
      </w:r>
      <w:r w:rsidR="00975827">
        <w:rPr>
          <w:lang w:val="fr-CH"/>
        </w:rPr>
        <w:t>’</w:t>
      </w:r>
      <w:r>
        <w:rPr>
          <w:lang w:val="fr-CH"/>
        </w:rPr>
        <w:t>e</w:t>
      </w:r>
      <w:r w:rsidRPr="009A26B2">
        <w:rPr>
          <w:lang w:val="fr-CH"/>
        </w:rPr>
        <w:t xml:space="preserve">n raison de leur taille, certains documents </w:t>
      </w:r>
      <w:r>
        <w:rPr>
          <w:lang w:val="fr-CH"/>
        </w:rPr>
        <w:t>doivent être téléchargés, dans le même format, à partir d</w:t>
      </w:r>
      <w:r w:rsidR="00975827">
        <w:rPr>
          <w:lang w:val="fr-CH"/>
        </w:rPr>
        <w:t>’</w:t>
      </w:r>
      <w:r>
        <w:rPr>
          <w:lang w:val="fr-CH"/>
        </w:rPr>
        <w:t>un lien envoyé dans la communication électronique.</w:t>
      </w:r>
    </w:p>
    <w:p w:rsidR="00FF4B45" w:rsidRPr="00AD1D90" w:rsidRDefault="00FF4B45" w:rsidP="005C42E9">
      <w:pPr>
        <w:rPr>
          <w:bCs/>
          <w:iCs/>
          <w:caps/>
          <w:szCs w:val="28"/>
          <w:lang w:val="fr-CH"/>
        </w:rPr>
      </w:pPr>
      <w:r w:rsidRPr="00AD1D90">
        <w:rPr>
          <w:lang w:val="fr-CH"/>
        </w:rPr>
        <w:br w:type="page"/>
      </w:r>
    </w:p>
    <w:p w:rsidR="00B53D28" w:rsidRPr="00AD1D90" w:rsidRDefault="00A7197A" w:rsidP="005C42E9">
      <w:pPr>
        <w:pStyle w:val="Heading2"/>
        <w:rPr>
          <w:lang w:val="fr-CH"/>
        </w:rPr>
      </w:pPr>
      <w:r w:rsidRPr="00AD1D90">
        <w:rPr>
          <w:lang w:val="fr-CH"/>
        </w:rPr>
        <w:lastRenderedPageBreak/>
        <w:t>AVERTISSEMENT</w:t>
      </w:r>
    </w:p>
    <w:p w:rsidR="00B53D28" w:rsidRPr="00AD1D90" w:rsidRDefault="00B53D28" w:rsidP="005C42E9">
      <w:pPr>
        <w:pStyle w:val="Endofdocument-Annex"/>
        <w:ind w:left="0"/>
        <w:rPr>
          <w:lang w:val="fr-CH"/>
        </w:rPr>
      </w:pPr>
    </w:p>
    <w:p w:rsidR="00975827" w:rsidRDefault="00A7197A" w:rsidP="005C42E9">
      <w:pPr>
        <w:pStyle w:val="Endofdocument-Annex"/>
        <w:ind w:left="0"/>
        <w:rPr>
          <w:lang w:val="fr-CH"/>
        </w:rPr>
      </w:pPr>
      <w:r w:rsidRPr="00A7197A">
        <w:rPr>
          <w:lang w:val="fr-CH"/>
        </w:rPr>
        <w:t>Si le Bureau international de l</w:t>
      </w:r>
      <w:r w:rsidR="00975827">
        <w:rPr>
          <w:lang w:val="fr-CH"/>
        </w:rPr>
        <w:t>’</w:t>
      </w:r>
      <w:r w:rsidR="005C42E9">
        <w:rPr>
          <w:lang w:val="fr-CH"/>
        </w:rPr>
        <w:t>OMPI a connaissance</w:t>
      </w:r>
      <w:r w:rsidRPr="00A7197A">
        <w:rPr>
          <w:lang w:val="fr-CH"/>
        </w:rPr>
        <w:t xml:space="preserve"> d</w:t>
      </w:r>
      <w:r w:rsidR="00975827">
        <w:rPr>
          <w:lang w:val="fr-CH"/>
        </w:rPr>
        <w:t>’</w:t>
      </w:r>
      <w:r w:rsidRPr="00A7197A">
        <w:rPr>
          <w:lang w:val="fr-CH"/>
        </w:rPr>
        <w:t>un échec de</w:t>
      </w:r>
      <w:r w:rsidR="005C42E9">
        <w:rPr>
          <w:lang w:val="fr-CH"/>
        </w:rPr>
        <w:t xml:space="preserve"> la transmission</w:t>
      </w:r>
      <w:r w:rsidRPr="00A7197A">
        <w:rPr>
          <w:lang w:val="fr-CH"/>
        </w:rPr>
        <w:t xml:space="preserve"> d</w:t>
      </w:r>
      <w:r w:rsidR="00975827">
        <w:rPr>
          <w:lang w:val="fr-CH"/>
        </w:rPr>
        <w:t>’</w:t>
      </w:r>
      <w:r w:rsidRPr="00A7197A">
        <w:rPr>
          <w:lang w:val="fr-CH"/>
        </w:rPr>
        <w:t>une communication électronique, cette communication et tous les documents concernés seront envoyés par la poste.</w:t>
      </w:r>
      <w:r>
        <w:rPr>
          <w:lang w:val="fr-CH"/>
        </w:rPr>
        <w:t xml:space="preserve"> </w:t>
      </w:r>
      <w:r w:rsidRPr="00A7197A">
        <w:rPr>
          <w:lang w:val="fr-CH"/>
        </w:rPr>
        <w:t xml:space="preserve"> Le Bureau international de l</w:t>
      </w:r>
      <w:r w:rsidR="00975827">
        <w:rPr>
          <w:lang w:val="fr-CH"/>
        </w:rPr>
        <w:t>’</w:t>
      </w:r>
      <w:r w:rsidRPr="00A7197A">
        <w:rPr>
          <w:lang w:val="fr-CH"/>
        </w:rPr>
        <w:t xml:space="preserve">OMPI ne saurait être tenu </w:t>
      </w:r>
      <w:r>
        <w:rPr>
          <w:lang w:val="fr-CH"/>
        </w:rPr>
        <w:t>responsa</w:t>
      </w:r>
      <w:r w:rsidRPr="00A7197A">
        <w:rPr>
          <w:lang w:val="fr-CH"/>
        </w:rPr>
        <w:t>ble de tout échec, retard, erreur ou autre problème dans la réception d</w:t>
      </w:r>
      <w:r w:rsidR="00975827">
        <w:rPr>
          <w:lang w:val="fr-CH"/>
        </w:rPr>
        <w:t>’</w:t>
      </w:r>
      <w:r w:rsidRPr="00A7197A">
        <w:rPr>
          <w:lang w:val="fr-CH"/>
        </w:rPr>
        <w:t>une communic</w:t>
      </w:r>
      <w:r>
        <w:rPr>
          <w:lang w:val="fr-CH"/>
        </w:rPr>
        <w:t xml:space="preserve">ation électronique </w:t>
      </w:r>
      <w:r w:rsidR="00CC2C77">
        <w:rPr>
          <w:lang w:val="fr-CH"/>
        </w:rPr>
        <w:t>dont les raisons</w:t>
      </w:r>
      <w:r>
        <w:rPr>
          <w:lang w:val="fr-CH"/>
        </w:rPr>
        <w:t xml:space="preserve"> ne seraient</w:t>
      </w:r>
      <w:r w:rsidRPr="00A7197A">
        <w:rPr>
          <w:lang w:val="fr-CH"/>
        </w:rPr>
        <w:t xml:space="preserve"> pas directement </w:t>
      </w:r>
      <w:r>
        <w:rPr>
          <w:lang w:val="fr-CH"/>
        </w:rPr>
        <w:t>imputables</w:t>
      </w:r>
      <w:r w:rsidRPr="00A7197A">
        <w:rPr>
          <w:lang w:val="fr-CH"/>
        </w:rPr>
        <w:t xml:space="preserve"> à ses </w:t>
      </w:r>
      <w:r>
        <w:rPr>
          <w:lang w:val="fr-CH"/>
        </w:rPr>
        <w:t>systèmes</w:t>
      </w:r>
      <w:r w:rsidRPr="00A7197A">
        <w:rPr>
          <w:lang w:val="fr-CH"/>
        </w:rPr>
        <w:t xml:space="preserve"> de communication électronique</w:t>
      </w:r>
      <w:r>
        <w:rPr>
          <w:lang w:val="fr-CH"/>
        </w:rPr>
        <w:t xml:space="preserve">, par exemple </w:t>
      </w:r>
      <w:r w:rsidR="00CC2C77">
        <w:rPr>
          <w:lang w:val="fr-CH"/>
        </w:rPr>
        <w:t>des raisons qui auraient pour origine le</w:t>
      </w:r>
      <w:r w:rsidR="002B047A">
        <w:rPr>
          <w:lang w:val="fr-CH"/>
        </w:rPr>
        <w:t xml:space="preserve"> fournisseur de services du déposant ou du titulaire, </w:t>
      </w:r>
      <w:r w:rsidR="00CC2C77">
        <w:rPr>
          <w:lang w:val="fr-CH"/>
        </w:rPr>
        <w:t>le</w:t>
      </w:r>
      <w:r w:rsidR="002B047A">
        <w:rPr>
          <w:lang w:val="fr-CH"/>
        </w:rPr>
        <w:t xml:space="preserve"> gestionnaire du courrier électronique ou un logiciel de filtrage.</w:t>
      </w:r>
    </w:p>
    <w:p w:rsidR="00B53D28" w:rsidRPr="00AD1D90" w:rsidRDefault="00B53D28" w:rsidP="005C42E9">
      <w:pPr>
        <w:pStyle w:val="Endofdocument-Annex"/>
        <w:ind w:left="0"/>
        <w:rPr>
          <w:lang w:val="fr-CH"/>
        </w:rPr>
      </w:pPr>
    </w:p>
    <w:p w:rsidR="00B53D28" w:rsidRPr="00AD1D90" w:rsidRDefault="00B53D28" w:rsidP="005C42E9">
      <w:pPr>
        <w:pStyle w:val="Endofdocument-Annex"/>
        <w:rPr>
          <w:lang w:val="fr-CH"/>
        </w:rPr>
      </w:pPr>
    </w:p>
    <w:p w:rsidR="00B53D28" w:rsidRPr="00AD1D90" w:rsidRDefault="00B53D28" w:rsidP="005C42E9">
      <w:pPr>
        <w:pStyle w:val="Endofdocument-Annex"/>
        <w:rPr>
          <w:lang w:val="fr-CH"/>
        </w:rPr>
      </w:pPr>
    </w:p>
    <w:p w:rsidR="00163F61" w:rsidRDefault="002B047A" w:rsidP="005C42E9">
      <w:pPr>
        <w:pStyle w:val="Endofdocument-Annex"/>
      </w:pPr>
      <w:r>
        <w:t>Le</w:t>
      </w:r>
      <w:r w:rsidR="002F589C">
        <w:t xml:space="preserve"> </w:t>
      </w:r>
      <w:r w:rsidR="00903DDE">
        <w:t>4</w:t>
      </w:r>
      <w:bookmarkStart w:id="2" w:name="_GoBack"/>
      <w:bookmarkEnd w:id="2"/>
      <w:r>
        <w:t xml:space="preserve"> </w:t>
      </w:r>
      <w:proofErr w:type="spellStart"/>
      <w:r w:rsidR="008D237A">
        <w:t>juin</w:t>
      </w:r>
      <w:proofErr w:type="spellEnd"/>
      <w:r w:rsidR="00975827">
        <w:t> 20</w:t>
      </w:r>
      <w:r w:rsidR="00CA4166">
        <w:t>1</w:t>
      </w:r>
      <w:r w:rsidR="00EF4EB2">
        <w:t>5</w:t>
      </w:r>
    </w:p>
    <w:sectPr w:rsidR="00163F61" w:rsidSect="00CC13A4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2E9" w:rsidRPr="005C42E9" w:rsidRDefault="005C42E9" w:rsidP="005C42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1" w:name="Code2"/>
    <w:bookmarkEnd w:id="1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760F75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EA" w:rsidRDefault="00662BEA" w:rsidP="00477D6B">
    <w:pPr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903DDE">
      <w:rPr>
        <w:noProof/>
      </w:rPr>
      <w:t>3</w:t>
    </w:r>
    <w:r>
      <w:fldChar w:fldCharType="end"/>
    </w:r>
  </w:p>
  <w:p w:rsidR="00662BEA" w:rsidRDefault="00662BEA" w:rsidP="00477D6B">
    <w:pPr>
      <w:jc w:val="right"/>
    </w:pPr>
  </w:p>
  <w:p w:rsidR="00662BEA" w:rsidRDefault="00662BEA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28" w:rsidRDefault="00B53D28" w:rsidP="00B53D28">
    <w:pPr>
      <w:jc w:val="right"/>
    </w:pPr>
    <w:r>
      <w:t>2</w:t>
    </w:r>
  </w:p>
  <w:p w:rsidR="00B53D28" w:rsidRDefault="00B53D28" w:rsidP="00B53D28">
    <w:pPr>
      <w:jc w:val="right"/>
    </w:pPr>
  </w:p>
  <w:p w:rsidR="00B53D28" w:rsidRPr="000829E9" w:rsidRDefault="00B53D28" w:rsidP="00B53D2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7753FC"/>
    <w:multiLevelType w:val="hybridMultilevel"/>
    <w:tmpl w:val="78106BDC"/>
    <w:lvl w:ilvl="0" w:tplc="9EA815BE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UPOV_Beta|Test-WIPO|PreTradBeta|AT.WIPO|WIPONew"/>
    <w:docVar w:name="TermBaseURL" w:val="empty"/>
    <w:docVar w:name="TextBases" w:val="transmlp.wipo.int\Copyright\Meetings|transmlp.wipo.int\Administrative\Meetings|transmlp.wipo.int\Administrative\Other|transmlp.wipo.int\Administrative\Publications|transmlp.wipo.int\Budget and Finance\Meetings|transmlp.wipo.int\Budget and Finance\Other|transmlp.wipo.int\Budget and Finance\Publications|transmlp.wipo.int\Copyright\Other|transmlp.wipo.int\Copyright\Publications|transmlp.wipo.int\IP in General\Academy|transmlp.wipo.int\IP in General\Arbitration and Mediation|transmlp.wipo.int\IP in General\Meetings|transmlp.wipo.int\IP in General\Other|transmlp.wipo.int\IP in General\Press Room|transmlp.wipo.int\IP in General\Publications|transmlp.wipo.int\Patents\Meetings|transmlp.wipo.int\Patents\Other|transmlp.wipo.int\Patents\Publications|transmlp.wipo.int\Trademarks\Meetings|transmlp.wipo.int\Trademarks\Other|transmlp.wipo.int\Trademarks\Publications|transmlp.wipo.int\Treaties\WIPO-administered|transmlp.wipo.int\Glossaries\EN-FR|transmlp.wipo.int\IP in General\SpeechDG2014|transmlp.wipo.int\Treaties\Model Laws|transmlp.wipo.int\Treaties\Other Laws and Agreements|transmlp.wipo.int\UPOV\Meetings|transmlp.wipo.int\UPOV\Other|transmlp.wipo.int\UPOV\Publications|transmlp.wipo.int\UPOV\Technical Guidelines|transmlp.wipo.int\WorkspaceCTS\Test|transmlp.wipo.int\WorkspaceETS\FR-EN\Test|transmlp.wipo.int\WorkspaceETS\Test|transmlp.wipo.int\WorkspaceFTS\EN-FR\ACE|transmlp.wipo.int\WorkspaceFTS\EN-FR\Administratif|transmlp.wipo.int\WorkspaceFTS\EN-FR\AMC|transmlp.wipo.int\WorkspaceFTS\EN-FR\Assemblées|transmlp.wipo.int\WorkspaceFTS\EN-FR\Budapest|transmlp.wipo.int\WorkspaceFTS\EN-FR\CDIP|transmlp.wipo.int\WorkspaceFTS\EN-FR\CWS|transmlp.wipo.int\WorkspaceFTS\EN-FR\Divers|transmlp.wipo.int\WorkspaceFTS\EN-FR\GRTKF|transmlp.wipo.int\WorkspaceFTS\EN-FR\Hague|transmlp.wipo.int\WorkspaceFTS\EN-FR\IPC|transmlp.wipo.int\WorkspaceFTS\EN-FR\Lisbonne|transmlp.wipo.int\WorkspaceFTS\EN-FR\Madrid|transmlp.wipo.int\WorkspaceFTS\EN-FR\MP|transmlp.wipo.int\WorkspaceFTS\EN-FR\PCT|transmlp.wipo.int\WorkspaceFTS\EN-FR\PLT|transmlp.wipo.int\WorkspaceFTS\EN-FR\SCCR|transmlp.wipo.int\WorkspaceFTS\EN-FR\SCP|transmlp.wipo.int\WorkspaceFTS\EN-FR\SCT|transmlp.wipo.int\WorkspaceFTS\EN-FR\UPOV|transmlp.wipo.int\WorkspaceFTS\EN-FR\WO_CC|transmlp.wipo.int\WorkspaceFTS\EN-FR\WO_GA|transmlp.wipo.int\WorkspaceFTS\EN-FR\WO_PBC|transmlp.wipo.int\WorkspaceRTS\Test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822DE"/>
    <w:rsid w:val="000829E9"/>
    <w:rsid w:val="0009532F"/>
    <w:rsid w:val="000968ED"/>
    <w:rsid w:val="000A525D"/>
    <w:rsid w:val="000B7398"/>
    <w:rsid w:val="000C3428"/>
    <w:rsid w:val="000D3921"/>
    <w:rsid w:val="000E73ED"/>
    <w:rsid w:val="000F5E56"/>
    <w:rsid w:val="001272E3"/>
    <w:rsid w:val="00131BD8"/>
    <w:rsid w:val="00133F53"/>
    <w:rsid w:val="001362EE"/>
    <w:rsid w:val="001370D1"/>
    <w:rsid w:val="0013793B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3225"/>
    <w:rsid w:val="0022493E"/>
    <w:rsid w:val="00224A8A"/>
    <w:rsid w:val="00236E11"/>
    <w:rsid w:val="002408FD"/>
    <w:rsid w:val="00251890"/>
    <w:rsid w:val="0025278E"/>
    <w:rsid w:val="002634C4"/>
    <w:rsid w:val="00271540"/>
    <w:rsid w:val="002823CC"/>
    <w:rsid w:val="00284ACE"/>
    <w:rsid w:val="00285BE3"/>
    <w:rsid w:val="002928D3"/>
    <w:rsid w:val="002A2E4F"/>
    <w:rsid w:val="002B047A"/>
    <w:rsid w:val="002B6590"/>
    <w:rsid w:val="002C1554"/>
    <w:rsid w:val="002C168C"/>
    <w:rsid w:val="002C38D8"/>
    <w:rsid w:val="002C544F"/>
    <w:rsid w:val="002E1580"/>
    <w:rsid w:val="002E2078"/>
    <w:rsid w:val="002F016B"/>
    <w:rsid w:val="002F1FE6"/>
    <w:rsid w:val="002F4E68"/>
    <w:rsid w:val="002F589C"/>
    <w:rsid w:val="00312F7F"/>
    <w:rsid w:val="00317670"/>
    <w:rsid w:val="003235A0"/>
    <w:rsid w:val="00324A0A"/>
    <w:rsid w:val="00324A92"/>
    <w:rsid w:val="003339D7"/>
    <w:rsid w:val="0033593F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B7E74"/>
    <w:rsid w:val="003C2450"/>
    <w:rsid w:val="003C2CB7"/>
    <w:rsid w:val="003E0D9F"/>
    <w:rsid w:val="003E5040"/>
    <w:rsid w:val="004052E1"/>
    <w:rsid w:val="00411FB2"/>
    <w:rsid w:val="00414A9E"/>
    <w:rsid w:val="004232FD"/>
    <w:rsid w:val="00423C54"/>
    <w:rsid w:val="00423E3E"/>
    <w:rsid w:val="004255D7"/>
    <w:rsid w:val="00427AF4"/>
    <w:rsid w:val="00440639"/>
    <w:rsid w:val="004630B4"/>
    <w:rsid w:val="004647DA"/>
    <w:rsid w:val="00466BC7"/>
    <w:rsid w:val="0047006A"/>
    <w:rsid w:val="004738DE"/>
    <w:rsid w:val="00474062"/>
    <w:rsid w:val="00477D6B"/>
    <w:rsid w:val="00477EF9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32C1F"/>
    <w:rsid w:val="00546309"/>
    <w:rsid w:val="00546473"/>
    <w:rsid w:val="00546A94"/>
    <w:rsid w:val="00560A29"/>
    <w:rsid w:val="005621EC"/>
    <w:rsid w:val="00563C83"/>
    <w:rsid w:val="00563FB7"/>
    <w:rsid w:val="00566749"/>
    <w:rsid w:val="00566C48"/>
    <w:rsid w:val="005726EB"/>
    <w:rsid w:val="00574AB3"/>
    <w:rsid w:val="005855EB"/>
    <w:rsid w:val="005868B8"/>
    <w:rsid w:val="005909A2"/>
    <w:rsid w:val="0059245B"/>
    <w:rsid w:val="005A0B48"/>
    <w:rsid w:val="005A192B"/>
    <w:rsid w:val="005B4D03"/>
    <w:rsid w:val="005B5479"/>
    <w:rsid w:val="005C42E9"/>
    <w:rsid w:val="005C6649"/>
    <w:rsid w:val="005C720D"/>
    <w:rsid w:val="005E63C1"/>
    <w:rsid w:val="005F2F3B"/>
    <w:rsid w:val="00605827"/>
    <w:rsid w:val="00613134"/>
    <w:rsid w:val="00634AF5"/>
    <w:rsid w:val="00644AA2"/>
    <w:rsid w:val="00646050"/>
    <w:rsid w:val="00647B0C"/>
    <w:rsid w:val="00654AE9"/>
    <w:rsid w:val="00662BEA"/>
    <w:rsid w:val="006659A7"/>
    <w:rsid w:val="00665B2A"/>
    <w:rsid w:val="006713CA"/>
    <w:rsid w:val="00674ABA"/>
    <w:rsid w:val="00676C5C"/>
    <w:rsid w:val="00677A36"/>
    <w:rsid w:val="00684699"/>
    <w:rsid w:val="00685F88"/>
    <w:rsid w:val="00687B7E"/>
    <w:rsid w:val="006A143E"/>
    <w:rsid w:val="006A27A6"/>
    <w:rsid w:val="006D1756"/>
    <w:rsid w:val="006D375F"/>
    <w:rsid w:val="006D3AB3"/>
    <w:rsid w:val="006D529E"/>
    <w:rsid w:val="006F073B"/>
    <w:rsid w:val="006F33FF"/>
    <w:rsid w:val="007227A5"/>
    <w:rsid w:val="007303D8"/>
    <w:rsid w:val="00751766"/>
    <w:rsid w:val="00760F75"/>
    <w:rsid w:val="007641F5"/>
    <w:rsid w:val="00765FEF"/>
    <w:rsid w:val="00767C4D"/>
    <w:rsid w:val="00773CE3"/>
    <w:rsid w:val="00775EBD"/>
    <w:rsid w:val="00782581"/>
    <w:rsid w:val="00790A94"/>
    <w:rsid w:val="0079287D"/>
    <w:rsid w:val="007A0427"/>
    <w:rsid w:val="007A0BEF"/>
    <w:rsid w:val="007A0D38"/>
    <w:rsid w:val="007A1B85"/>
    <w:rsid w:val="007B7F73"/>
    <w:rsid w:val="007C3E9B"/>
    <w:rsid w:val="007D1613"/>
    <w:rsid w:val="007D250A"/>
    <w:rsid w:val="007E113D"/>
    <w:rsid w:val="007E6D40"/>
    <w:rsid w:val="007F4D09"/>
    <w:rsid w:val="007F62D1"/>
    <w:rsid w:val="00804EC4"/>
    <w:rsid w:val="00824519"/>
    <w:rsid w:val="00841ED0"/>
    <w:rsid w:val="00853FA8"/>
    <w:rsid w:val="00854071"/>
    <w:rsid w:val="00854FDF"/>
    <w:rsid w:val="00885618"/>
    <w:rsid w:val="00886684"/>
    <w:rsid w:val="008929D1"/>
    <w:rsid w:val="008948BE"/>
    <w:rsid w:val="008977D0"/>
    <w:rsid w:val="008A175B"/>
    <w:rsid w:val="008B23F7"/>
    <w:rsid w:val="008B2CC1"/>
    <w:rsid w:val="008B3FAB"/>
    <w:rsid w:val="008B60B2"/>
    <w:rsid w:val="008C2D2F"/>
    <w:rsid w:val="008C2FE6"/>
    <w:rsid w:val="008D237A"/>
    <w:rsid w:val="008F1F70"/>
    <w:rsid w:val="00903DDE"/>
    <w:rsid w:val="0090731E"/>
    <w:rsid w:val="00916EE2"/>
    <w:rsid w:val="00922789"/>
    <w:rsid w:val="009378BE"/>
    <w:rsid w:val="00940793"/>
    <w:rsid w:val="00943E32"/>
    <w:rsid w:val="009449F2"/>
    <w:rsid w:val="00965EC2"/>
    <w:rsid w:val="00966A22"/>
    <w:rsid w:val="0096722F"/>
    <w:rsid w:val="00975827"/>
    <w:rsid w:val="0097652C"/>
    <w:rsid w:val="00980843"/>
    <w:rsid w:val="009820CB"/>
    <w:rsid w:val="00987E9A"/>
    <w:rsid w:val="00992A2D"/>
    <w:rsid w:val="00997AAD"/>
    <w:rsid w:val="009A26B2"/>
    <w:rsid w:val="009A591F"/>
    <w:rsid w:val="009C0C04"/>
    <w:rsid w:val="009E2791"/>
    <w:rsid w:val="009E3F6F"/>
    <w:rsid w:val="009E5F9F"/>
    <w:rsid w:val="009E72BA"/>
    <w:rsid w:val="009F2952"/>
    <w:rsid w:val="009F2A14"/>
    <w:rsid w:val="009F499F"/>
    <w:rsid w:val="00A04B6E"/>
    <w:rsid w:val="00A1475F"/>
    <w:rsid w:val="00A1570B"/>
    <w:rsid w:val="00A21684"/>
    <w:rsid w:val="00A25430"/>
    <w:rsid w:val="00A2622E"/>
    <w:rsid w:val="00A27748"/>
    <w:rsid w:val="00A34B65"/>
    <w:rsid w:val="00A353ED"/>
    <w:rsid w:val="00A42DAF"/>
    <w:rsid w:val="00A43C0A"/>
    <w:rsid w:val="00A456E7"/>
    <w:rsid w:val="00A45BD8"/>
    <w:rsid w:val="00A50380"/>
    <w:rsid w:val="00A64371"/>
    <w:rsid w:val="00A7197A"/>
    <w:rsid w:val="00A869B7"/>
    <w:rsid w:val="00A908E3"/>
    <w:rsid w:val="00A94E39"/>
    <w:rsid w:val="00AA1EEF"/>
    <w:rsid w:val="00AC205C"/>
    <w:rsid w:val="00AC76CA"/>
    <w:rsid w:val="00AD0AD3"/>
    <w:rsid w:val="00AD1D90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3D28"/>
    <w:rsid w:val="00B54D7D"/>
    <w:rsid w:val="00B71605"/>
    <w:rsid w:val="00B81C04"/>
    <w:rsid w:val="00B83157"/>
    <w:rsid w:val="00B85937"/>
    <w:rsid w:val="00B9734B"/>
    <w:rsid w:val="00B97A85"/>
    <w:rsid w:val="00BA59F8"/>
    <w:rsid w:val="00BA63F6"/>
    <w:rsid w:val="00BA6DE5"/>
    <w:rsid w:val="00BA767A"/>
    <w:rsid w:val="00BB30F3"/>
    <w:rsid w:val="00BB78C7"/>
    <w:rsid w:val="00BD1BF1"/>
    <w:rsid w:val="00BD1ECD"/>
    <w:rsid w:val="00BE55D6"/>
    <w:rsid w:val="00BE5857"/>
    <w:rsid w:val="00C11BFE"/>
    <w:rsid w:val="00C146FC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977DB"/>
    <w:rsid w:val="00CA3D77"/>
    <w:rsid w:val="00CA4166"/>
    <w:rsid w:val="00CB132F"/>
    <w:rsid w:val="00CB13CA"/>
    <w:rsid w:val="00CB2AEB"/>
    <w:rsid w:val="00CB5A5D"/>
    <w:rsid w:val="00CC13A4"/>
    <w:rsid w:val="00CC2C77"/>
    <w:rsid w:val="00CC5016"/>
    <w:rsid w:val="00CD3F54"/>
    <w:rsid w:val="00CE0A51"/>
    <w:rsid w:val="00CE0F4D"/>
    <w:rsid w:val="00CE6390"/>
    <w:rsid w:val="00CF4536"/>
    <w:rsid w:val="00D01FB2"/>
    <w:rsid w:val="00D22BD4"/>
    <w:rsid w:val="00D30CC7"/>
    <w:rsid w:val="00D31C2F"/>
    <w:rsid w:val="00D409DF"/>
    <w:rsid w:val="00D40A98"/>
    <w:rsid w:val="00D424EC"/>
    <w:rsid w:val="00D45252"/>
    <w:rsid w:val="00D51422"/>
    <w:rsid w:val="00D57F87"/>
    <w:rsid w:val="00D57F90"/>
    <w:rsid w:val="00D71B4D"/>
    <w:rsid w:val="00D758E7"/>
    <w:rsid w:val="00D76F38"/>
    <w:rsid w:val="00D826FA"/>
    <w:rsid w:val="00D90EE5"/>
    <w:rsid w:val="00D91625"/>
    <w:rsid w:val="00D93018"/>
    <w:rsid w:val="00D93D55"/>
    <w:rsid w:val="00DB42CB"/>
    <w:rsid w:val="00DC3E50"/>
    <w:rsid w:val="00E00B14"/>
    <w:rsid w:val="00E210C4"/>
    <w:rsid w:val="00E213EE"/>
    <w:rsid w:val="00E2644B"/>
    <w:rsid w:val="00E335FE"/>
    <w:rsid w:val="00E42B9A"/>
    <w:rsid w:val="00E4392E"/>
    <w:rsid w:val="00E52C2C"/>
    <w:rsid w:val="00E532DC"/>
    <w:rsid w:val="00E66C2C"/>
    <w:rsid w:val="00E77D94"/>
    <w:rsid w:val="00EB50E5"/>
    <w:rsid w:val="00EC23FC"/>
    <w:rsid w:val="00EC4E49"/>
    <w:rsid w:val="00ED4C4F"/>
    <w:rsid w:val="00ED77FB"/>
    <w:rsid w:val="00EE2DF9"/>
    <w:rsid w:val="00EE45FA"/>
    <w:rsid w:val="00EE5748"/>
    <w:rsid w:val="00EF0146"/>
    <w:rsid w:val="00EF1543"/>
    <w:rsid w:val="00EF4EB2"/>
    <w:rsid w:val="00F05D67"/>
    <w:rsid w:val="00F06DF3"/>
    <w:rsid w:val="00F0720F"/>
    <w:rsid w:val="00F201C4"/>
    <w:rsid w:val="00F24524"/>
    <w:rsid w:val="00F37F68"/>
    <w:rsid w:val="00F52AC0"/>
    <w:rsid w:val="00F62CDB"/>
    <w:rsid w:val="00F64B5E"/>
    <w:rsid w:val="00F66152"/>
    <w:rsid w:val="00F7721F"/>
    <w:rsid w:val="00FB3AF4"/>
    <w:rsid w:val="00FC3D36"/>
    <w:rsid w:val="00FC4C8A"/>
    <w:rsid w:val="00FD26A4"/>
    <w:rsid w:val="00FD385B"/>
    <w:rsid w:val="00FF3F8D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D36D-25E5-4C3E-A3BB-F6B4E346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NGR/NGG/mhf</cp:keywords>
  <cp:lastModifiedBy>DIAZ Natacha</cp:lastModifiedBy>
  <cp:revision>9</cp:revision>
  <cp:lastPrinted>2015-06-01T09:21:00Z</cp:lastPrinted>
  <dcterms:created xsi:type="dcterms:W3CDTF">2015-06-01T08:55:00Z</dcterms:created>
  <dcterms:modified xsi:type="dcterms:W3CDTF">2015-06-04T13:03:00Z</dcterms:modified>
</cp:coreProperties>
</file>