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CB076C">
              <w:rPr>
                <w:rFonts w:ascii="Arial Black" w:hAnsi="Arial Black"/>
                <w:color w:val="000000"/>
                <w:sz w:val="15"/>
                <w:lang w:val="es-ES_tradnl"/>
              </w:rPr>
              <w:t>7</w:t>
            </w:r>
            <w:r w:rsidR="00983198">
              <w:rPr>
                <w:rFonts w:ascii="Arial Black" w:hAnsi="Arial Black"/>
                <w:color w:val="000000"/>
                <w:sz w:val="15"/>
                <w:lang w:val="es-ES_tradnl"/>
              </w:rPr>
              <w:t>/2017</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D06E7B">
        <w:rPr>
          <w:b/>
          <w:sz w:val="24"/>
          <w:szCs w:val="24"/>
          <w:lang w:val="es-ES_tradnl"/>
        </w:rPr>
        <w:t>Turquía</w:t>
      </w:r>
      <w:proofErr w:type="gramEnd"/>
    </w:p>
    <w:p w:rsidR="00417D19" w:rsidRPr="00E376AC" w:rsidRDefault="00610854" w:rsidP="00D06E7B">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D06E7B" w:rsidRPr="00D06E7B">
        <w:rPr>
          <w:lang w:val="es-ES_tradnl" w:eastAsia="ja-JP"/>
        </w:rPr>
        <w:t>Turquía</w:t>
      </w:r>
      <w:r w:rsidR="001935A7" w:rsidRPr="001935A7">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006571B0">
        <w:rPr>
          <w:lang w:val="es-ES_tradnl" w:eastAsia="ja-JP"/>
        </w:rPr>
        <w:t xml:space="preserve"> registro internacional y</w:t>
      </w:r>
      <w:r w:rsidRPr="00E376AC">
        <w:rPr>
          <w:lang w:val="es-ES_tradnl" w:eastAsia="ja-JP"/>
        </w:rPr>
        <w:t xml:space="preserve"> en caso de renovación de un registro internacional</w:t>
      </w:r>
      <w:r w:rsidR="00850844" w:rsidRPr="00E376AC">
        <w:rPr>
          <w:lang w:val="es-ES_tradnl" w:eastAsia="ja-JP"/>
        </w:rPr>
        <w:t xml:space="preserve"> en el cual se haya designado </w:t>
      </w:r>
      <w:r w:rsidR="0066790B">
        <w:rPr>
          <w:lang w:val="es-ES_tradnl" w:eastAsia="ja-JP"/>
        </w:rPr>
        <w:t xml:space="preserve">a </w:t>
      </w:r>
      <w:r w:rsidR="00D06E7B" w:rsidRPr="00D06E7B">
        <w:rPr>
          <w:lang w:val="es-ES_tradnl" w:eastAsia="ja-JP"/>
        </w:rPr>
        <w:t>Turquía</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957D87" w:rsidRDefault="00610854">
            <w:pPr>
              <w:rPr>
                <w:lang w:val="es-ES_tradnl"/>
              </w:rPr>
            </w:pPr>
          </w:p>
          <w:p w:rsidR="00610854" w:rsidRPr="00957D87" w:rsidRDefault="001909DE">
            <w:pPr>
              <w:jc w:val="center"/>
              <w:rPr>
                <w:lang w:val="es-ES_tradnl"/>
              </w:rPr>
            </w:pPr>
            <w:r w:rsidRPr="00957D87">
              <w:rPr>
                <w:lang w:val="es-ES_tradnl"/>
              </w:rPr>
              <w:t xml:space="preserve"> </w:t>
            </w:r>
            <w:r w:rsidR="002C2CB6" w:rsidRPr="00957D87">
              <w:rPr>
                <w:lang w:val="es-ES_tradnl"/>
              </w:rPr>
              <w:t xml:space="preserve"> </w:t>
            </w:r>
            <w:r w:rsidR="00957D87" w:rsidRPr="00957D87">
              <w:rPr>
                <w:lang w:val="es-ES_tradnl"/>
              </w:rPr>
              <w:t>143</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957D87" w:rsidRDefault="00D9355B">
            <w:pPr>
              <w:jc w:val="center"/>
              <w:rPr>
                <w:rFonts w:eastAsia="MS Mincho"/>
                <w:szCs w:val="22"/>
                <w:lang w:val="es-ES_tradnl" w:eastAsia="ja-JP"/>
              </w:rPr>
            </w:pPr>
          </w:p>
          <w:p w:rsidR="00D9355B" w:rsidRPr="00957D87" w:rsidRDefault="00D9355B">
            <w:pPr>
              <w:jc w:val="center"/>
              <w:rPr>
                <w:rFonts w:eastAsia="MS Mincho"/>
                <w:szCs w:val="22"/>
                <w:lang w:val="es-ES_tradnl" w:eastAsia="ja-JP"/>
              </w:rPr>
            </w:pPr>
            <w:r w:rsidRPr="00957D87">
              <w:rPr>
                <w:rFonts w:eastAsia="MS Mincho"/>
                <w:szCs w:val="22"/>
                <w:lang w:val="es-ES_tradnl" w:eastAsia="ja-JP"/>
              </w:rPr>
              <w:t xml:space="preserve">   </w:t>
            </w:r>
            <w:r w:rsidR="00957D87" w:rsidRPr="00957D87">
              <w:rPr>
                <w:rFonts w:eastAsia="MS Mincho"/>
                <w:szCs w:val="22"/>
                <w:lang w:val="es-ES_tradnl" w:eastAsia="ja-JP"/>
              </w:rPr>
              <w:t>28</w:t>
            </w:r>
          </w:p>
          <w:p w:rsidR="00D9355B" w:rsidRPr="00957D87" w:rsidRDefault="00D9355B" w:rsidP="00D9355B">
            <w:pPr>
              <w:rPr>
                <w:rFonts w:eastAsia="MS Mincho"/>
                <w:szCs w:val="22"/>
                <w:lang w:val="es-ES_tradnl" w:eastAsia="ja-JP"/>
              </w:rPr>
            </w:pPr>
          </w:p>
        </w:tc>
      </w:tr>
      <w:tr w:rsidR="001935A7" w:rsidRPr="001909DE" w:rsidTr="001935A7">
        <w:trPr>
          <w:trHeight w:val="701"/>
        </w:trPr>
        <w:tc>
          <w:tcPr>
            <w:tcW w:w="1985" w:type="dxa"/>
            <w:tcBorders>
              <w:top w:val="single" w:sz="4" w:space="0" w:color="auto"/>
              <w:left w:val="single" w:sz="4" w:space="0" w:color="auto"/>
              <w:bottom w:val="single" w:sz="4" w:space="0" w:color="auto"/>
              <w:right w:val="single" w:sz="4" w:space="0" w:color="auto"/>
            </w:tcBorders>
          </w:tcPr>
          <w:p w:rsidR="001935A7" w:rsidRPr="001909DE" w:rsidRDefault="001935A7">
            <w:pPr>
              <w:rPr>
                <w:lang w:val="es-ES_tradnl"/>
              </w:rPr>
            </w:pPr>
          </w:p>
          <w:p w:rsidR="001935A7" w:rsidRPr="001909DE" w:rsidRDefault="001935A7" w:rsidP="001935A7">
            <w:pPr>
              <w:jc w:val="center"/>
              <w:rPr>
                <w:lang w:val="es-ES_tradnl"/>
              </w:rPr>
            </w:pPr>
            <w:r w:rsidRPr="001909DE">
              <w:rPr>
                <w:lang w:val="es-ES_tradnl"/>
              </w:rPr>
              <w:t>Renovación</w:t>
            </w:r>
          </w:p>
          <w:p w:rsidR="001935A7" w:rsidRPr="001909DE" w:rsidRDefault="001935A7">
            <w:pPr>
              <w:rPr>
                <w:lang w:val="es-ES_tradnl"/>
              </w:rPr>
            </w:pPr>
          </w:p>
        </w:tc>
        <w:tc>
          <w:tcPr>
            <w:tcW w:w="4725" w:type="dxa"/>
            <w:tcBorders>
              <w:top w:val="single" w:sz="4" w:space="0" w:color="auto"/>
              <w:left w:val="single" w:sz="4" w:space="0" w:color="auto"/>
              <w:right w:val="single" w:sz="4" w:space="0" w:color="auto"/>
            </w:tcBorders>
          </w:tcPr>
          <w:p w:rsidR="001935A7" w:rsidRPr="001909DE" w:rsidRDefault="001935A7">
            <w:pPr>
              <w:rPr>
                <w:lang w:val="es-ES_tradnl"/>
              </w:rPr>
            </w:pPr>
          </w:p>
          <w:p w:rsidR="001935A7" w:rsidRPr="001909DE" w:rsidRDefault="001935A7" w:rsidP="001935A7">
            <w:pPr>
              <w:rPr>
                <w:lang w:val="es-ES_tradnl"/>
              </w:rPr>
            </w:pPr>
            <w:r w:rsidRPr="001909DE">
              <w:rPr>
                <w:lang w:val="es-ES_tradnl"/>
              </w:rPr>
              <w:t xml:space="preserve">–  </w:t>
            </w:r>
            <w:r w:rsidR="00FE7445" w:rsidRPr="00FE7445">
              <w:rPr>
                <w:lang w:val="es-ES_tradnl"/>
              </w:rPr>
              <w:t>independientemente del número de clases</w:t>
            </w:r>
          </w:p>
        </w:tc>
        <w:tc>
          <w:tcPr>
            <w:tcW w:w="2200" w:type="dxa"/>
            <w:tcBorders>
              <w:top w:val="single" w:sz="4" w:space="0" w:color="auto"/>
              <w:left w:val="single" w:sz="4" w:space="0" w:color="auto"/>
              <w:right w:val="single" w:sz="4" w:space="0" w:color="auto"/>
            </w:tcBorders>
          </w:tcPr>
          <w:p w:rsidR="001935A7" w:rsidRPr="00957D87" w:rsidRDefault="001935A7">
            <w:pPr>
              <w:jc w:val="center"/>
              <w:rPr>
                <w:rFonts w:eastAsia="MS Mincho"/>
                <w:szCs w:val="22"/>
                <w:lang w:val="es-ES_tradnl" w:eastAsia="ja-JP"/>
              </w:rPr>
            </w:pPr>
          </w:p>
          <w:p w:rsidR="001935A7" w:rsidRPr="00957D87" w:rsidRDefault="002C2CB6">
            <w:pPr>
              <w:jc w:val="center"/>
              <w:rPr>
                <w:rFonts w:eastAsia="MS Mincho"/>
                <w:szCs w:val="22"/>
                <w:lang w:val="es-ES_tradnl" w:eastAsia="ja-JP"/>
              </w:rPr>
            </w:pPr>
            <w:r w:rsidRPr="00957D87">
              <w:rPr>
                <w:rFonts w:eastAsia="MS Mincho"/>
                <w:szCs w:val="22"/>
                <w:lang w:val="es-ES_tradnl" w:eastAsia="ja-JP"/>
              </w:rPr>
              <w:t xml:space="preserve">  </w:t>
            </w:r>
            <w:r w:rsidR="00957D87" w:rsidRPr="00957D87">
              <w:rPr>
                <w:rFonts w:eastAsia="MS Mincho"/>
                <w:szCs w:val="22"/>
                <w:lang w:val="es-ES_tradnl" w:eastAsia="ja-JP"/>
              </w:rPr>
              <w:t>140</w:t>
            </w:r>
          </w:p>
          <w:p w:rsidR="001935A7" w:rsidRPr="00957D87" w:rsidRDefault="001935A7" w:rsidP="001935A7">
            <w:pPr>
              <w:rPr>
                <w:rFonts w:eastAsia="MS Mincho"/>
                <w:szCs w:val="22"/>
                <w:lang w:val="es-ES_tradnl" w:eastAsia="ja-JP"/>
              </w:rPr>
            </w:pPr>
          </w:p>
        </w:tc>
      </w:tr>
    </w:tbl>
    <w:p w:rsidR="002E5166" w:rsidRPr="00E376AC" w:rsidRDefault="002E5166" w:rsidP="0059431F">
      <w:pPr>
        <w:pStyle w:val="ONUMFS"/>
        <w:numPr>
          <w:ilvl w:val="0"/>
          <w:numId w:val="0"/>
        </w:numPr>
        <w:spacing w:after="0"/>
        <w:rPr>
          <w:lang w:val="es-ES_tradnl"/>
        </w:rPr>
      </w:pPr>
    </w:p>
    <w:p w:rsidR="00846BC8" w:rsidRPr="00846BC8" w:rsidRDefault="0027396E" w:rsidP="00D06E7B">
      <w:pPr>
        <w:pStyle w:val="ONUMFS"/>
        <w:rPr>
          <w:lang w:val="es-ES_tradnl" w:eastAsia="ja-JP"/>
        </w:rPr>
      </w:pPr>
      <w:r w:rsidRPr="00E376AC">
        <w:rPr>
          <w:lang w:val="es-ES_tradnl" w:eastAsia="ja-JP"/>
        </w:rPr>
        <w:t xml:space="preserve">Esta modificación entrará en vigor el </w:t>
      </w:r>
      <w:r w:rsidR="00CB076C">
        <w:rPr>
          <w:lang w:val="es-ES_tradnl" w:eastAsia="ja-JP"/>
        </w:rPr>
        <w:t>30</w:t>
      </w:r>
      <w:r w:rsidRPr="00E376AC">
        <w:rPr>
          <w:lang w:val="es-ES_tradnl" w:eastAsia="ja-JP"/>
        </w:rPr>
        <w:t xml:space="preserve"> de </w:t>
      </w:r>
      <w:r w:rsidR="00983198">
        <w:rPr>
          <w:lang w:val="es-ES_tradnl" w:eastAsia="ja-JP"/>
        </w:rPr>
        <w:t>abril de 2017</w:t>
      </w:r>
      <w:r w:rsidRPr="00E376AC">
        <w:rPr>
          <w:lang w:val="es-ES_tradnl" w:eastAsia="ja-JP"/>
        </w:rPr>
        <w:t xml:space="preserve">.  Por tanto, estos importes se abonarán cuando </w:t>
      </w:r>
      <w:r w:rsidR="00D06E7B" w:rsidRPr="00D06E7B">
        <w:rPr>
          <w:lang w:val="es-ES_tradnl" w:eastAsia="ja-JP"/>
        </w:rPr>
        <w:t>Turquía</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w:t>
      </w:r>
      <w:r w:rsidR="00983198">
        <w:rPr>
          <w:rFonts w:eastAsia="MS Mincho"/>
          <w:szCs w:val="22"/>
          <w:lang w:val="es-ES_tradnl" w:eastAsia="ja-JP"/>
        </w:rPr>
        <w:t xml:space="preserve">rnacional que se haya recibido </w:t>
      </w:r>
      <w:r w:rsidR="0027396E" w:rsidRPr="00E376AC">
        <w:rPr>
          <w:rFonts w:eastAsia="MS Mincho"/>
          <w:szCs w:val="22"/>
          <w:lang w:val="es-ES_tradnl" w:eastAsia="ja-JP"/>
        </w:rPr>
        <w:t>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CB076C" w:rsidP="00290DA5">
      <w:pPr>
        <w:pStyle w:val="Endofdocument-Annex"/>
        <w:rPr>
          <w:lang w:val="es-ES_tradnl"/>
        </w:rPr>
      </w:pPr>
      <w:r>
        <w:rPr>
          <w:lang w:val="es-ES_tradnl"/>
        </w:rPr>
        <w:t>30</w:t>
      </w:r>
      <w:r w:rsidR="00A27D7A" w:rsidRPr="00E376AC">
        <w:rPr>
          <w:lang w:val="es-ES_tradnl"/>
        </w:rPr>
        <w:t xml:space="preserve"> de </w:t>
      </w:r>
      <w:r w:rsidR="00983198">
        <w:rPr>
          <w:lang w:val="es-ES_tradnl"/>
        </w:rPr>
        <w:t>marzo de 2017</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5F067B">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5CB0"/>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935A7"/>
    <w:rsid w:val="001C2D7E"/>
    <w:rsid w:val="001C6475"/>
    <w:rsid w:val="001E3850"/>
    <w:rsid w:val="001F1B95"/>
    <w:rsid w:val="001F717F"/>
    <w:rsid w:val="00202410"/>
    <w:rsid w:val="0020551F"/>
    <w:rsid w:val="00213E14"/>
    <w:rsid w:val="0022493E"/>
    <w:rsid w:val="00251890"/>
    <w:rsid w:val="0025278E"/>
    <w:rsid w:val="002634C4"/>
    <w:rsid w:val="00266653"/>
    <w:rsid w:val="00271292"/>
    <w:rsid w:val="00271540"/>
    <w:rsid w:val="0027396E"/>
    <w:rsid w:val="00275D8E"/>
    <w:rsid w:val="00290DA5"/>
    <w:rsid w:val="002928D3"/>
    <w:rsid w:val="002A2E4F"/>
    <w:rsid w:val="002C1554"/>
    <w:rsid w:val="002C2267"/>
    <w:rsid w:val="002C2CB6"/>
    <w:rsid w:val="002C34BE"/>
    <w:rsid w:val="002C38D8"/>
    <w:rsid w:val="002C6D52"/>
    <w:rsid w:val="002D4C58"/>
    <w:rsid w:val="002D5FFD"/>
    <w:rsid w:val="002E5166"/>
    <w:rsid w:val="002E6718"/>
    <w:rsid w:val="002F1FE6"/>
    <w:rsid w:val="002F4E68"/>
    <w:rsid w:val="00312F7F"/>
    <w:rsid w:val="00317670"/>
    <w:rsid w:val="00331119"/>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34CF"/>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067B"/>
    <w:rsid w:val="005F2F3B"/>
    <w:rsid w:val="00600876"/>
    <w:rsid w:val="00604A1B"/>
    <w:rsid w:val="00605827"/>
    <w:rsid w:val="00610854"/>
    <w:rsid w:val="006262BB"/>
    <w:rsid w:val="00644AA2"/>
    <w:rsid w:val="00646050"/>
    <w:rsid w:val="00647B0C"/>
    <w:rsid w:val="00651E58"/>
    <w:rsid w:val="00654AE9"/>
    <w:rsid w:val="006571B0"/>
    <w:rsid w:val="006659A7"/>
    <w:rsid w:val="0066790B"/>
    <w:rsid w:val="006713CA"/>
    <w:rsid w:val="00674ABA"/>
    <w:rsid w:val="00676C5C"/>
    <w:rsid w:val="00684699"/>
    <w:rsid w:val="00684E28"/>
    <w:rsid w:val="006D529E"/>
    <w:rsid w:val="006F073B"/>
    <w:rsid w:val="006F2878"/>
    <w:rsid w:val="006F33FF"/>
    <w:rsid w:val="0071201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46BC8"/>
    <w:rsid w:val="00850844"/>
    <w:rsid w:val="00851F65"/>
    <w:rsid w:val="00853FA8"/>
    <w:rsid w:val="00854071"/>
    <w:rsid w:val="00885618"/>
    <w:rsid w:val="008948BE"/>
    <w:rsid w:val="008977D0"/>
    <w:rsid w:val="008A62A5"/>
    <w:rsid w:val="008B23F7"/>
    <w:rsid w:val="008B2CC1"/>
    <w:rsid w:val="008B60B2"/>
    <w:rsid w:val="008C2D2F"/>
    <w:rsid w:val="008C2FE6"/>
    <w:rsid w:val="008F1F70"/>
    <w:rsid w:val="008F21E0"/>
    <w:rsid w:val="00901B6B"/>
    <w:rsid w:val="0090731E"/>
    <w:rsid w:val="009132ED"/>
    <w:rsid w:val="009162E2"/>
    <w:rsid w:val="00916EE2"/>
    <w:rsid w:val="00922789"/>
    <w:rsid w:val="009378BE"/>
    <w:rsid w:val="00940793"/>
    <w:rsid w:val="00943635"/>
    <w:rsid w:val="00957D87"/>
    <w:rsid w:val="00965EC2"/>
    <w:rsid w:val="00966A22"/>
    <w:rsid w:val="0096722F"/>
    <w:rsid w:val="00975DC9"/>
    <w:rsid w:val="00980843"/>
    <w:rsid w:val="009820CB"/>
    <w:rsid w:val="00983198"/>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73CA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76C"/>
    <w:rsid w:val="00CB0F2D"/>
    <w:rsid w:val="00CB132F"/>
    <w:rsid w:val="00CB13CA"/>
    <w:rsid w:val="00CB4A09"/>
    <w:rsid w:val="00CB5E7A"/>
    <w:rsid w:val="00CB5FAB"/>
    <w:rsid w:val="00CC2811"/>
    <w:rsid w:val="00CC5016"/>
    <w:rsid w:val="00CE0A51"/>
    <w:rsid w:val="00CE0F4D"/>
    <w:rsid w:val="00CE29AF"/>
    <w:rsid w:val="00CE3507"/>
    <w:rsid w:val="00CE6390"/>
    <w:rsid w:val="00CF4536"/>
    <w:rsid w:val="00D06E7B"/>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55B"/>
    <w:rsid w:val="00D93D55"/>
    <w:rsid w:val="00D95311"/>
    <w:rsid w:val="00DA796A"/>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AC9"/>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0F8F"/>
    <w:rsid w:val="00FA58D7"/>
    <w:rsid w:val="00FC23E1"/>
    <w:rsid w:val="00FC3D36"/>
    <w:rsid w:val="00FC4C8A"/>
    <w:rsid w:val="00FC7B76"/>
    <w:rsid w:val="00FE0E35"/>
    <w:rsid w:val="00FE744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MLD</cp:lastModifiedBy>
  <cp:revision>7</cp:revision>
  <cp:lastPrinted>2017-03-30T08:00:00Z</cp:lastPrinted>
  <dcterms:created xsi:type="dcterms:W3CDTF">2017-03-01T10:39:00Z</dcterms:created>
  <dcterms:modified xsi:type="dcterms:W3CDTF">2017-03-30T08:00:00Z</dcterms:modified>
</cp:coreProperties>
</file>