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82123" w:rsidTr="00CC5016">
        <w:tc>
          <w:tcPr>
            <w:tcW w:w="4513" w:type="dxa"/>
            <w:tcBorders>
              <w:bottom w:val="single" w:sz="4" w:space="0" w:color="auto"/>
            </w:tcBorders>
            <w:tcMar>
              <w:bottom w:w="170" w:type="dxa"/>
            </w:tcMar>
          </w:tcPr>
          <w:p w:rsidR="00EC4E49" w:rsidRPr="00282123" w:rsidRDefault="00EC4E49" w:rsidP="00916EE2">
            <w:pPr>
              <w:rPr>
                <w:lang w:val="es-ES"/>
              </w:rPr>
            </w:pPr>
          </w:p>
        </w:tc>
        <w:tc>
          <w:tcPr>
            <w:tcW w:w="4337" w:type="dxa"/>
            <w:tcBorders>
              <w:bottom w:val="single" w:sz="4" w:space="0" w:color="auto"/>
            </w:tcBorders>
            <w:tcMar>
              <w:left w:w="0" w:type="dxa"/>
              <w:right w:w="0" w:type="dxa"/>
            </w:tcMar>
          </w:tcPr>
          <w:p w:rsidR="00EC4E49" w:rsidRPr="00282123" w:rsidRDefault="003359FF" w:rsidP="00916EE2">
            <w:pPr>
              <w:rPr>
                <w:lang w:val="es-ES"/>
              </w:rPr>
            </w:pPr>
            <w:r w:rsidRPr="00282123">
              <w:rPr>
                <w:noProof/>
                <w:lang w:eastAsia="en-US"/>
              </w:rPr>
              <w:drawing>
                <wp:inline distT="0" distB="0" distL="0" distR="0" wp14:anchorId="60AF1947" wp14:editId="3869B34D">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82123" w:rsidRDefault="00EC4E49" w:rsidP="00916EE2">
            <w:pPr>
              <w:jc w:val="right"/>
              <w:rPr>
                <w:lang w:val="es-ES"/>
              </w:rPr>
            </w:pPr>
          </w:p>
        </w:tc>
      </w:tr>
      <w:tr w:rsidR="008B2CC1" w:rsidRPr="00282123" w:rsidTr="00916EE2">
        <w:trPr>
          <w:trHeight w:hRule="exact" w:val="170"/>
        </w:trPr>
        <w:tc>
          <w:tcPr>
            <w:tcW w:w="9356" w:type="dxa"/>
            <w:gridSpan w:val="3"/>
            <w:noWrap/>
            <w:tcMar>
              <w:left w:w="0" w:type="dxa"/>
              <w:right w:w="0" w:type="dxa"/>
            </w:tcMar>
            <w:vAlign w:val="bottom"/>
          </w:tcPr>
          <w:p w:rsidR="008B2CC1" w:rsidRPr="00282123" w:rsidRDefault="008B2CC1" w:rsidP="00916EE2">
            <w:pPr>
              <w:jc w:val="right"/>
              <w:rPr>
                <w:rFonts w:ascii="Arial Black" w:hAnsi="Arial Black"/>
                <w:caps/>
                <w:sz w:val="15"/>
                <w:lang w:val="es-ES"/>
              </w:rPr>
            </w:pPr>
            <w:bookmarkStart w:id="0" w:name="Original"/>
            <w:bookmarkEnd w:id="0"/>
          </w:p>
        </w:tc>
      </w:tr>
      <w:tr w:rsidR="008B2CC1" w:rsidRPr="00282123" w:rsidTr="00916EE2">
        <w:trPr>
          <w:trHeight w:hRule="exact" w:val="198"/>
        </w:trPr>
        <w:tc>
          <w:tcPr>
            <w:tcW w:w="9356" w:type="dxa"/>
            <w:gridSpan w:val="3"/>
            <w:tcMar>
              <w:left w:w="0" w:type="dxa"/>
              <w:right w:w="0" w:type="dxa"/>
            </w:tcMar>
            <w:vAlign w:val="bottom"/>
          </w:tcPr>
          <w:p w:rsidR="008B2CC1" w:rsidRPr="00282123" w:rsidRDefault="003359FF" w:rsidP="00060ED6">
            <w:pPr>
              <w:jc w:val="right"/>
              <w:rPr>
                <w:rFonts w:ascii="Arial Black" w:hAnsi="Arial Black"/>
                <w:caps/>
                <w:sz w:val="15"/>
                <w:lang w:val="es-ES"/>
              </w:rPr>
            </w:pPr>
            <w:r w:rsidRPr="00282123">
              <w:rPr>
                <w:rFonts w:ascii="Arial Black" w:hAnsi="Arial Black"/>
                <w:caps/>
                <w:sz w:val="15"/>
                <w:lang w:val="es-ES"/>
              </w:rPr>
              <w:t>Aviso</w:t>
            </w:r>
            <w:r w:rsidR="00CC5016" w:rsidRPr="00282123">
              <w:rPr>
                <w:rFonts w:ascii="Arial Black" w:hAnsi="Arial Black"/>
                <w:caps/>
                <w:sz w:val="15"/>
                <w:lang w:val="es-ES"/>
              </w:rPr>
              <w:t xml:space="preserve"> N</w:t>
            </w:r>
            <w:r w:rsidRPr="00282123">
              <w:rPr>
                <w:rFonts w:ascii="Arial Black" w:hAnsi="Arial Black"/>
                <w:caps/>
                <w:sz w:val="15"/>
                <w:lang w:val="es-ES"/>
              </w:rPr>
              <w:t>.º</w:t>
            </w:r>
            <w:r w:rsidR="00CC5016" w:rsidRPr="00282123">
              <w:rPr>
                <w:rFonts w:ascii="Arial Black" w:hAnsi="Arial Black"/>
                <w:caps/>
                <w:sz w:val="15"/>
                <w:lang w:val="es-ES"/>
              </w:rPr>
              <w:t xml:space="preserve"> </w:t>
            </w:r>
            <w:r w:rsidR="00060ED6">
              <w:rPr>
                <w:rFonts w:ascii="Arial Black" w:hAnsi="Arial Black"/>
                <w:caps/>
                <w:sz w:val="15"/>
                <w:lang w:val="es-ES"/>
              </w:rPr>
              <w:t>11</w:t>
            </w:r>
            <w:r w:rsidR="00CC5016" w:rsidRPr="00282123">
              <w:rPr>
                <w:rFonts w:ascii="Arial Black" w:hAnsi="Arial Black"/>
                <w:caps/>
                <w:sz w:val="15"/>
                <w:lang w:val="es-ES"/>
              </w:rPr>
              <w:t>/201</w:t>
            </w:r>
            <w:r w:rsidR="002A2048" w:rsidRPr="00282123">
              <w:rPr>
                <w:rFonts w:ascii="Arial Black" w:hAnsi="Arial Black"/>
                <w:caps/>
                <w:sz w:val="15"/>
                <w:lang w:val="es-ES"/>
              </w:rPr>
              <w:t>7</w:t>
            </w:r>
            <w:r w:rsidR="00A42DAF" w:rsidRPr="00282123">
              <w:rPr>
                <w:rFonts w:ascii="Arial Black" w:hAnsi="Arial Black"/>
                <w:caps/>
                <w:sz w:val="15"/>
                <w:lang w:val="es-ES"/>
              </w:rPr>
              <w:t xml:space="preserve"> </w:t>
            </w:r>
            <w:r w:rsidR="008B2CC1" w:rsidRPr="00282123">
              <w:rPr>
                <w:rFonts w:ascii="Arial Black" w:hAnsi="Arial Black"/>
                <w:caps/>
                <w:sz w:val="15"/>
                <w:lang w:val="es-ES"/>
              </w:rPr>
              <w:t xml:space="preserve"> </w:t>
            </w:r>
            <w:bookmarkStart w:id="1" w:name="Date"/>
            <w:bookmarkEnd w:id="1"/>
          </w:p>
        </w:tc>
      </w:tr>
    </w:tbl>
    <w:p w:rsidR="008B2CC1" w:rsidRPr="00282123" w:rsidRDefault="008B2CC1" w:rsidP="008B2CC1">
      <w:pPr>
        <w:rPr>
          <w:lang w:val="es-ES"/>
        </w:rPr>
      </w:pPr>
    </w:p>
    <w:p w:rsidR="008B2CC1" w:rsidRPr="00282123" w:rsidRDefault="008B2CC1" w:rsidP="008B2CC1">
      <w:pPr>
        <w:rPr>
          <w:lang w:val="es-ES"/>
        </w:rPr>
      </w:pPr>
    </w:p>
    <w:p w:rsidR="008B2CC1" w:rsidRPr="00282123" w:rsidRDefault="008B2CC1" w:rsidP="008B2CC1">
      <w:pPr>
        <w:rPr>
          <w:lang w:val="es-ES"/>
        </w:rPr>
      </w:pPr>
    </w:p>
    <w:p w:rsidR="00CC5016" w:rsidRPr="00282123" w:rsidRDefault="00CC5016" w:rsidP="00CC5016">
      <w:pPr>
        <w:rPr>
          <w:lang w:val="es-ES"/>
        </w:rPr>
      </w:pPr>
    </w:p>
    <w:p w:rsidR="00CC5016" w:rsidRPr="00282123" w:rsidRDefault="00CC5016" w:rsidP="00CC5016">
      <w:pPr>
        <w:rPr>
          <w:lang w:val="es-ES"/>
        </w:rPr>
      </w:pPr>
    </w:p>
    <w:p w:rsidR="003359FF" w:rsidRPr="00282123" w:rsidRDefault="00767B56" w:rsidP="003359FF">
      <w:pPr>
        <w:autoSpaceDE w:val="0"/>
        <w:autoSpaceDN w:val="0"/>
        <w:adjustRightInd w:val="0"/>
        <w:rPr>
          <w:b/>
          <w:bCs/>
          <w:sz w:val="28"/>
          <w:szCs w:val="28"/>
          <w:lang w:val="es-ES"/>
        </w:rPr>
      </w:pPr>
      <w:r>
        <w:rPr>
          <w:b/>
          <w:bCs/>
          <w:sz w:val="28"/>
          <w:szCs w:val="28"/>
          <w:lang w:val="es-ES"/>
        </w:rPr>
        <w:t xml:space="preserve">Arreglo y </w:t>
      </w:r>
      <w:r w:rsidR="003359FF" w:rsidRPr="00282123">
        <w:rPr>
          <w:b/>
          <w:bCs/>
          <w:sz w:val="28"/>
          <w:szCs w:val="28"/>
          <w:lang w:val="es-ES"/>
        </w:rPr>
        <w:t xml:space="preserve">Protocolo </w:t>
      </w:r>
      <w:r w:rsidR="00060ED6">
        <w:rPr>
          <w:b/>
          <w:bCs/>
          <w:sz w:val="28"/>
          <w:szCs w:val="28"/>
          <w:lang w:val="es-ES"/>
        </w:rPr>
        <w:t xml:space="preserve">de </w:t>
      </w:r>
      <w:r w:rsidR="003359FF" w:rsidRPr="00282123">
        <w:rPr>
          <w:b/>
          <w:bCs/>
          <w:sz w:val="28"/>
          <w:szCs w:val="28"/>
          <w:lang w:val="es-ES"/>
        </w:rPr>
        <w:t>Madrid relativo al Registro Internacional de Marcas</w:t>
      </w:r>
    </w:p>
    <w:p w:rsidR="00CC5016" w:rsidRPr="00282123" w:rsidRDefault="00CC5016" w:rsidP="00CC5016">
      <w:pPr>
        <w:autoSpaceDE w:val="0"/>
        <w:autoSpaceDN w:val="0"/>
        <w:adjustRightInd w:val="0"/>
        <w:rPr>
          <w:bCs/>
          <w:szCs w:val="22"/>
          <w:lang w:val="es-ES"/>
        </w:rPr>
      </w:pPr>
    </w:p>
    <w:p w:rsidR="00CC5016" w:rsidRPr="00282123" w:rsidRDefault="00CC5016" w:rsidP="00CC5016">
      <w:pPr>
        <w:autoSpaceDE w:val="0"/>
        <w:autoSpaceDN w:val="0"/>
        <w:adjustRightInd w:val="0"/>
        <w:rPr>
          <w:bCs/>
          <w:szCs w:val="22"/>
          <w:lang w:val="es-ES"/>
        </w:rPr>
      </w:pPr>
    </w:p>
    <w:p w:rsidR="00CC5016" w:rsidRPr="00282123" w:rsidRDefault="00CC5016" w:rsidP="00CC5016">
      <w:pPr>
        <w:autoSpaceDE w:val="0"/>
        <w:autoSpaceDN w:val="0"/>
        <w:adjustRightInd w:val="0"/>
        <w:rPr>
          <w:bCs/>
          <w:szCs w:val="22"/>
          <w:lang w:val="es-ES"/>
        </w:rPr>
      </w:pPr>
    </w:p>
    <w:p w:rsidR="002A2048" w:rsidRPr="00282123" w:rsidRDefault="00401DF0" w:rsidP="002A2048">
      <w:pPr>
        <w:autoSpaceDE w:val="0"/>
        <w:autoSpaceDN w:val="0"/>
        <w:adjustRightInd w:val="0"/>
        <w:rPr>
          <w:b/>
          <w:bCs/>
          <w:sz w:val="24"/>
          <w:szCs w:val="24"/>
          <w:lang w:val="es-ES"/>
        </w:rPr>
      </w:pPr>
      <w:r w:rsidRPr="00282123">
        <w:rPr>
          <w:b/>
          <w:bCs/>
          <w:sz w:val="24"/>
          <w:szCs w:val="24"/>
          <w:lang w:val="es-ES"/>
        </w:rPr>
        <w:t>Modificaci</w:t>
      </w:r>
      <w:r w:rsidR="005F25E5" w:rsidRPr="00282123">
        <w:rPr>
          <w:b/>
          <w:bCs/>
          <w:sz w:val="24"/>
          <w:szCs w:val="24"/>
          <w:lang w:val="es-ES"/>
        </w:rPr>
        <w:t>ones</w:t>
      </w:r>
      <w:r w:rsidRPr="00282123">
        <w:rPr>
          <w:b/>
          <w:bCs/>
          <w:sz w:val="24"/>
          <w:szCs w:val="24"/>
          <w:lang w:val="es-ES"/>
        </w:rPr>
        <w:t xml:space="preserve"> del Reglamento Común del Arreglo de Madrid y del Protocolo concerniente a ese Arreglo</w:t>
      </w:r>
      <w:r w:rsidR="00D911C2" w:rsidRPr="00282123">
        <w:rPr>
          <w:b/>
          <w:bCs/>
          <w:sz w:val="24"/>
          <w:szCs w:val="24"/>
          <w:lang w:val="es-ES"/>
        </w:rPr>
        <w:t>, en vigor a partir del 1 de julio de</w:t>
      </w:r>
      <w:r w:rsidR="002A2048" w:rsidRPr="00282123">
        <w:rPr>
          <w:b/>
          <w:bCs/>
          <w:sz w:val="24"/>
          <w:szCs w:val="24"/>
          <w:lang w:val="es-ES"/>
        </w:rPr>
        <w:t> 2017</w:t>
      </w:r>
    </w:p>
    <w:p w:rsidR="002A2048" w:rsidRPr="00282123" w:rsidRDefault="002A2048" w:rsidP="002A2048">
      <w:pPr>
        <w:rPr>
          <w:szCs w:val="22"/>
          <w:lang w:val="es-ES"/>
        </w:rPr>
      </w:pPr>
    </w:p>
    <w:p w:rsidR="002A2048" w:rsidRPr="00282123" w:rsidRDefault="00D911C2" w:rsidP="002A2048">
      <w:pPr>
        <w:pStyle w:val="ONUME"/>
        <w:rPr>
          <w:lang w:val="es-ES"/>
        </w:rPr>
      </w:pPr>
      <w:r w:rsidRPr="00282123">
        <w:rPr>
          <w:lang w:val="es-ES"/>
        </w:rPr>
        <w:t xml:space="preserve">Los cambios introducidos en determinadas Reglas del Reglamento Común del Arreglo de Madrid relativo al Registro Internacional de Marcas y del Protocolo concerniente a ese Arreglo (el “Reglamento Común”) entrarán en vigor el 1 de julio de </w:t>
      </w:r>
      <w:r w:rsidR="002A2048" w:rsidRPr="00282123">
        <w:rPr>
          <w:lang w:val="es-ES" w:eastAsia="ja-JP"/>
        </w:rPr>
        <w:t xml:space="preserve">2017.  </w:t>
      </w:r>
    </w:p>
    <w:p w:rsidR="002A2048" w:rsidRPr="00282123" w:rsidRDefault="002A2048" w:rsidP="002A2048">
      <w:pPr>
        <w:pStyle w:val="ONUME"/>
        <w:numPr>
          <w:ilvl w:val="0"/>
          <w:numId w:val="0"/>
        </w:numPr>
        <w:rPr>
          <w:i/>
          <w:u w:val="single"/>
          <w:lang w:val="es-ES"/>
        </w:rPr>
      </w:pPr>
      <w:r w:rsidRPr="00282123">
        <w:rPr>
          <w:i/>
          <w:u w:val="single"/>
          <w:lang w:val="es-ES" w:eastAsia="ja-JP"/>
        </w:rPr>
        <w:t xml:space="preserve">Control </w:t>
      </w:r>
      <w:r w:rsidR="000905A0" w:rsidRPr="00282123">
        <w:rPr>
          <w:i/>
          <w:u w:val="single"/>
          <w:lang w:val="es-ES" w:eastAsia="ja-JP"/>
        </w:rPr>
        <w:t>por la Oficina Internacional de la Organización Mundial de la Propiedad Intelectual (OMPI) de la clasificación de las limitaciones de la lista de productos y servicios incluida en las solicitudes internacionales (Regla 12)</w:t>
      </w:r>
    </w:p>
    <w:p w:rsidR="002A2048" w:rsidRPr="00282123" w:rsidRDefault="00036562" w:rsidP="002A2048">
      <w:pPr>
        <w:pStyle w:val="ONUME"/>
        <w:rPr>
          <w:lang w:val="es-ES"/>
        </w:rPr>
      </w:pPr>
      <w:r w:rsidRPr="00282123">
        <w:rPr>
          <w:lang w:val="es-ES"/>
        </w:rPr>
        <w:t>En virtud del nuevo párrafo (8</w:t>
      </w:r>
      <w:r w:rsidRPr="00282123">
        <w:rPr>
          <w:i/>
          <w:lang w:val="es-ES"/>
        </w:rPr>
        <w:t xml:space="preserve">bis) </w:t>
      </w:r>
      <w:r w:rsidRPr="00282123">
        <w:rPr>
          <w:lang w:val="es-ES"/>
        </w:rPr>
        <w:t xml:space="preserve">de la Regla 12 del Reglamento Común, cuando la Oficina Internacional de la OMPI examine una solicitud internacional, deberá también examinar las limitaciones contenidas en dicha solicitud.  Cuando la Oficina Internacional de la OMPI no esté de acuerdo con la clasificación de los productos y servicios enumerados en una limitación incluida en una solicitud internacional, enviará un aviso de irregularidad </w:t>
      </w:r>
      <w:r w:rsidR="000905A0" w:rsidRPr="00282123">
        <w:rPr>
          <w:lang w:val="es-ES"/>
        </w:rPr>
        <w:t xml:space="preserve">conforme al procedimiento que se establece en los párrafos 1)a) y 2) a 6) de la Regla 12 del Reglamento Común, que será aplicable </w:t>
      </w:r>
      <w:r w:rsidR="000905A0" w:rsidRPr="00282123">
        <w:rPr>
          <w:i/>
          <w:lang w:val="es-ES"/>
        </w:rPr>
        <w:t>mutatis mutandis.</w:t>
      </w:r>
      <w:r w:rsidR="002A2048" w:rsidRPr="00282123">
        <w:rPr>
          <w:lang w:val="es-ES"/>
        </w:rPr>
        <w:t xml:space="preserve">  </w:t>
      </w:r>
    </w:p>
    <w:p w:rsidR="002A2048" w:rsidRPr="00282123" w:rsidRDefault="00311BB5" w:rsidP="002A2048">
      <w:pPr>
        <w:pStyle w:val="ONUME"/>
        <w:rPr>
          <w:lang w:val="es-ES"/>
        </w:rPr>
      </w:pPr>
      <w:r w:rsidRPr="00282123">
        <w:rPr>
          <w:lang w:val="es-ES"/>
        </w:rPr>
        <w:t xml:space="preserve">Cuando la Oficina Internacional de la OMPI no pueda agrupar los productos y servicios </w:t>
      </w:r>
      <w:r w:rsidR="00331D16" w:rsidRPr="00282123">
        <w:rPr>
          <w:lang w:val="es-ES"/>
        </w:rPr>
        <w:t>enumerados en la limitación con arreglo a</w:t>
      </w:r>
      <w:r w:rsidRPr="00282123">
        <w:rPr>
          <w:lang w:val="es-ES"/>
        </w:rPr>
        <w:t xml:space="preserve"> las clases de la Clasificación Internacional de Productos y Servicios para el Registro de las Marcas (Clasificación de Niza)</w:t>
      </w:r>
      <w:r w:rsidR="00FD3E21" w:rsidRPr="00282123">
        <w:rPr>
          <w:lang w:val="es-ES"/>
        </w:rPr>
        <w:t xml:space="preserve"> </w:t>
      </w:r>
      <w:r w:rsidR="00331D16" w:rsidRPr="00282123">
        <w:rPr>
          <w:lang w:val="es-ES"/>
        </w:rPr>
        <w:t>enumeradas</w:t>
      </w:r>
      <w:r w:rsidR="00FD3E21" w:rsidRPr="00282123">
        <w:rPr>
          <w:lang w:val="es-ES"/>
        </w:rPr>
        <w:t xml:space="preserve"> en la lista principal de la solicitud internacional, ya sea tal como fue presentada inicialmente, ya sea modificada con arreglo a las Reglas 12.1) a 6) del Reglamento Común, y dicha irregularidad no </w:t>
      </w:r>
      <w:r w:rsidR="007966E0" w:rsidRPr="00282123">
        <w:rPr>
          <w:lang w:val="es-ES"/>
        </w:rPr>
        <w:t>sea subsanada</w:t>
      </w:r>
      <w:r w:rsidR="00FD3E21" w:rsidRPr="00282123">
        <w:rPr>
          <w:lang w:val="es-ES"/>
        </w:rPr>
        <w:t xml:space="preserve"> en el plazo de tres meses, se considerará que la limitación no </w:t>
      </w:r>
      <w:r w:rsidR="00331D16" w:rsidRPr="00282123">
        <w:rPr>
          <w:lang w:val="es-ES"/>
        </w:rPr>
        <w:t>abarca</w:t>
      </w:r>
      <w:r w:rsidR="00FD3E21" w:rsidRPr="00282123">
        <w:rPr>
          <w:lang w:val="es-ES"/>
        </w:rPr>
        <w:t xml:space="preserve"> los productos y servicios </w:t>
      </w:r>
      <w:r w:rsidR="00331D16" w:rsidRPr="00282123">
        <w:rPr>
          <w:lang w:val="es-ES"/>
        </w:rPr>
        <w:t>mencionados en esa</w:t>
      </w:r>
      <w:r w:rsidR="00FD3E21" w:rsidRPr="00282123">
        <w:rPr>
          <w:lang w:val="es-ES"/>
        </w:rPr>
        <w:t xml:space="preserve"> irregularidad</w:t>
      </w:r>
      <w:r w:rsidR="002A2048" w:rsidRPr="00282123">
        <w:rPr>
          <w:lang w:val="es-ES"/>
        </w:rPr>
        <w:t xml:space="preserve">.  </w:t>
      </w:r>
    </w:p>
    <w:p w:rsidR="002A2048" w:rsidRPr="00282123" w:rsidRDefault="0031219D" w:rsidP="002A2048">
      <w:pPr>
        <w:rPr>
          <w:i/>
          <w:u w:val="single"/>
          <w:lang w:val="es-ES"/>
        </w:rPr>
      </w:pPr>
      <w:r w:rsidRPr="00282123">
        <w:rPr>
          <w:i/>
          <w:u w:val="single"/>
          <w:lang w:val="es-ES" w:eastAsia="ja-JP"/>
        </w:rPr>
        <w:t>Nuevo</w:t>
      </w:r>
      <w:r w:rsidR="002A2048" w:rsidRPr="00282123">
        <w:rPr>
          <w:i/>
          <w:u w:val="single"/>
          <w:lang w:val="es-ES" w:eastAsia="ja-JP"/>
        </w:rPr>
        <w:t xml:space="preserve"> </w:t>
      </w:r>
      <w:r w:rsidRPr="00282123">
        <w:rPr>
          <w:i/>
          <w:u w:val="single"/>
          <w:lang w:val="es-ES" w:eastAsia="ja-JP"/>
        </w:rPr>
        <w:t>requisito de enumerar los productos y servicios en una petición de inscripción de una limitación con arreglo a los números de las clases contenidas en el registro internacional</w:t>
      </w:r>
      <w:r w:rsidR="002A2048" w:rsidRPr="00282123">
        <w:rPr>
          <w:i/>
          <w:u w:val="single"/>
          <w:lang w:val="es-ES" w:eastAsia="ja-JP"/>
        </w:rPr>
        <w:t xml:space="preserve"> (</w:t>
      </w:r>
      <w:r w:rsidRPr="00282123">
        <w:rPr>
          <w:i/>
          <w:u w:val="single"/>
          <w:lang w:val="es-ES" w:eastAsia="ja-JP"/>
        </w:rPr>
        <w:t>Reglas</w:t>
      </w:r>
      <w:r w:rsidR="002A2048" w:rsidRPr="00282123">
        <w:rPr>
          <w:i/>
          <w:u w:val="single"/>
          <w:lang w:val="es-ES" w:eastAsia="ja-JP"/>
        </w:rPr>
        <w:t> 25 </w:t>
      </w:r>
      <w:r w:rsidRPr="00282123">
        <w:rPr>
          <w:i/>
          <w:u w:val="single"/>
          <w:lang w:val="es-ES" w:eastAsia="ja-JP"/>
        </w:rPr>
        <w:t>a</w:t>
      </w:r>
      <w:r w:rsidR="002A2048" w:rsidRPr="00282123">
        <w:rPr>
          <w:i/>
          <w:u w:val="single"/>
          <w:lang w:val="es-ES" w:eastAsia="ja-JP"/>
        </w:rPr>
        <w:t> 27)</w:t>
      </w:r>
    </w:p>
    <w:p w:rsidR="002A2048" w:rsidRPr="00282123" w:rsidRDefault="002A2048" w:rsidP="002A2048">
      <w:pPr>
        <w:pStyle w:val="ONUME"/>
        <w:numPr>
          <w:ilvl w:val="0"/>
          <w:numId w:val="0"/>
        </w:numPr>
        <w:spacing w:after="0"/>
        <w:ind w:left="720"/>
        <w:rPr>
          <w:lang w:val="es-ES"/>
        </w:rPr>
      </w:pPr>
    </w:p>
    <w:p w:rsidR="002A2048" w:rsidRPr="00282123" w:rsidRDefault="001E02F1" w:rsidP="002A2048">
      <w:pPr>
        <w:pStyle w:val="ONUME"/>
        <w:rPr>
          <w:lang w:val="es-ES" w:eastAsia="ja-JP"/>
        </w:rPr>
      </w:pPr>
      <w:r w:rsidRPr="00282123">
        <w:rPr>
          <w:lang w:val="es-ES" w:eastAsia="ja-JP"/>
        </w:rPr>
        <w:t>En virt</w:t>
      </w:r>
      <w:r w:rsidR="007966E0" w:rsidRPr="00282123">
        <w:rPr>
          <w:lang w:val="es-ES" w:eastAsia="ja-JP"/>
        </w:rPr>
        <w:t>ud del nuevo párrafo 2)</w:t>
      </w:r>
      <w:r w:rsidRPr="00282123">
        <w:rPr>
          <w:lang w:val="es-ES" w:eastAsia="ja-JP"/>
        </w:rPr>
        <w:t>d) de la Regla 25 del Reglamento Común, en la petici</w:t>
      </w:r>
      <w:r w:rsidR="00331D16" w:rsidRPr="00282123">
        <w:rPr>
          <w:lang w:val="es-ES" w:eastAsia="ja-JP"/>
        </w:rPr>
        <w:t>ón</w:t>
      </w:r>
      <w:r w:rsidRPr="00282123">
        <w:rPr>
          <w:lang w:val="es-ES" w:eastAsia="ja-JP"/>
        </w:rPr>
        <w:t xml:space="preserve"> de inscripción de una limitación </w:t>
      </w:r>
      <w:r w:rsidR="00331D16" w:rsidRPr="00282123">
        <w:rPr>
          <w:lang w:val="es-ES" w:eastAsia="ja-JP"/>
        </w:rPr>
        <w:t>presentada</w:t>
      </w:r>
      <w:r w:rsidRPr="00282123">
        <w:rPr>
          <w:lang w:val="es-ES" w:eastAsia="ja-JP"/>
        </w:rPr>
        <w:t xml:space="preserve"> conforme al párrafo 1)a)ii), </w:t>
      </w:r>
      <w:r w:rsidR="007966E0" w:rsidRPr="00282123">
        <w:rPr>
          <w:lang w:val="es-ES" w:eastAsia="ja-JP"/>
        </w:rPr>
        <w:t xml:space="preserve">los </w:t>
      </w:r>
      <w:r w:rsidR="0031219D" w:rsidRPr="00282123">
        <w:rPr>
          <w:lang w:val="es-ES" w:eastAsia="ja-JP"/>
        </w:rPr>
        <w:t xml:space="preserve">productos y servicios </w:t>
      </w:r>
      <w:r w:rsidR="007966E0" w:rsidRPr="00282123">
        <w:rPr>
          <w:lang w:val="es-ES" w:eastAsia="ja-JP"/>
        </w:rPr>
        <w:t xml:space="preserve">de la lista limitada </w:t>
      </w:r>
      <w:r w:rsidR="002F1C2C">
        <w:rPr>
          <w:lang w:val="es-ES" w:eastAsia="ja-JP"/>
        </w:rPr>
        <w:t>se agruparán</w:t>
      </w:r>
      <w:r w:rsidR="0031219D" w:rsidRPr="00282123">
        <w:rPr>
          <w:lang w:val="es-ES" w:eastAsia="ja-JP"/>
        </w:rPr>
        <w:t xml:space="preserve"> únicamente </w:t>
      </w:r>
      <w:r w:rsidR="00A65BB3">
        <w:rPr>
          <w:lang w:val="es-ES" w:eastAsia="ja-JP"/>
        </w:rPr>
        <w:t xml:space="preserve">con arreglo a </w:t>
      </w:r>
      <w:r w:rsidR="0031219D" w:rsidRPr="00282123">
        <w:rPr>
          <w:lang w:val="es-ES" w:eastAsia="ja-JP"/>
        </w:rPr>
        <w:t xml:space="preserve">las clases </w:t>
      </w:r>
      <w:r w:rsidR="00A65BB3">
        <w:rPr>
          <w:lang w:val="es-ES" w:eastAsia="ja-JP"/>
        </w:rPr>
        <w:t xml:space="preserve">correspondientes </w:t>
      </w:r>
      <w:r w:rsidR="0031219D" w:rsidRPr="00282123">
        <w:rPr>
          <w:lang w:val="es-ES" w:eastAsia="ja-JP"/>
        </w:rPr>
        <w:t xml:space="preserve">de la Clasificación de Niza que </w:t>
      </w:r>
      <w:r w:rsidR="001525CB" w:rsidRPr="00282123">
        <w:rPr>
          <w:lang w:val="es-ES" w:eastAsia="ja-JP"/>
        </w:rPr>
        <w:t>figuren</w:t>
      </w:r>
      <w:r w:rsidR="0031219D" w:rsidRPr="00282123">
        <w:rPr>
          <w:lang w:val="es-ES" w:eastAsia="ja-JP"/>
        </w:rPr>
        <w:t xml:space="preserve"> en la lista principal del registro internacional o, cuando proceda, </w:t>
      </w:r>
      <w:r w:rsidR="002F1C2C">
        <w:rPr>
          <w:lang w:val="es-ES" w:eastAsia="ja-JP"/>
        </w:rPr>
        <w:t>se indicarán</w:t>
      </w:r>
      <w:r w:rsidR="00331D16" w:rsidRPr="00282123">
        <w:rPr>
          <w:lang w:val="es-ES" w:eastAsia="ja-JP"/>
        </w:rPr>
        <w:t xml:space="preserve"> las clases que </w:t>
      </w:r>
      <w:r w:rsidR="0031219D" w:rsidRPr="00282123">
        <w:rPr>
          <w:lang w:val="es-ES" w:eastAsia="ja-JP"/>
        </w:rPr>
        <w:t>deban suprimirse.</w:t>
      </w:r>
      <w:r w:rsidR="002A2048" w:rsidRPr="00282123">
        <w:rPr>
          <w:lang w:val="es-ES" w:eastAsia="ja-JP"/>
        </w:rPr>
        <w:t xml:space="preserve">  </w:t>
      </w:r>
    </w:p>
    <w:p w:rsidR="002A2048" w:rsidRPr="00282123" w:rsidRDefault="00616A06" w:rsidP="008A3B73">
      <w:pPr>
        <w:pStyle w:val="ONUME"/>
        <w:keepNext/>
        <w:keepLines/>
        <w:rPr>
          <w:lang w:val="es-ES" w:eastAsia="ja-JP"/>
        </w:rPr>
      </w:pPr>
      <w:r w:rsidRPr="00282123">
        <w:rPr>
          <w:lang w:val="es-ES" w:eastAsia="ja-JP"/>
        </w:rPr>
        <w:t xml:space="preserve">Además, </w:t>
      </w:r>
      <w:r w:rsidR="001B68E5" w:rsidRPr="00282123">
        <w:rPr>
          <w:lang w:val="es-ES" w:eastAsia="ja-JP"/>
        </w:rPr>
        <w:t>mediante la</w:t>
      </w:r>
      <w:r w:rsidRPr="00282123">
        <w:rPr>
          <w:lang w:val="es-ES" w:eastAsia="ja-JP"/>
        </w:rPr>
        <w:t xml:space="preserve"> modificación de la Regla 26.1) del Reglamento Común, </w:t>
      </w:r>
      <w:r w:rsidR="001B68E5" w:rsidRPr="00282123">
        <w:rPr>
          <w:lang w:val="es-ES" w:eastAsia="ja-JP"/>
        </w:rPr>
        <w:t xml:space="preserve">se especifica que </w:t>
      </w:r>
      <w:r w:rsidRPr="00282123">
        <w:rPr>
          <w:lang w:val="es-ES" w:eastAsia="ja-JP"/>
        </w:rPr>
        <w:t xml:space="preserve">la Oficina Internacional de la OMPI debe examinar las peticiones de inscripción </w:t>
      </w:r>
      <w:r w:rsidRPr="00282123">
        <w:rPr>
          <w:lang w:val="es-ES" w:eastAsia="ja-JP"/>
        </w:rPr>
        <w:lastRenderedPageBreak/>
        <w:t xml:space="preserve">de una limitación para determinar si los números de las clases </w:t>
      </w:r>
      <w:r w:rsidR="001525CB" w:rsidRPr="00282123">
        <w:rPr>
          <w:lang w:val="es-ES" w:eastAsia="ja-JP"/>
        </w:rPr>
        <w:t>que se indican</w:t>
      </w:r>
      <w:r w:rsidRPr="00282123">
        <w:rPr>
          <w:lang w:val="es-ES" w:eastAsia="ja-JP"/>
        </w:rPr>
        <w:t xml:space="preserve"> en dicha petición corresponden a los números de las clases del registro internacional</w:t>
      </w:r>
      <w:r w:rsidR="002A2048" w:rsidRPr="00282123">
        <w:rPr>
          <w:lang w:val="es-ES" w:eastAsia="ja-JP"/>
        </w:rPr>
        <w:t xml:space="preserve">.  </w:t>
      </w:r>
    </w:p>
    <w:p w:rsidR="002A2048" w:rsidRPr="00282123" w:rsidRDefault="001B68E5" w:rsidP="002A2048">
      <w:pPr>
        <w:pStyle w:val="ONUME"/>
        <w:keepNext/>
        <w:keepLines/>
        <w:rPr>
          <w:lang w:val="es-ES" w:eastAsia="ja-JP"/>
        </w:rPr>
      </w:pPr>
      <w:r w:rsidRPr="00282123">
        <w:rPr>
          <w:lang w:val="es-ES" w:eastAsia="ja-JP"/>
        </w:rPr>
        <w:t xml:space="preserve">En consecuencia, la Oficina Internacional no puede examinar una petición presentada en virtud de la Regla 25.1)a)ii) del Reglamento Común para confirmar que los productos y servicios de la lista limitada han sido clasificados adecuadamente ni determinar si dicha lista limitada entra en el ámbito de protección </w:t>
      </w:r>
      <w:r w:rsidR="001525CB" w:rsidRPr="00282123">
        <w:rPr>
          <w:lang w:val="es-ES" w:eastAsia="ja-JP"/>
        </w:rPr>
        <w:t>en</w:t>
      </w:r>
      <w:r w:rsidRPr="00282123">
        <w:rPr>
          <w:lang w:val="es-ES" w:eastAsia="ja-JP"/>
        </w:rPr>
        <w:t xml:space="preserve"> las Partes Contratantes designadas a las que incumbe la inscripción</w:t>
      </w:r>
      <w:r w:rsidR="002A2048" w:rsidRPr="00282123">
        <w:rPr>
          <w:lang w:val="es-ES" w:eastAsia="ja-JP"/>
        </w:rPr>
        <w:t>.</w:t>
      </w:r>
    </w:p>
    <w:p w:rsidR="002A2048" w:rsidRPr="00282123" w:rsidRDefault="001B68E5" w:rsidP="002A2048">
      <w:pPr>
        <w:pStyle w:val="ONUME"/>
        <w:rPr>
          <w:lang w:val="es-ES" w:eastAsia="ja-JP"/>
        </w:rPr>
      </w:pPr>
      <w:r w:rsidRPr="00282123">
        <w:rPr>
          <w:lang w:val="es-ES" w:eastAsia="ja-JP"/>
        </w:rPr>
        <w:t>No obstante</w:t>
      </w:r>
      <w:r w:rsidR="002A2048" w:rsidRPr="00282123">
        <w:rPr>
          <w:lang w:val="es-ES" w:eastAsia="ja-JP"/>
        </w:rPr>
        <w:t xml:space="preserve">, </w:t>
      </w:r>
      <w:r w:rsidRPr="00282123">
        <w:rPr>
          <w:lang w:val="es-ES" w:eastAsia="ja-JP"/>
        </w:rPr>
        <w:t xml:space="preserve">en virtud de la </w:t>
      </w:r>
      <w:r w:rsidRPr="00A65BB3">
        <w:rPr>
          <w:lang w:val="es-ES" w:eastAsia="ja-JP"/>
        </w:rPr>
        <w:t>Regla 27.</w:t>
      </w:r>
      <w:r w:rsidR="00396FBE">
        <w:rPr>
          <w:lang w:val="es-ES" w:eastAsia="ja-JP"/>
        </w:rPr>
        <w:t>5</w:t>
      </w:r>
      <w:r w:rsidR="002A2048" w:rsidRPr="00A65BB3">
        <w:rPr>
          <w:lang w:val="es-ES" w:eastAsia="ja-JP"/>
        </w:rPr>
        <w:t xml:space="preserve">) </w:t>
      </w:r>
      <w:r w:rsidRPr="00A65BB3">
        <w:rPr>
          <w:lang w:val="es-ES" w:eastAsia="ja-JP"/>
        </w:rPr>
        <w:t>del</w:t>
      </w:r>
      <w:r w:rsidRPr="00282123">
        <w:rPr>
          <w:lang w:val="es-ES" w:eastAsia="ja-JP"/>
        </w:rPr>
        <w:t xml:space="preserve"> Reglamento Común</w:t>
      </w:r>
      <w:r w:rsidR="002A2048" w:rsidRPr="00282123">
        <w:rPr>
          <w:lang w:val="es-ES" w:eastAsia="ja-JP"/>
        </w:rPr>
        <w:t>,</w:t>
      </w:r>
      <w:r w:rsidR="00CB7418" w:rsidRPr="00282123">
        <w:rPr>
          <w:lang w:val="es-ES" w:eastAsia="ja-JP"/>
        </w:rPr>
        <w:t xml:space="preserve"> las Oficinas de las Partes Contratantes designadas </w:t>
      </w:r>
      <w:r w:rsidR="001525CB" w:rsidRPr="00282123">
        <w:rPr>
          <w:lang w:val="es-ES" w:eastAsia="ja-JP"/>
        </w:rPr>
        <w:t xml:space="preserve">a las que se haya notificado </w:t>
      </w:r>
      <w:r w:rsidR="00CB7418" w:rsidRPr="00282123">
        <w:rPr>
          <w:lang w:val="es-ES" w:eastAsia="ja-JP"/>
        </w:rPr>
        <w:t>la inscripción de una limitación pueden examinar la lista limitada y podrán declara</w:t>
      </w:r>
      <w:r w:rsidR="001525CB" w:rsidRPr="00282123">
        <w:rPr>
          <w:lang w:val="es-ES" w:eastAsia="ja-JP"/>
        </w:rPr>
        <w:t>r</w:t>
      </w:r>
      <w:r w:rsidR="00282123">
        <w:rPr>
          <w:lang w:val="es-ES" w:eastAsia="ja-JP"/>
        </w:rPr>
        <w:t xml:space="preserve"> que </w:t>
      </w:r>
      <w:r w:rsidR="00DB6218">
        <w:rPr>
          <w:lang w:val="es-ES" w:eastAsia="ja-JP"/>
        </w:rPr>
        <w:t>la</w:t>
      </w:r>
      <w:r w:rsidR="00282123">
        <w:rPr>
          <w:lang w:val="es-ES" w:eastAsia="ja-JP"/>
        </w:rPr>
        <w:t xml:space="preserve"> limitación no surte efectos</w:t>
      </w:r>
      <w:r w:rsidR="00CB7418" w:rsidRPr="00282123">
        <w:rPr>
          <w:lang w:val="es-ES" w:eastAsia="ja-JP"/>
        </w:rPr>
        <w:t xml:space="preserve"> cuando, por ejemplo, la Oficina considere que dicha lista no entra en el ámbito de protección </w:t>
      </w:r>
      <w:r w:rsidR="001525CB" w:rsidRPr="00282123">
        <w:rPr>
          <w:lang w:val="es-ES" w:eastAsia="ja-JP"/>
        </w:rPr>
        <w:t>en</w:t>
      </w:r>
      <w:r w:rsidR="00CB7418" w:rsidRPr="00282123">
        <w:rPr>
          <w:lang w:val="es-ES" w:eastAsia="ja-JP"/>
        </w:rPr>
        <w:t xml:space="preserve"> la Parte Contratante de que se trate</w:t>
      </w:r>
      <w:r w:rsidR="002A2048" w:rsidRPr="00282123">
        <w:rPr>
          <w:lang w:val="es-ES" w:eastAsia="ja-JP"/>
        </w:rPr>
        <w:t xml:space="preserve">.  </w:t>
      </w:r>
    </w:p>
    <w:p w:rsidR="002A2048" w:rsidRPr="00282123" w:rsidRDefault="00964117" w:rsidP="002A2048">
      <w:pPr>
        <w:pStyle w:val="ONUME"/>
        <w:numPr>
          <w:ilvl w:val="0"/>
          <w:numId w:val="0"/>
        </w:numPr>
        <w:spacing w:after="0"/>
        <w:rPr>
          <w:i/>
          <w:u w:val="single"/>
          <w:lang w:val="es-ES"/>
        </w:rPr>
      </w:pPr>
      <w:r w:rsidRPr="00282123">
        <w:rPr>
          <w:i/>
          <w:u w:val="single"/>
          <w:lang w:val="es-ES" w:eastAsia="ja-JP"/>
        </w:rPr>
        <w:t>Nueva inscripción para introducir en el registro internacional indicaciones relativas a la naturaleza jurídica del titular o para cambiar tales indicaciones (Reglas 25 a 27, 32 y punto 7.4 de la Tabla de tasas</w:t>
      </w:r>
      <w:r w:rsidR="002A2048" w:rsidRPr="00282123">
        <w:rPr>
          <w:i/>
          <w:u w:val="single"/>
          <w:lang w:val="es-ES" w:eastAsia="ja-JP"/>
        </w:rPr>
        <w:t>)</w:t>
      </w:r>
    </w:p>
    <w:p w:rsidR="002A2048" w:rsidRPr="00282123" w:rsidRDefault="002A2048" w:rsidP="002A2048">
      <w:pPr>
        <w:pStyle w:val="ONUME"/>
        <w:numPr>
          <w:ilvl w:val="0"/>
          <w:numId w:val="0"/>
        </w:numPr>
        <w:spacing w:after="0"/>
        <w:rPr>
          <w:lang w:val="es-ES"/>
        </w:rPr>
      </w:pPr>
    </w:p>
    <w:p w:rsidR="002A2048" w:rsidRPr="00282123" w:rsidRDefault="00964117" w:rsidP="002A2048">
      <w:pPr>
        <w:pStyle w:val="ONUME"/>
        <w:rPr>
          <w:lang w:val="es-ES"/>
        </w:rPr>
      </w:pPr>
      <w:r w:rsidRPr="00282123">
        <w:rPr>
          <w:lang w:val="es-ES"/>
        </w:rPr>
        <w:t>En virtud de la Regla 9.4)b)</w:t>
      </w:r>
      <w:r w:rsidR="002A2048" w:rsidRPr="00282123">
        <w:rPr>
          <w:lang w:val="es-ES"/>
        </w:rPr>
        <w:t xml:space="preserve">ii) </w:t>
      </w:r>
      <w:r w:rsidRPr="00282123">
        <w:rPr>
          <w:lang w:val="es-ES"/>
        </w:rPr>
        <w:t>del Reglamento Común</w:t>
      </w:r>
      <w:r w:rsidR="002A2048" w:rsidRPr="00282123">
        <w:rPr>
          <w:lang w:val="es-ES"/>
        </w:rPr>
        <w:t xml:space="preserve">, </w:t>
      </w:r>
      <w:r w:rsidRPr="00282123">
        <w:rPr>
          <w:lang w:val="es-ES"/>
        </w:rPr>
        <w:t xml:space="preserve">cuando el solicitante </w:t>
      </w:r>
      <w:r w:rsidR="00206107" w:rsidRPr="00282123">
        <w:rPr>
          <w:lang w:val="es-ES"/>
        </w:rPr>
        <w:t>sea</w:t>
      </w:r>
      <w:r w:rsidRPr="00282123">
        <w:rPr>
          <w:lang w:val="es-ES"/>
        </w:rPr>
        <w:t xml:space="preserve"> una </w:t>
      </w:r>
      <w:r w:rsidR="00A6003F" w:rsidRPr="00282123">
        <w:rPr>
          <w:lang w:val="es-ES"/>
        </w:rPr>
        <w:t>persona</w:t>
      </w:r>
      <w:r w:rsidRPr="00282123">
        <w:rPr>
          <w:lang w:val="es-ES"/>
        </w:rPr>
        <w:t xml:space="preserve"> jurídica, </w:t>
      </w:r>
      <w:r w:rsidR="00206107" w:rsidRPr="00282123">
        <w:rPr>
          <w:lang w:val="es-ES"/>
        </w:rPr>
        <w:t>en la solicitud internacional podrá</w:t>
      </w:r>
      <w:r w:rsidRPr="00282123">
        <w:rPr>
          <w:lang w:val="es-ES"/>
        </w:rPr>
        <w:t xml:space="preserve"> incluir indicaciones relativas a </w:t>
      </w:r>
      <w:r w:rsidR="00B520F0" w:rsidRPr="00282123">
        <w:rPr>
          <w:lang w:val="es-ES"/>
        </w:rPr>
        <w:t>la</w:t>
      </w:r>
      <w:r w:rsidRPr="00282123">
        <w:rPr>
          <w:lang w:val="es-ES"/>
        </w:rPr>
        <w:t xml:space="preserve"> naturaleza jurídica</w:t>
      </w:r>
      <w:r w:rsidR="00B520F0" w:rsidRPr="00282123">
        <w:rPr>
          <w:lang w:val="es-ES"/>
        </w:rPr>
        <w:t xml:space="preserve"> del </w:t>
      </w:r>
      <w:r w:rsidR="00B520F0" w:rsidRPr="00A65BB3">
        <w:rPr>
          <w:lang w:val="es-ES"/>
        </w:rPr>
        <w:t>titular</w:t>
      </w:r>
      <w:r w:rsidRPr="00A65BB3">
        <w:rPr>
          <w:lang w:val="es-ES"/>
        </w:rPr>
        <w:t xml:space="preserve"> y </w:t>
      </w:r>
      <w:r w:rsidR="00A6003F" w:rsidRPr="00A65BB3">
        <w:rPr>
          <w:lang w:val="es-ES"/>
        </w:rPr>
        <w:t>al</w:t>
      </w:r>
      <w:r w:rsidRPr="00A65BB3">
        <w:rPr>
          <w:lang w:val="es-ES"/>
        </w:rPr>
        <w:t xml:space="preserve"> Estado y,</w:t>
      </w:r>
      <w:r w:rsidRPr="00282123">
        <w:rPr>
          <w:lang w:val="es-ES"/>
        </w:rPr>
        <w:t xml:space="preserve"> </w:t>
      </w:r>
      <w:r w:rsidR="00206107" w:rsidRPr="00282123">
        <w:rPr>
          <w:lang w:val="es-ES"/>
        </w:rPr>
        <w:t>en su caso</w:t>
      </w:r>
      <w:r w:rsidRPr="00282123">
        <w:rPr>
          <w:lang w:val="es-ES"/>
        </w:rPr>
        <w:t xml:space="preserve">, la unidad territorial dentro </w:t>
      </w:r>
      <w:r w:rsidR="00206107" w:rsidRPr="00282123">
        <w:rPr>
          <w:lang w:val="es-ES"/>
        </w:rPr>
        <w:t>de ese</w:t>
      </w:r>
      <w:r w:rsidRPr="00282123">
        <w:rPr>
          <w:lang w:val="es-ES"/>
        </w:rPr>
        <w:t xml:space="preserve"> Estado</w:t>
      </w:r>
      <w:r w:rsidR="00206107" w:rsidRPr="00282123">
        <w:rPr>
          <w:lang w:val="es-ES"/>
        </w:rPr>
        <w:t xml:space="preserve">, al amparo de cuya legislación se haya constituido dicha </w:t>
      </w:r>
      <w:r w:rsidR="00A6003F" w:rsidRPr="00282123">
        <w:rPr>
          <w:lang w:val="es-ES"/>
        </w:rPr>
        <w:t>persona</w:t>
      </w:r>
      <w:r w:rsidRPr="00282123">
        <w:rPr>
          <w:lang w:val="es-ES"/>
        </w:rPr>
        <w:t xml:space="preserve"> jurídica.  Además, en virtud de la Regla </w:t>
      </w:r>
      <w:r w:rsidR="00060ED6">
        <w:rPr>
          <w:lang w:val="es-ES"/>
        </w:rPr>
        <w:t>2</w:t>
      </w:r>
      <w:r w:rsidRPr="00282123">
        <w:rPr>
          <w:lang w:val="es-ES"/>
        </w:rPr>
        <w:t>4.</w:t>
      </w:r>
      <w:r w:rsidR="002A2048" w:rsidRPr="00282123">
        <w:rPr>
          <w:lang w:val="es-ES"/>
        </w:rPr>
        <w:t xml:space="preserve">3)c)i) </w:t>
      </w:r>
      <w:r w:rsidRPr="00282123">
        <w:rPr>
          <w:lang w:val="es-ES"/>
        </w:rPr>
        <w:t xml:space="preserve">del Reglamento Común, el titular </w:t>
      </w:r>
      <w:r w:rsidR="00217D12" w:rsidRPr="00282123">
        <w:rPr>
          <w:lang w:val="es-ES"/>
        </w:rPr>
        <w:t xml:space="preserve">también </w:t>
      </w:r>
      <w:r w:rsidRPr="00282123">
        <w:rPr>
          <w:lang w:val="es-ES"/>
        </w:rPr>
        <w:t>puede incluir tales indicaciones en la designación posterior</w:t>
      </w:r>
      <w:r w:rsidR="002A2048" w:rsidRPr="00282123">
        <w:rPr>
          <w:lang w:val="es-ES"/>
        </w:rPr>
        <w:t xml:space="preserve">.  </w:t>
      </w:r>
    </w:p>
    <w:p w:rsidR="002A2048" w:rsidRPr="00282123" w:rsidRDefault="00964117" w:rsidP="002A2048">
      <w:pPr>
        <w:pStyle w:val="ONUME"/>
        <w:rPr>
          <w:lang w:val="es-ES"/>
        </w:rPr>
      </w:pPr>
      <w:r w:rsidRPr="00282123">
        <w:rPr>
          <w:lang w:val="es-ES"/>
        </w:rPr>
        <w:t xml:space="preserve">En virtud de la modificación del párrafo 1)a)iv) de la Regla 25 y las consiguientes modificaciones de las Reglas 27 y 32 del Reglamento Común, los titulares podrán pedir </w:t>
      </w:r>
      <w:r w:rsidR="001D0F1C" w:rsidRPr="00282123">
        <w:rPr>
          <w:lang w:val="es-ES"/>
        </w:rPr>
        <w:t>la inscripción de</w:t>
      </w:r>
      <w:r w:rsidRPr="00282123">
        <w:rPr>
          <w:lang w:val="es-ES"/>
        </w:rPr>
        <w:t xml:space="preserve"> indicaciones relativas a su naturaleza jurídica o </w:t>
      </w:r>
      <w:r w:rsidR="001D0F1C" w:rsidRPr="00282123">
        <w:rPr>
          <w:lang w:val="es-ES"/>
        </w:rPr>
        <w:t xml:space="preserve">de cambios </w:t>
      </w:r>
      <w:r w:rsidR="00217D12" w:rsidRPr="00282123">
        <w:rPr>
          <w:lang w:val="es-ES"/>
        </w:rPr>
        <w:t>en</w:t>
      </w:r>
      <w:r w:rsidRPr="00282123">
        <w:rPr>
          <w:lang w:val="es-ES"/>
        </w:rPr>
        <w:t xml:space="preserve"> </w:t>
      </w:r>
      <w:r w:rsidR="00A6003F" w:rsidRPr="00282123">
        <w:rPr>
          <w:lang w:val="es-ES"/>
        </w:rPr>
        <w:t>dichas</w:t>
      </w:r>
      <w:r w:rsidRPr="00282123">
        <w:rPr>
          <w:lang w:val="es-ES"/>
        </w:rPr>
        <w:t xml:space="preserve"> indicaciones después de haber sido inscritas.</w:t>
      </w:r>
      <w:r w:rsidR="00060ED6">
        <w:rPr>
          <w:lang w:val="es-ES"/>
        </w:rPr>
        <w:t xml:space="preserve">  </w:t>
      </w:r>
    </w:p>
    <w:p w:rsidR="002A2048" w:rsidRPr="00282123" w:rsidRDefault="001D0F1C" w:rsidP="002A2048">
      <w:pPr>
        <w:pStyle w:val="ONUME"/>
        <w:rPr>
          <w:lang w:val="es-ES"/>
        </w:rPr>
      </w:pPr>
      <w:r w:rsidRPr="00282123">
        <w:rPr>
          <w:lang w:val="es-ES"/>
        </w:rPr>
        <w:t>Los titulares podrán</w:t>
      </w:r>
      <w:r w:rsidR="00206107" w:rsidRPr="00282123">
        <w:rPr>
          <w:lang w:val="es-ES"/>
        </w:rPr>
        <w:t xml:space="preserve"> presentar, en un formulario of</w:t>
      </w:r>
      <w:r w:rsidRPr="00282123">
        <w:rPr>
          <w:lang w:val="es-ES"/>
        </w:rPr>
        <w:t xml:space="preserve">icial (MM9), una petición de inscripción de un cambio en </w:t>
      </w:r>
      <w:r w:rsidR="00A6003F" w:rsidRPr="00282123">
        <w:rPr>
          <w:lang w:val="es-ES"/>
        </w:rPr>
        <w:t>el</w:t>
      </w:r>
      <w:r w:rsidRPr="00282123">
        <w:rPr>
          <w:lang w:val="es-ES"/>
        </w:rPr>
        <w:t xml:space="preserve"> nombre, un cambio en </w:t>
      </w:r>
      <w:r w:rsidR="00A6003F" w:rsidRPr="00282123">
        <w:rPr>
          <w:lang w:val="es-ES"/>
        </w:rPr>
        <w:t>la</w:t>
      </w:r>
      <w:r w:rsidRPr="00282123">
        <w:rPr>
          <w:lang w:val="es-ES"/>
        </w:rPr>
        <w:t xml:space="preserve"> dirección o </w:t>
      </w:r>
      <w:r w:rsidR="00A6003F" w:rsidRPr="00282123">
        <w:rPr>
          <w:lang w:val="es-ES"/>
        </w:rPr>
        <w:t>de</w:t>
      </w:r>
      <w:r w:rsidRPr="00282123">
        <w:rPr>
          <w:lang w:val="es-ES"/>
        </w:rPr>
        <w:t xml:space="preserve"> indicaciones relativas a su naturaleza jurídica, o cualquier combinación al respecto</w:t>
      </w:r>
      <w:r w:rsidR="002A2048" w:rsidRPr="00282123">
        <w:rPr>
          <w:lang w:val="es-ES"/>
        </w:rPr>
        <w:t xml:space="preserve">.  </w:t>
      </w:r>
    </w:p>
    <w:p w:rsidR="002A2048" w:rsidRPr="00282123" w:rsidRDefault="00217D12" w:rsidP="001D0F1C">
      <w:pPr>
        <w:pStyle w:val="ONUME"/>
        <w:rPr>
          <w:lang w:val="es-ES"/>
        </w:rPr>
      </w:pPr>
      <w:r w:rsidRPr="00282123">
        <w:rPr>
          <w:lang w:val="es-ES"/>
        </w:rPr>
        <w:t>Mediante</w:t>
      </w:r>
      <w:r w:rsidR="001D0F1C" w:rsidRPr="00282123">
        <w:rPr>
          <w:lang w:val="es-ES"/>
        </w:rPr>
        <w:t xml:space="preserve"> la modificación </w:t>
      </w:r>
      <w:r w:rsidRPr="00282123">
        <w:rPr>
          <w:lang w:val="es-ES"/>
        </w:rPr>
        <w:t>correspondiente</w:t>
      </w:r>
      <w:r w:rsidR="001D0F1C" w:rsidRPr="00282123">
        <w:rPr>
          <w:lang w:val="es-ES"/>
        </w:rPr>
        <w:t xml:space="preserve"> del punto 7.4 de la </w:t>
      </w:r>
      <w:r w:rsidR="00E14B91">
        <w:rPr>
          <w:lang w:val="es-ES"/>
        </w:rPr>
        <w:t>T</w:t>
      </w:r>
      <w:r w:rsidR="001D0F1C" w:rsidRPr="00282123">
        <w:rPr>
          <w:lang w:val="es-ES"/>
        </w:rPr>
        <w:t xml:space="preserve">abla de tasas se especifica que el importe de </w:t>
      </w:r>
      <w:r w:rsidRPr="00282123">
        <w:rPr>
          <w:lang w:val="es-ES"/>
        </w:rPr>
        <w:t>una</w:t>
      </w:r>
      <w:r w:rsidR="001D0F1C" w:rsidRPr="00282123">
        <w:rPr>
          <w:lang w:val="es-ES"/>
        </w:rPr>
        <w:t xml:space="preserve"> petición presentada en virtud de la Regla 25.1)a)iv) del Reglamento Común </w:t>
      </w:r>
      <w:r w:rsidRPr="00282123">
        <w:rPr>
          <w:lang w:val="es-ES"/>
        </w:rPr>
        <w:t>con respecto a</w:t>
      </w:r>
      <w:r w:rsidR="001D0F1C" w:rsidRPr="00282123">
        <w:rPr>
          <w:lang w:val="es-ES"/>
        </w:rPr>
        <w:t xml:space="preserve"> uno o más registros internacionales sigue siendo de 150 francos suizos, siempre </w:t>
      </w:r>
      <w:r w:rsidR="00331D16" w:rsidRPr="00282123">
        <w:rPr>
          <w:lang w:val="es-ES"/>
        </w:rPr>
        <w:t>que se solicite la misma inscripción o cambio en el mismo formulario</w:t>
      </w:r>
      <w:r w:rsidR="002A2048" w:rsidRPr="00282123">
        <w:rPr>
          <w:lang w:val="es-ES"/>
        </w:rPr>
        <w:t xml:space="preserve">.  </w:t>
      </w:r>
    </w:p>
    <w:p w:rsidR="002A2048" w:rsidRPr="00282123" w:rsidRDefault="001D0F1C" w:rsidP="002A2048">
      <w:pPr>
        <w:pStyle w:val="ONUME"/>
        <w:rPr>
          <w:lang w:val="es-ES"/>
        </w:rPr>
      </w:pPr>
      <w:r w:rsidRPr="00282123">
        <w:rPr>
          <w:lang w:val="es-ES"/>
        </w:rPr>
        <w:t xml:space="preserve">En los Anexos I y II </w:t>
      </w:r>
      <w:r w:rsidR="00331D16" w:rsidRPr="00282123">
        <w:rPr>
          <w:lang w:val="es-ES"/>
        </w:rPr>
        <w:t>se reproduce</w:t>
      </w:r>
      <w:r w:rsidRPr="00282123">
        <w:rPr>
          <w:lang w:val="es-ES"/>
        </w:rPr>
        <w:t xml:space="preserve"> el texto modificado del Reglamento Común y </w:t>
      </w:r>
      <w:r w:rsidR="00331D16" w:rsidRPr="00282123">
        <w:rPr>
          <w:lang w:val="es-ES"/>
        </w:rPr>
        <w:t>d</w:t>
      </w:r>
      <w:r w:rsidRPr="00282123">
        <w:rPr>
          <w:lang w:val="es-ES"/>
        </w:rPr>
        <w:t xml:space="preserve">el formulario </w:t>
      </w:r>
      <w:r w:rsidR="002A2048" w:rsidRPr="00282123">
        <w:rPr>
          <w:lang w:val="es-ES"/>
        </w:rPr>
        <w:t xml:space="preserve"> </w:t>
      </w:r>
      <w:r w:rsidRPr="00282123">
        <w:rPr>
          <w:lang w:val="es-ES"/>
        </w:rPr>
        <w:t>MM9</w:t>
      </w:r>
      <w:r w:rsidR="002A2048" w:rsidRPr="00282123">
        <w:rPr>
          <w:lang w:val="es-ES"/>
        </w:rPr>
        <w:t xml:space="preserve">.  </w:t>
      </w:r>
    </w:p>
    <w:p w:rsidR="002A2048" w:rsidRPr="00282123" w:rsidRDefault="002A2048" w:rsidP="002A2048">
      <w:pPr>
        <w:pStyle w:val="ONUME"/>
        <w:numPr>
          <w:ilvl w:val="0"/>
          <w:numId w:val="0"/>
        </w:numPr>
        <w:rPr>
          <w:lang w:val="es-ES"/>
        </w:rPr>
      </w:pPr>
    </w:p>
    <w:p w:rsidR="002A2048" w:rsidRPr="00282123" w:rsidRDefault="00060ED6" w:rsidP="002A2048">
      <w:pPr>
        <w:pStyle w:val="Endofdocument-Annex"/>
        <w:rPr>
          <w:lang w:val="es-ES"/>
        </w:rPr>
      </w:pPr>
      <w:r>
        <w:rPr>
          <w:lang w:val="es-ES" w:eastAsia="ja-JP"/>
        </w:rPr>
        <w:t>12</w:t>
      </w:r>
      <w:r w:rsidR="00964117" w:rsidRPr="00282123">
        <w:rPr>
          <w:lang w:val="es-ES" w:eastAsia="ja-JP"/>
        </w:rPr>
        <w:t xml:space="preserve"> de </w:t>
      </w:r>
      <w:r>
        <w:rPr>
          <w:lang w:val="es-ES" w:eastAsia="ja-JP"/>
        </w:rPr>
        <w:t>junio</w:t>
      </w:r>
      <w:r w:rsidR="00964117" w:rsidRPr="00282123">
        <w:rPr>
          <w:lang w:val="es-ES" w:eastAsia="ja-JP"/>
        </w:rPr>
        <w:t xml:space="preserve"> de</w:t>
      </w:r>
      <w:r w:rsidR="002A2048" w:rsidRPr="00282123">
        <w:rPr>
          <w:lang w:val="es-ES"/>
        </w:rPr>
        <w:t xml:space="preserve"> 2017</w:t>
      </w:r>
    </w:p>
    <w:p w:rsidR="002A2048" w:rsidRPr="00282123" w:rsidRDefault="002A2048" w:rsidP="002A2048">
      <w:pPr>
        <w:pStyle w:val="Endofdocument-Annex"/>
        <w:rPr>
          <w:lang w:val="es-ES"/>
        </w:rPr>
      </w:pPr>
    </w:p>
    <w:p w:rsidR="002A2048" w:rsidRPr="00282123" w:rsidRDefault="002A2048" w:rsidP="002A2048">
      <w:pPr>
        <w:pStyle w:val="Endofdocument-Annex"/>
        <w:rPr>
          <w:lang w:val="es-ES"/>
        </w:rPr>
        <w:sectPr w:rsidR="002A2048" w:rsidRPr="00282123" w:rsidSect="003C2450">
          <w:headerReference w:type="default" r:id="rId10"/>
          <w:endnotePr>
            <w:numFmt w:val="decimal"/>
          </w:endnotePr>
          <w:pgSz w:w="11907" w:h="16840" w:code="9"/>
          <w:pgMar w:top="567" w:right="1134" w:bottom="851" w:left="1418" w:header="510" w:footer="1021" w:gutter="0"/>
          <w:cols w:space="720"/>
          <w:titlePg/>
        </w:sectPr>
      </w:pPr>
    </w:p>
    <w:p w:rsidR="002A2048" w:rsidRPr="00282123" w:rsidRDefault="003B558A" w:rsidP="003B558A">
      <w:pPr>
        <w:pStyle w:val="Heading1"/>
        <w:rPr>
          <w:lang w:val="es-ES"/>
        </w:rPr>
      </w:pPr>
      <w:r w:rsidRPr="00282123">
        <w:rPr>
          <w:lang w:val="es-ES"/>
        </w:rPr>
        <w:lastRenderedPageBreak/>
        <w:t>modificaci</w:t>
      </w:r>
      <w:r w:rsidR="00206107" w:rsidRPr="00282123">
        <w:rPr>
          <w:lang w:val="es-ES"/>
        </w:rPr>
        <w:t>ones</w:t>
      </w:r>
      <w:r w:rsidRPr="00282123">
        <w:rPr>
          <w:lang w:val="es-ES"/>
        </w:rPr>
        <w:t xml:space="preserve"> del reglamento común del arreglo de madrid relativo al registro internacional de marcas y del protocolo concerniente a ese arreglo</w:t>
      </w:r>
    </w:p>
    <w:p w:rsidR="002A2048" w:rsidRPr="00282123" w:rsidRDefault="002A2048" w:rsidP="002A2048">
      <w:pPr>
        <w:rPr>
          <w:lang w:val="es-ES"/>
        </w:rPr>
      </w:pPr>
    </w:p>
    <w:p w:rsidR="002A2048" w:rsidRPr="00282123" w:rsidRDefault="003B558A" w:rsidP="002A2048">
      <w:pPr>
        <w:rPr>
          <w:lang w:val="es-ES"/>
        </w:rPr>
      </w:pPr>
      <w:r w:rsidRPr="00E14B91">
        <w:rPr>
          <w:szCs w:val="24"/>
          <w:lang w:val="es-ES"/>
        </w:rPr>
        <w:t>Aprobadas</w:t>
      </w:r>
      <w:r w:rsidRPr="00282123">
        <w:rPr>
          <w:szCs w:val="24"/>
          <w:lang w:val="es-ES"/>
        </w:rPr>
        <w:t xml:space="preserve"> el 11 de octubre de 2016 por la Asamblea de la Unión Particular para el Registro Internacional de Marcas (Unión de Madrid) en su quincuagésimo período de sesiones (29º extraordinario), celebrado del 3 al 11 de octubre de </w:t>
      </w:r>
      <w:r w:rsidR="002A2048" w:rsidRPr="00282123">
        <w:rPr>
          <w:szCs w:val="24"/>
          <w:lang w:val="es-ES"/>
        </w:rPr>
        <w:t xml:space="preserve">2016, </w:t>
      </w:r>
      <w:r w:rsidRPr="00282123">
        <w:rPr>
          <w:szCs w:val="24"/>
          <w:lang w:val="es-ES"/>
        </w:rPr>
        <w:t>con efecto a partir del</w:t>
      </w:r>
      <w:r w:rsidR="00060ED6">
        <w:rPr>
          <w:szCs w:val="24"/>
          <w:lang w:val="es-ES"/>
        </w:rPr>
        <w:t> </w:t>
      </w:r>
      <w:r w:rsidRPr="00282123">
        <w:rPr>
          <w:szCs w:val="24"/>
          <w:lang w:val="es-ES"/>
        </w:rPr>
        <w:t>1</w:t>
      </w:r>
      <w:r w:rsidR="00060ED6">
        <w:rPr>
          <w:szCs w:val="24"/>
          <w:lang w:val="es-ES"/>
        </w:rPr>
        <w:t> </w:t>
      </w:r>
      <w:r w:rsidRPr="00282123">
        <w:rPr>
          <w:szCs w:val="24"/>
          <w:lang w:val="es-ES"/>
        </w:rPr>
        <w:t>de</w:t>
      </w:r>
      <w:r w:rsidR="00060ED6">
        <w:rPr>
          <w:szCs w:val="24"/>
          <w:lang w:val="es-ES"/>
        </w:rPr>
        <w:t> j</w:t>
      </w:r>
      <w:r w:rsidRPr="00282123">
        <w:rPr>
          <w:szCs w:val="24"/>
          <w:lang w:val="es-ES"/>
        </w:rPr>
        <w:t>ulio</w:t>
      </w:r>
      <w:r w:rsidR="00060ED6">
        <w:rPr>
          <w:szCs w:val="24"/>
          <w:lang w:val="es-ES"/>
        </w:rPr>
        <w:t> de </w:t>
      </w:r>
      <w:r w:rsidR="002A2048" w:rsidRPr="00282123">
        <w:rPr>
          <w:szCs w:val="24"/>
          <w:lang w:val="es-ES"/>
        </w:rPr>
        <w:t>2017</w:t>
      </w:r>
    </w:p>
    <w:p w:rsidR="002A2048" w:rsidRPr="00282123" w:rsidRDefault="002A2048" w:rsidP="002A2048">
      <w:pPr>
        <w:rPr>
          <w:lang w:val="es-ES"/>
        </w:rPr>
      </w:pPr>
    </w:p>
    <w:p w:rsidR="002A2048" w:rsidRPr="00282123" w:rsidRDefault="002A2048" w:rsidP="002A2048">
      <w:pPr>
        <w:rPr>
          <w:lang w:val="es-ES"/>
        </w:rPr>
      </w:pPr>
    </w:p>
    <w:p w:rsidR="008B4637" w:rsidRPr="00282123" w:rsidRDefault="003B558A" w:rsidP="002A2048">
      <w:pPr>
        <w:jc w:val="center"/>
        <w:rPr>
          <w:b/>
          <w:lang w:val="es-ES" w:eastAsia="en-US"/>
        </w:rPr>
      </w:pPr>
      <w:r w:rsidRPr="00282123">
        <w:rPr>
          <w:b/>
          <w:lang w:val="es-ES" w:eastAsia="en-US"/>
        </w:rPr>
        <w:t>Regl</w:t>
      </w:r>
      <w:r w:rsidR="008B4637" w:rsidRPr="00282123">
        <w:rPr>
          <w:b/>
          <w:lang w:val="es-ES" w:eastAsia="en-US"/>
        </w:rPr>
        <w:t>a</w:t>
      </w:r>
      <w:r w:rsidRPr="00282123">
        <w:rPr>
          <w:b/>
          <w:lang w:val="es-ES" w:eastAsia="en-US"/>
        </w:rPr>
        <w:t xml:space="preserve">mento </w:t>
      </w:r>
      <w:r w:rsidR="008B4637" w:rsidRPr="00282123">
        <w:rPr>
          <w:b/>
          <w:lang w:val="es-ES" w:eastAsia="en-US"/>
        </w:rPr>
        <w:t>Común</w:t>
      </w:r>
    </w:p>
    <w:p w:rsidR="008B4637" w:rsidRPr="00282123" w:rsidRDefault="008B4637" w:rsidP="002A2048">
      <w:pPr>
        <w:jc w:val="center"/>
        <w:rPr>
          <w:b/>
          <w:lang w:val="es-ES" w:eastAsia="en-US"/>
        </w:rPr>
      </w:pPr>
      <w:r w:rsidRPr="00282123">
        <w:rPr>
          <w:b/>
          <w:lang w:val="es-ES" w:eastAsia="en-US"/>
        </w:rPr>
        <w:t xml:space="preserve"> del Arreglo de Madrid relativo al </w:t>
      </w:r>
    </w:p>
    <w:p w:rsidR="008B4637" w:rsidRPr="00282123" w:rsidRDefault="008B4637" w:rsidP="002A2048">
      <w:pPr>
        <w:jc w:val="center"/>
        <w:rPr>
          <w:b/>
          <w:lang w:val="es-ES" w:eastAsia="en-US"/>
        </w:rPr>
      </w:pPr>
      <w:r w:rsidRPr="00282123">
        <w:rPr>
          <w:b/>
          <w:lang w:val="es-ES" w:eastAsia="en-US"/>
        </w:rPr>
        <w:t>Registro Internacional de Marcas</w:t>
      </w:r>
    </w:p>
    <w:p w:rsidR="002A2048" w:rsidRPr="00282123" w:rsidRDefault="008B4637" w:rsidP="002A2048">
      <w:pPr>
        <w:jc w:val="center"/>
        <w:rPr>
          <w:lang w:val="es-ES" w:eastAsia="en-US"/>
        </w:rPr>
      </w:pPr>
      <w:r w:rsidRPr="00282123">
        <w:rPr>
          <w:b/>
          <w:lang w:val="es-ES" w:eastAsia="en-US"/>
        </w:rPr>
        <w:t>y del Protocolo concerniente a ese Arreglo</w:t>
      </w:r>
      <w:r w:rsidR="002A2048" w:rsidRPr="00282123">
        <w:rPr>
          <w:b/>
          <w:lang w:val="es-ES" w:eastAsia="en-US"/>
        </w:rPr>
        <w:br/>
      </w:r>
    </w:p>
    <w:p w:rsidR="002A2048" w:rsidRPr="00282123" w:rsidRDefault="002A2048" w:rsidP="002A2048">
      <w:pPr>
        <w:jc w:val="center"/>
        <w:rPr>
          <w:lang w:val="es-ES" w:eastAsia="en-US"/>
        </w:rPr>
      </w:pPr>
      <w:r w:rsidRPr="00282123">
        <w:rPr>
          <w:lang w:val="es-ES" w:eastAsia="en-US"/>
        </w:rPr>
        <w:t>(</w:t>
      </w:r>
      <w:r w:rsidR="008B4637" w:rsidRPr="00282123">
        <w:rPr>
          <w:lang w:val="es-ES" w:eastAsia="en-US"/>
        </w:rPr>
        <w:t>texto en vigor el 1 de julio de</w:t>
      </w:r>
      <w:r w:rsidRPr="00282123">
        <w:rPr>
          <w:lang w:val="es-ES" w:eastAsia="en-US"/>
        </w:rPr>
        <w:t> 2017)</w:t>
      </w:r>
    </w:p>
    <w:p w:rsidR="002A2048" w:rsidRPr="00282123" w:rsidRDefault="002A2048" w:rsidP="002A2048">
      <w:pPr>
        <w:jc w:val="center"/>
        <w:rPr>
          <w:lang w:val="es-ES" w:eastAsia="en-US"/>
        </w:rPr>
      </w:pPr>
    </w:p>
    <w:p w:rsidR="002A2048" w:rsidRPr="00282123" w:rsidRDefault="002A2048" w:rsidP="002A2048">
      <w:pPr>
        <w:jc w:val="center"/>
        <w:rPr>
          <w:lang w:val="es-ES" w:eastAsia="en-US"/>
        </w:rPr>
      </w:pPr>
      <w:r w:rsidRPr="00282123">
        <w:rPr>
          <w:lang w:val="es-ES" w:eastAsia="en-US"/>
        </w:rPr>
        <w:t>[…]</w:t>
      </w:r>
    </w:p>
    <w:p w:rsidR="002A2048" w:rsidRPr="00282123" w:rsidRDefault="002A2048" w:rsidP="002A2048">
      <w:pPr>
        <w:jc w:val="center"/>
        <w:rPr>
          <w:lang w:val="es-ES" w:eastAsia="en-US"/>
        </w:rPr>
      </w:pPr>
    </w:p>
    <w:p w:rsidR="002A2048" w:rsidRPr="00282123" w:rsidRDefault="008B4637" w:rsidP="002A2048">
      <w:pPr>
        <w:jc w:val="center"/>
        <w:rPr>
          <w:b/>
          <w:lang w:val="es-ES" w:eastAsia="en-US"/>
        </w:rPr>
      </w:pPr>
      <w:r w:rsidRPr="00282123">
        <w:rPr>
          <w:b/>
          <w:lang w:val="es-ES" w:eastAsia="en-US"/>
        </w:rPr>
        <w:t>Capítulo</w:t>
      </w:r>
      <w:r w:rsidR="002A2048" w:rsidRPr="00282123">
        <w:rPr>
          <w:b/>
          <w:lang w:val="es-ES" w:eastAsia="en-US"/>
        </w:rPr>
        <w:t xml:space="preserve"> 2</w:t>
      </w:r>
    </w:p>
    <w:p w:rsidR="002A2048" w:rsidRPr="00282123" w:rsidRDefault="008B4637" w:rsidP="002A2048">
      <w:pPr>
        <w:jc w:val="center"/>
        <w:rPr>
          <w:b/>
          <w:lang w:val="es-ES" w:eastAsia="en-US"/>
        </w:rPr>
      </w:pPr>
      <w:r w:rsidRPr="00282123">
        <w:rPr>
          <w:b/>
          <w:lang w:val="es-ES" w:eastAsia="en-US"/>
        </w:rPr>
        <w:t>Solicitudes internacionales</w:t>
      </w:r>
    </w:p>
    <w:p w:rsidR="002A2048" w:rsidRPr="00282123" w:rsidRDefault="002A2048" w:rsidP="002A2048">
      <w:pPr>
        <w:jc w:val="center"/>
        <w:rPr>
          <w:lang w:val="es-ES" w:eastAsia="en-US"/>
        </w:rPr>
      </w:pPr>
    </w:p>
    <w:p w:rsidR="002A2048" w:rsidRPr="00282123" w:rsidRDefault="002A2048" w:rsidP="002A2048">
      <w:pPr>
        <w:jc w:val="center"/>
        <w:rPr>
          <w:lang w:val="es-ES" w:eastAsia="en-US"/>
        </w:rPr>
      </w:pPr>
      <w:r w:rsidRPr="00282123">
        <w:rPr>
          <w:lang w:val="es-ES" w:eastAsia="en-US"/>
        </w:rPr>
        <w:t>[…]</w:t>
      </w:r>
    </w:p>
    <w:p w:rsidR="002A2048" w:rsidRPr="00282123" w:rsidRDefault="002A2048" w:rsidP="002A2048">
      <w:pPr>
        <w:jc w:val="center"/>
        <w:rPr>
          <w:b/>
          <w:lang w:val="es-ES" w:eastAsia="en-US"/>
        </w:rPr>
      </w:pPr>
    </w:p>
    <w:p w:rsidR="002A2048" w:rsidRPr="00282123" w:rsidRDefault="008B4637" w:rsidP="002A2048">
      <w:pPr>
        <w:jc w:val="center"/>
        <w:rPr>
          <w:i/>
          <w:lang w:val="es-ES" w:eastAsia="en-US"/>
        </w:rPr>
      </w:pPr>
      <w:r w:rsidRPr="00282123">
        <w:rPr>
          <w:i/>
          <w:lang w:val="es-ES" w:eastAsia="en-US"/>
        </w:rPr>
        <w:t>Regla</w:t>
      </w:r>
      <w:r w:rsidR="002A2048" w:rsidRPr="00282123">
        <w:rPr>
          <w:i/>
          <w:lang w:val="es-ES" w:eastAsia="en-US"/>
        </w:rPr>
        <w:t xml:space="preserve"> 12</w:t>
      </w:r>
    </w:p>
    <w:p w:rsidR="002A2048" w:rsidRPr="00282123" w:rsidRDefault="008B4637" w:rsidP="002A2048">
      <w:pPr>
        <w:jc w:val="center"/>
        <w:rPr>
          <w:i/>
          <w:lang w:val="es-ES" w:eastAsia="en-US"/>
        </w:rPr>
      </w:pPr>
      <w:r w:rsidRPr="00282123">
        <w:rPr>
          <w:i/>
          <w:lang w:val="es-ES" w:eastAsia="en-US"/>
        </w:rPr>
        <w:t>Irregularidades respecto a la</w:t>
      </w:r>
    </w:p>
    <w:p w:rsidR="002A2048" w:rsidRPr="00282123" w:rsidRDefault="008B4637" w:rsidP="002A2048">
      <w:pPr>
        <w:jc w:val="center"/>
        <w:rPr>
          <w:i/>
          <w:lang w:val="es-ES" w:eastAsia="en-US"/>
        </w:rPr>
      </w:pPr>
      <w:r w:rsidRPr="00282123">
        <w:rPr>
          <w:i/>
          <w:lang w:val="es-ES" w:eastAsia="en-US"/>
        </w:rPr>
        <w:t>clasificación de productos y servicios</w:t>
      </w:r>
    </w:p>
    <w:p w:rsidR="002A2048" w:rsidRPr="00282123" w:rsidRDefault="002A2048" w:rsidP="002A2048">
      <w:pPr>
        <w:jc w:val="center"/>
        <w:rPr>
          <w:b/>
          <w:lang w:val="es-ES" w:eastAsia="en-US"/>
        </w:rPr>
      </w:pPr>
    </w:p>
    <w:p w:rsidR="002A2048" w:rsidRPr="00282123" w:rsidRDefault="002A2048" w:rsidP="002A2048">
      <w:pPr>
        <w:tabs>
          <w:tab w:val="left" w:pos="567"/>
        </w:tabs>
        <w:rPr>
          <w:lang w:val="es-ES" w:eastAsia="en-US"/>
        </w:rPr>
      </w:pPr>
      <w:r w:rsidRPr="00282123">
        <w:rPr>
          <w:lang w:val="es-ES" w:eastAsia="en-US"/>
        </w:rPr>
        <w:tab/>
        <w:t>[…]</w:t>
      </w:r>
    </w:p>
    <w:p w:rsidR="002A2048" w:rsidRPr="00282123" w:rsidRDefault="002A2048" w:rsidP="002A2048">
      <w:pPr>
        <w:rPr>
          <w:lang w:val="es-ES" w:eastAsia="en-US"/>
        </w:rPr>
      </w:pPr>
    </w:p>
    <w:p w:rsidR="002A2048" w:rsidRPr="00282123" w:rsidRDefault="002A2048" w:rsidP="002A2048">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val="es-ES" w:eastAsia="en-US"/>
        </w:rPr>
      </w:pPr>
      <w:r w:rsidRPr="00282123">
        <w:rPr>
          <w:rFonts w:ascii="Times New Roman" w:eastAsia="Times New Roman" w:hAnsi="Times New Roman" w:cs="Times New Roman"/>
          <w:sz w:val="30"/>
          <w:szCs w:val="30"/>
          <w:lang w:val="es-ES" w:eastAsia="en-US"/>
        </w:rPr>
        <w:tab/>
      </w:r>
      <w:r w:rsidRPr="00282123">
        <w:rPr>
          <w:rFonts w:eastAsia="Times New Roman"/>
          <w:szCs w:val="22"/>
          <w:lang w:val="es-ES" w:eastAsia="en-US"/>
        </w:rPr>
        <w:t>(8</w:t>
      </w:r>
      <w:r w:rsidRPr="00282123">
        <w:rPr>
          <w:rFonts w:eastAsia="Times New Roman"/>
          <w:i/>
          <w:szCs w:val="22"/>
          <w:lang w:val="es-ES" w:eastAsia="en-US"/>
        </w:rPr>
        <w:t>bis</w:t>
      </w:r>
      <w:r w:rsidRPr="00282123">
        <w:rPr>
          <w:rFonts w:eastAsia="Times New Roman"/>
          <w:szCs w:val="22"/>
          <w:lang w:val="es-ES" w:eastAsia="en-US"/>
        </w:rPr>
        <w:t>)  </w:t>
      </w:r>
      <w:r w:rsidRPr="00282123">
        <w:rPr>
          <w:rFonts w:eastAsia="Times New Roman"/>
          <w:i/>
          <w:szCs w:val="22"/>
          <w:lang w:val="es-ES" w:eastAsia="en-US"/>
        </w:rPr>
        <w:t>[</w:t>
      </w:r>
      <w:r w:rsidR="008B4637" w:rsidRPr="00282123">
        <w:rPr>
          <w:rFonts w:eastAsia="Times New Roman"/>
          <w:i/>
          <w:szCs w:val="22"/>
          <w:lang w:val="es-ES" w:eastAsia="en-US"/>
        </w:rPr>
        <w:t>Examen de las limitaciones</w:t>
      </w:r>
      <w:r w:rsidRPr="00282123">
        <w:rPr>
          <w:rFonts w:eastAsia="Times New Roman"/>
          <w:i/>
          <w:szCs w:val="22"/>
          <w:lang w:val="es-ES" w:eastAsia="en-US"/>
        </w:rPr>
        <w:t>]  </w:t>
      </w:r>
      <w:r w:rsidR="008B4637" w:rsidRPr="00282123">
        <w:rPr>
          <w:rFonts w:eastAsia="Times New Roman"/>
          <w:szCs w:val="22"/>
          <w:lang w:val="es-ES" w:eastAsia="en-US"/>
        </w:rPr>
        <w:t xml:space="preserve">La Oficina Internacional examinará las limitaciones contenidas en una solicitud internacional, aplicando los párrafos 1)a) y 2) a 6), </w:t>
      </w:r>
      <w:r w:rsidR="008B4637" w:rsidRPr="00282123">
        <w:rPr>
          <w:rFonts w:eastAsia="Times New Roman"/>
          <w:i/>
          <w:szCs w:val="22"/>
          <w:lang w:val="es-ES" w:eastAsia="en-US"/>
        </w:rPr>
        <w:t xml:space="preserve">mutatis mutandis.  </w:t>
      </w:r>
      <w:r w:rsidR="008B4637" w:rsidRPr="00282123">
        <w:rPr>
          <w:rFonts w:eastAsia="Times New Roman"/>
          <w:szCs w:val="22"/>
          <w:lang w:val="es-ES" w:eastAsia="en-US"/>
        </w:rPr>
        <w:t>Cuando la Oficina Internacional no pueda agrupar los productos y servicios enumerados en la limitación con arreglo a las clases de la Clasificación Internacional de Productos y Servicios enumeradas en la solicitud internacional en cuestión, modificada de conformidad con los párrafos 1) a 6), según sea el caso, notificará la existencia de una irregularidad.  Si la irregularidad no se subsana en los tres meses siguientes a la fecha de notificación de la misma, se considerará que la limitación no abarca los productos y servicios mencionados en esa irregularidad</w:t>
      </w:r>
      <w:r w:rsidRPr="00282123">
        <w:rPr>
          <w:rFonts w:eastAsia="Times New Roman"/>
          <w:szCs w:val="22"/>
          <w:lang w:val="es-ES" w:eastAsia="en-US"/>
        </w:rPr>
        <w:t xml:space="preserve">.  </w:t>
      </w:r>
    </w:p>
    <w:p w:rsidR="002A2048" w:rsidRPr="00282123" w:rsidRDefault="002A2048" w:rsidP="002A2048">
      <w:pPr>
        <w:rPr>
          <w:lang w:val="es-ES" w:eastAsia="en-US"/>
        </w:rPr>
      </w:pPr>
    </w:p>
    <w:p w:rsidR="002A2048" w:rsidRPr="00282123" w:rsidRDefault="002A2048" w:rsidP="002A2048">
      <w:pPr>
        <w:tabs>
          <w:tab w:val="left" w:pos="567"/>
        </w:tabs>
        <w:rPr>
          <w:lang w:val="es-ES" w:eastAsia="en-US"/>
        </w:rPr>
      </w:pPr>
      <w:r w:rsidRPr="00282123">
        <w:rPr>
          <w:lang w:val="es-ES" w:eastAsia="en-US"/>
        </w:rPr>
        <w:tab/>
        <w:t>[…]</w:t>
      </w:r>
    </w:p>
    <w:p w:rsidR="002A2048" w:rsidRPr="00282123" w:rsidRDefault="002A2048" w:rsidP="002A2048">
      <w:pPr>
        <w:pStyle w:val="Endofdocument-Annex"/>
        <w:ind w:left="0"/>
        <w:rPr>
          <w:lang w:val="es-ES"/>
        </w:rPr>
      </w:pPr>
    </w:p>
    <w:p w:rsidR="002A2048" w:rsidRPr="00282123" w:rsidRDefault="002A2048" w:rsidP="002A2048">
      <w:pPr>
        <w:pStyle w:val="Endofdocument-Annex"/>
        <w:ind w:left="0"/>
        <w:rPr>
          <w:lang w:val="es-ES"/>
        </w:rPr>
        <w:sectPr w:rsidR="002A2048" w:rsidRPr="00282123" w:rsidSect="00DB39CB">
          <w:headerReference w:type="first" r:id="rId11"/>
          <w:endnotePr>
            <w:numFmt w:val="decimal"/>
          </w:endnotePr>
          <w:pgSz w:w="11907" w:h="16840" w:code="9"/>
          <w:pgMar w:top="567" w:right="1134" w:bottom="568" w:left="1418" w:header="510" w:footer="1021" w:gutter="0"/>
          <w:pgNumType w:start="2"/>
          <w:cols w:space="720"/>
          <w:titlePg/>
          <w:docGrid w:linePitch="299"/>
        </w:sectPr>
      </w:pPr>
    </w:p>
    <w:p w:rsidR="002A2048" w:rsidRPr="00282123" w:rsidRDefault="008B4637" w:rsidP="002A2048">
      <w:pPr>
        <w:tabs>
          <w:tab w:val="left" w:pos="567"/>
          <w:tab w:val="left" w:pos="1134"/>
          <w:tab w:val="left" w:pos="1701"/>
          <w:tab w:val="left" w:pos="2268"/>
          <w:tab w:val="left" w:pos="2835"/>
          <w:tab w:val="left" w:pos="3402"/>
        </w:tabs>
        <w:ind w:left="567" w:hanging="567"/>
        <w:jc w:val="center"/>
        <w:rPr>
          <w:b/>
          <w:szCs w:val="22"/>
          <w:lang w:val="es-ES"/>
        </w:rPr>
      </w:pPr>
      <w:r w:rsidRPr="00282123">
        <w:rPr>
          <w:b/>
          <w:szCs w:val="22"/>
          <w:lang w:val="es-ES"/>
        </w:rPr>
        <w:t>Capítulo</w:t>
      </w:r>
      <w:r w:rsidR="002A2048" w:rsidRPr="00282123">
        <w:rPr>
          <w:b/>
          <w:szCs w:val="22"/>
          <w:lang w:val="es-ES"/>
        </w:rPr>
        <w:t xml:space="preserve"> 5</w:t>
      </w:r>
    </w:p>
    <w:p w:rsidR="002A2048" w:rsidRPr="00282123" w:rsidRDefault="008B4637" w:rsidP="002A2048">
      <w:pPr>
        <w:tabs>
          <w:tab w:val="left" w:pos="567"/>
          <w:tab w:val="left" w:pos="1134"/>
          <w:tab w:val="left" w:pos="1701"/>
          <w:tab w:val="left" w:pos="2268"/>
          <w:tab w:val="left" w:pos="2835"/>
          <w:tab w:val="left" w:pos="3402"/>
        </w:tabs>
        <w:ind w:left="567" w:hanging="567"/>
        <w:jc w:val="center"/>
        <w:rPr>
          <w:b/>
          <w:szCs w:val="22"/>
          <w:lang w:val="es-ES"/>
        </w:rPr>
      </w:pPr>
      <w:r w:rsidRPr="00282123">
        <w:rPr>
          <w:b/>
          <w:szCs w:val="22"/>
          <w:lang w:val="es-ES"/>
        </w:rPr>
        <w:t>Designaciones posteriores</w:t>
      </w:r>
      <w:r w:rsidR="002A2048" w:rsidRPr="00282123">
        <w:rPr>
          <w:b/>
          <w:szCs w:val="22"/>
          <w:lang w:val="es-ES"/>
        </w:rPr>
        <w:t xml:space="preserve">;  </w:t>
      </w:r>
      <w:r w:rsidRPr="00282123">
        <w:rPr>
          <w:b/>
          <w:szCs w:val="22"/>
          <w:lang w:val="es-ES"/>
        </w:rPr>
        <w:t>cambios</w:t>
      </w:r>
    </w:p>
    <w:p w:rsidR="002A2048" w:rsidRPr="00282123" w:rsidRDefault="002A2048" w:rsidP="002A2048">
      <w:pPr>
        <w:jc w:val="both"/>
        <w:rPr>
          <w:lang w:val="es-ES" w:eastAsia="en-US"/>
        </w:rPr>
      </w:pPr>
    </w:p>
    <w:p w:rsidR="002A2048" w:rsidRPr="00282123" w:rsidRDefault="002A2048" w:rsidP="002A2048">
      <w:pPr>
        <w:tabs>
          <w:tab w:val="left" w:pos="567"/>
          <w:tab w:val="left" w:pos="1134"/>
          <w:tab w:val="left" w:pos="1701"/>
          <w:tab w:val="left" w:pos="2268"/>
          <w:tab w:val="left" w:pos="2835"/>
          <w:tab w:val="left" w:pos="3402"/>
        </w:tabs>
        <w:jc w:val="center"/>
        <w:rPr>
          <w:szCs w:val="22"/>
          <w:lang w:val="es-ES"/>
        </w:rPr>
      </w:pPr>
      <w:r w:rsidRPr="00282123">
        <w:rPr>
          <w:szCs w:val="22"/>
          <w:lang w:val="es-ES"/>
        </w:rPr>
        <w:t>[…]</w:t>
      </w:r>
    </w:p>
    <w:p w:rsidR="002A2048" w:rsidRPr="00282123" w:rsidRDefault="002A2048" w:rsidP="002A2048">
      <w:pPr>
        <w:jc w:val="center"/>
        <w:rPr>
          <w:lang w:val="es-ES" w:eastAsia="en-US"/>
        </w:rPr>
      </w:pPr>
    </w:p>
    <w:p w:rsidR="002A2048" w:rsidRPr="00282123" w:rsidRDefault="008B4637" w:rsidP="002A2048">
      <w:pPr>
        <w:jc w:val="center"/>
        <w:rPr>
          <w:i/>
          <w:szCs w:val="22"/>
          <w:lang w:val="es-ES"/>
        </w:rPr>
      </w:pPr>
      <w:r w:rsidRPr="00282123">
        <w:rPr>
          <w:i/>
          <w:szCs w:val="22"/>
          <w:lang w:val="es-ES"/>
        </w:rPr>
        <w:t>Regla</w:t>
      </w:r>
      <w:r w:rsidR="002A2048" w:rsidRPr="00282123">
        <w:rPr>
          <w:i/>
          <w:szCs w:val="22"/>
          <w:lang w:val="es-ES"/>
        </w:rPr>
        <w:t xml:space="preserve"> 25</w:t>
      </w:r>
    </w:p>
    <w:p w:rsidR="002A2048" w:rsidRPr="00282123" w:rsidRDefault="008B4637" w:rsidP="002A2048">
      <w:pPr>
        <w:jc w:val="center"/>
        <w:rPr>
          <w:szCs w:val="22"/>
          <w:lang w:val="es-ES"/>
        </w:rPr>
      </w:pPr>
      <w:r w:rsidRPr="00282123">
        <w:rPr>
          <w:i/>
          <w:szCs w:val="22"/>
          <w:lang w:val="es-ES"/>
        </w:rPr>
        <w:t>Petición de inscripción</w:t>
      </w:r>
    </w:p>
    <w:p w:rsidR="002A2048" w:rsidRPr="00282123" w:rsidRDefault="002A2048" w:rsidP="002A2048">
      <w:pPr>
        <w:jc w:val="center"/>
        <w:rPr>
          <w:lang w:val="es-ES" w:eastAsia="en-US"/>
        </w:rPr>
      </w:pPr>
    </w:p>
    <w:p w:rsidR="002A2048" w:rsidRPr="00282123" w:rsidRDefault="002A2048" w:rsidP="002A2048">
      <w:pPr>
        <w:jc w:val="both"/>
        <w:rPr>
          <w:lang w:val="es-ES" w:eastAsia="en-US"/>
        </w:rPr>
      </w:pPr>
      <w:r w:rsidRPr="00282123">
        <w:rPr>
          <w:lang w:val="es-ES" w:eastAsia="en-US"/>
        </w:rPr>
        <w:tab/>
        <w:t>1)</w:t>
      </w:r>
      <w:r w:rsidRPr="00282123">
        <w:rPr>
          <w:lang w:val="es-ES" w:eastAsia="en-US"/>
        </w:rPr>
        <w:tab/>
      </w:r>
      <w:r w:rsidRPr="00282123">
        <w:rPr>
          <w:i/>
          <w:lang w:val="es-ES" w:eastAsia="en-US"/>
        </w:rPr>
        <w:t>[</w:t>
      </w:r>
      <w:r w:rsidR="00206107" w:rsidRPr="00282123">
        <w:rPr>
          <w:i/>
          <w:lang w:val="es-ES" w:eastAsia="en-US"/>
        </w:rPr>
        <w:t>Presentación de la petición]</w:t>
      </w:r>
      <w:r w:rsidR="00206107" w:rsidRPr="00282123">
        <w:rPr>
          <w:lang w:val="es-ES" w:eastAsia="en-US"/>
        </w:rPr>
        <w:t>  a)  Se presentará una petición de inscripción a la Oficina Internacional en un solo ejemplar del formulario oficial pertinente cuando la petición se refiera a alguno de los aspectos siguientes</w:t>
      </w:r>
      <w:r w:rsidRPr="00282123">
        <w:rPr>
          <w:lang w:val="es-ES" w:eastAsia="en-US"/>
        </w:rPr>
        <w:t xml:space="preserve">:  </w:t>
      </w:r>
    </w:p>
    <w:p w:rsidR="002A2048" w:rsidRPr="00282123" w:rsidRDefault="002A2048" w:rsidP="002A2048">
      <w:pPr>
        <w:jc w:val="both"/>
        <w:rPr>
          <w:lang w:val="es-ES" w:eastAsia="en-US"/>
        </w:rPr>
      </w:pPr>
      <w:r w:rsidRPr="00282123">
        <w:rPr>
          <w:lang w:val="es-ES" w:eastAsia="en-US"/>
        </w:rPr>
        <w:tab/>
      </w:r>
      <w:r w:rsidRPr="00282123">
        <w:rPr>
          <w:lang w:val="es-ES" w:eastAsia="en-US"/>
        </w:rPr>
        <w:tab/>
      </w:r>
      <w:r w:rsidRPr="00282123">
        <w:rPr>
          <w:lang w:val="es-ES" w:eastAsia="en-US"/>
        </w:rPr>
        <w:tab/>
        <w:t>[…]</w:t>
      </w:r>
    </w:p>
    <w:p w:rsidR="002A2048" w:rsidRPr="00282123" w:rsidRDefault="00206107" w:rsidP="002A2048">
      <w:pPr>
        <w:jc w:val="both"/>
        <w:rPr>
          <w:lang w:val="es-ES" w:eastAsia="en-US"/>
        </w:rPr>
      </w:pPr>
      <w:r w:rsidRPr="00282123">
        <w:rPr>
          <w:lang w:val="es-ES" w:eastAsia="en-US"/>
        </w:rPr>
        <w:tab/>
      </w:r>
      <w:r w:rsidRPr="00282123">
        <w:rPr>
          <w:lang w:val="es-ES" w:eastAsia="en-US"/>
        </w:rPr>
        <w:tab/>
      </w:r>
      <w:r w:rsidRPr="00282123">
        <w:rPr>
          <w:lang w:val="es-ES" w:eastAsia="en-US"/>
        </w:rPr>
        <w:tab/>
      </w:r>
      <w:r w:rsidR="002A2048" w:rsidRPr="00282123">
        <w:rPr>
          <w:lang w:val="es-ES" w:eastAsia="en-US"/>
        </w:rPr>
        <w:t>iv)</w:t>
      </w:r>
      <w:r w:rsidR="002A2048" w:rsidRPr="00282123">
        <w:rPr>
          <w:lang w:val="es-ES" w:eastAsia="en-US"/>
        </w:rPr>
        <w:tab/>
      </w:r>
      <w:r w:rsidRPr="00282123">
        <w:rPr>
          <w:lang w:val="es-ES" w:eastAsia="en-US"/>
        </w:rPr>
        <w:t xml:space="preserve">un cambio en el nombre o en la dirección del titular o, cuando el titular sea una persona jurídica, una introducción o un cambio de las indicaciones relativas a la naturaleza jurídica del titular </w:t>
      </w:r>
      <w:r w:rsidRPr="00A65BB3">
        <w:rPr>
          <w:lang w:val="es-ES" w:eastAsia="en-US"/>
        </w:rPr>
        <w:t xml:space="preserve">y </w:t>
      </w:r>
      <w:r w:rsidR="00A65BB3" w:rsidRPr="00A65BB3">
        <w:rPr>
          <w:lang w:val="es-ES" w:eastAsia="en-US"/>
        </w:rPr>
        <w:t>al</w:t>
      </w:r>
      <w:r w:rsidRPr="00A65BB3">
        <w:rPr>
          <w:lang w:val="es-ES" w:eastAsia="en-US"/>
        </w:rPr>
        <w:t xml:space="preserve"> Estado y, en</w:t>
      </w:r>
      <w:r w:rsidRPr="00282123">
        <w:rPr>
          <w:lang w:val="es-ES" w:eastAsia="en-US"/>
        </w:rPr>
        <w:t xml:space="preserve"> su caso, la unidad territorial, dentro de ese Estado, al amparo de cuya legislación se haya constituido dicha persona jurídica</w:t>
      </w:r>
      <w:r w:rsidR="002A2048" w:rsidRPr="00282123">
        <w:rPr>
          <w:lang w:val="es-ES" w:eastAsia="en-US"/>
        </w:rPr>
        <w:t xml:space="preserve">; </w:t>
      </w:r>
    </w:p>
    <w:p w:rsidR="002A2048" w:rsidRPr="00282123" w:rsidRDefault="002A2048" w:rsidP="002A2048">
      <w:pPr>
        <w:jc w:val="both"/>
        <w:rPr>
          <w:lang w:val="es-ES" w:eastAsia="en-US"/>
        </w:rPr>
      </w:pPr>
      <w:r w:rsidRPr="00282123">
        <w:rPr>
          <w:lang w:val="es-ES" w:eastAsia="en-US"/>
        </w:rPr>
        <w:tab/>
      </w:r>
      <w:r w:rsidRPr="00282123">
        <w:rPr>
          <w:lang w:val="es-ES" w:eastAsia="en-US"/>
        </w:rPr>
        <w:tab/>
      </w:r>
      <w:r w:rsidRPr="00282123">
        <w:rPr>
          <w:lang w:val="es-ES" w:eastAsia="en-US"/>
        </w:rPr>
        <w:tab/>
        <w:t>[…]</w:t>
      </w:r>
    </w:p>
    <w:p w:rsidR="002A2048" w:rsidRPr="00282123" w:rsidRDefault="002A2048" w:rsidP="002A2048">
      <w:pPr>
        <w:jc w:val="both"/>
        <w:rPr>
          <w:lang w:val="es-ES" w:eastAsia="en-US"/>
        </w:rPr>
      </w:pPr>
    </w:p>
    <w:p w:rsidR="002A2048" w:rsidRPr="00282123" w:rsidRDefault="00206107" w:rsidP="002A2048">
      <w:pPr>
        <w:jc w:val="both"/>
        <w:rPr>
          <w:lang w:val="es-ES" w:eastAsia="en-US"/>
        </w:rPr>
      </w:pPr>
      <w:r w:rsidRPr="00282123">
        <w:rPr>
          <w:lang w:val="es-ES" w:eastAsia="en-US"/>
        </w:rPr>
        <w:tab/>
      </w:r>
      <w:r w:rsidR="002A2048" w:rsidRPr="00282123">
        <w:rPr>
          <w:lang w:val="es-ES" w:eastAsia="en-US"/>
        </w:rPr>
        <w:t>2)</w:t>
      </w:r>
      <w:r w:rsidR="002A2048" w:rsidRPr="00282123">
        <w:rPr>
          <w:lang w:val="es-ES" w:eastAsia="en-US"/>
        </w:rPr>
        <w:tab/>
      </w:r>
      <w:r w:rsidR="002A2048" w:rsidRPr="00282123">
        <w:rPr>
          <w:i/>
          <w:lang w:val="es-ES" w:eastAsia="en-US"/>
        </w:rPr>
        <w:t>[</w:t>
      </w:r>
      <w:r w:rsidRPr="00282123">
        <w:rPr>
          <w:i/>
          <w:lang w:val="es-ES" w:eastAsia="en-US"/>
        </w:rPr>
        <w:t xml:space="preserve">Contenido de la petición]  </w:t>
      </w:r>
      <w:r w:rsidRPr="00282123">
        <w:rPr>
          <w:lang w:val="es-ES" w:eastAsia="en-US"/>
        </w:rPr>
        <w:t>a) En una petición efectuada conforme al párrafo 1)a) figurarán o se indicarán, además de la inscripción solicitada,</w:t>
      </w:r>
    </w:p>
    <w:p w:rsidR="002A2048" w:rsidRPr="00282123" w:rsidRDefault="002A2048" w:rsidP="002A2048">
      <w:pPr>
        <w:jc w:val="both"/>
        <w:rPr>
          <w:lang w:val="es-ES" w:eastAsia="en-US"/>
        </w:rPr>
      </w:pPr>
      <w:r w:rsidRPr="00282123">
        <w:rPr>
          <w:lang w:val="es-ES" w:eastAsia="en-US"/>
        </w:rPr>
        <w:tab/>
      </w:r>
      <w:r w:rsidRPr="00282123">
        <w:rPr>
          <w:lang w:val="es-ES" w:eastAsia="en-US"/>
        </w:rPr>
        <w:tab/>
        <w:t>[…]</w:t>
      </w:r>
    </w:p>
    <w:p w:rsidR="002A2048" w:rsidRPr="00282123" w:rsidRDefault="00206107" w:rsidP="002A2048">
      <w:pPr>
        <w:jc w:val="both"/>
        <w:rPr>
          <w:lang w:val="es-ES" w:eastAsia="en-US"/>
        </w:rPr>
      </w:pPr>
      <w:r w:rsidRPr="00282123">
        <w:rPr>
          <w:lang w:val="es-ES" w:eastAsia="en-US"/>
        </w:rPr>
        <w:tab/>
      </w:r>
      <w:r w:rsidRPr="00282123">
        <w:rPr>
          <w:lang w:val="es-ES" w:eastAsia="en-US"/>
        </w:rPr>
        <w:tab/>
      </w:r>
      <w:r w:rsidR="002A2048" w:rsidRPr="00282123">
        <w:rPr>
          <w:lang w:val="es-ES" w:eastAsia="en-US"/>
        </w:rPr>
        <w:t>d)</w:t>
      </w:r>
      <w:r w:rsidR="002A2048" w:rsidRPr="00282123">
        <w:rPr>
          <w:lang w:val="es-ES" w:eastAsia="en-US"/>
        </w:rPr>
        <w:tab/>
      </w:r>
      <w:r w:rsidRPr="00282123">
        <w:rPr>
          <w:lang w:val="es-ES" w:eastAsia="en-US"/>
        </w:rPr>
        <w:t>En la petición de inscripción de una limitación se agruparán los productos y servicios limitados únicamente con arreglo a los números correspondientes de las clases de la Clasificación Internacional de Productos y Servicios que figuran en el registro internacional o, cuando la limitación afecte a todos los productos y servicios en una o más de esas clases, se indicarán las clases que han de suprimirse</w:t>
      </w:r>
      <w:r w:rsidR="002A2048" w:rsidRPr="00282123">
        <w:rPr>
          <w:lang w:val="es-ES" w:eastAsia="en-US"/>
        </w:rPr>
        <w:t>.</w:t>
      </w:r>
    </w:p>
    <w:p w:rsidR="002A2048" w:rsidRPr="00282123" w:rsidRDefault="002A2048" w:rsidP="002A2048">
      <w:pPr>
        <w:jc w:val="both"/>
        <w:rPr>
          <w:lang w:val="es-ES" w:eastAsia="en-US"/>
        </w:rPr>
      </w:pPr>
    </w:p>
    <w:p w:rsidR="002A2048" w:rsidRPr="00282123" w:rsidRDefault="002A2048" w:rsidP="002A2048">
      <w:pPr>
        <w:jc w:val="both"/>
        <w:rPr>
          <w:lang w:val="es-ES" w:eastAsia="en-US"/>
        </w:rPr>
      </w:pPr>
      <w:r w:rsidRPr="00282123">
        <w:rPr>
          <w:lang w:val="es-ES" w:eastAsia="en-US"/>
        </w:rPr>
        <w:tab/>
        <w:t>[…]</w:t>
      </w:r>
    </w:p>
    <w:p w:rsidR="002A2048" w:rsidRPr="00282123" w:rsidRDefault="002A2048" w:rsidP="002A2048">
      <w:pPr>
        <w:jc w:val="center"/>
        <w:rPr>
          <w:lang w:val="es-ES" w:eastAsia="en-US"/>
        </w:rPr>
      </w:pPr>
    </w:p>
    <w:p w:rsidR="002A2048" w:rsidRPr="00282123" w:rsidRDefault="002A2048" w:rsidP="002A2048">
      <w:pPr>
        <w:jc w:val="center"/>
        <w:rPr>
          <w:lang w:val="es-ES" w:eastAsia="en-US"/>
        </w:rPr>
      </w:pPr>
    </w:p>
    <w:p w:rsidR="002A2048" w:rsidRPr="00282123" w:rsidRDefault="00206107" w:rsidP="002A2048">
      <w:pPr>
        <w:jc w:val="center"/>
        <w:rPr>
          <w:i/>
          <w:lang w:val="es-ES" w:eastAsia="en-US"/>
        </w:rPr>
      </w:pPr>
      <w:r w:rsidRPr="00282123">
        <w:rPr>
          <w:i/>
          <w:lang w:val="es-ES" w:eastAsia="en-US"/>
        </w:rPr>
        <w:t>Regla</w:t>
      </w:r>
      <w:r w:rsidR="002A2048" w:rsidRPr="00282123">
        <w:rPr>
          <w:i/>
          <w:lang w:val="es-ES" w:eastAsia="en-US"/>
        </w:rPr>
        <w:t xml:space="preserve"> 26</w:t>
      </w:r>
    </w:p>
    <w:p w:rsidR="002A2048" w:rsidRPr="00282123" w:rsidRDefault="00206107" w:rsidP="002A2048">
      <w:pPr>
        <w:jc w:val="center"/>
        <w:rPr>
          <w:i/>
          <w:lang w:val="es-ES" w:eastAsia="en-US"/>
        </w:rPr>
      </w:pPr>
      <w:r w:rsidRPr="00282123">
        <w:rPr>
          <w:bCs/>
          <w:i/>
          <w:iCs/>
          <w:lang w:val="es-ES" w:eastAsia="en-US"/>
        </w:rPr>
        <w:t>Irregularidades en las peticiones de inscripción en virtud de la Regla 25</w:t>
      </w:r>
    </w:p>
    <w:p w:rsidR="002A2048" w:rsidRPr="00282123" w:rsidRDefault="002A2048" w:rsidP="002A2048">
      <w:pPr>
        <w:jc w:val="both"/>
        <w:rPr>
          <w:lang w:val="es-ES" w:eastAsia="en-US"/>
        </w:rPr>
      </w:pPr>
    </w:p>
    <w:p w:rsidR="002A2048" w:rsidRPr="00282123" w:rsidRDefault="002A2048" w:rsidP="002A2048">
      <w:pPr>
        <w:jc w:val="both"/>
        <w:rPr>
          <w:lang w:val="es-ES" w:eastAsia="en-US"/>
        </w:rPr>
      </w:pPr>
      <w:r w:rsidRPr="00282123">
        <w:rPr>
          <w:lang w:val="es-ES" w:eastAsia="en-US"/>
        </w:rPr>
        <w:tab/>
        <w:t>1)</w:t>
      </w:r>
      <w:r w:rsidRPr="00282123">
        <w:rPr>
          <w:lang w:val="es-ES" w:eastAsia="en-US"/>
        </w:rPr>
        <w:tab/>
      </w:r>
      <w:r w:rsidRPr="00282123">
        <w:rPr>
          <w:i/>
          <w:lang w:val="es-ES" w:eastAsia="en-US"/>
        </w:rPr>
        <w:t>[</w:t>
      </w:r>
      <w:r w:rsidR="00206107" w:rsidRPr="00282123">
        <w:rPr>
          <w:i/>
          <w:lang w:val="es-ES" w:eastAsia="en-US"/>
        </w:rPr>
        <w:t>Petición irregular]</w:t>
      </w:r>
      <w:r w:rsidR="00206107" w:rsidRPr="00282123">
        <w:rPr>
          <w:lang w:val="es-ES" w:eastAsia="en-US"/>
        </w:rPr>
        <w:t>   Si una petición efectuada conforme a la Regla 25.1)a), no cumple los requisitos exigibles, la Oficina Internacional, a reserva de lo dispuesto en el párrafo 3), notificará esa circunstancia al titular y, si la petición fue formulada por una Oficina, a ésta.  A  efectos de la presente Regla, cuando se trate de una petición de inscripción de una limitación, la Oficina Internacional únicamente examinará si los números de las clases indicadas en la limitación figuran en el registro internacional en cuestión</w:t>
      </w:r>
      <w:r w:rsidRPr="00282123">
        <w:rPr>
          <w:lang w:val="es-ES" w:eastAsia="en-US"/>
        </w:rPr>
        <w:t>.</w:t>
      </w:r>
    </w:p>
    <w:p w:rsidR="002A2048" w:rsidRPr="00282123" w:rsidRDefault="002A2048" w:rsidP="002A2048">
      <w:pPr>
        <w:jc w:val="both"/>
        <w:rPr>
          <w:lang w:val="es-ES" w:eastAsia="en-US"/>
        </w:rPr>
      </w:pPr>
    </w:p>
    <w:p w:rsidR="002A2048" w:rsidRPr="00282123" w:rsidRDefault="00206107" w:rsidP="002A2048">
      <w:pPr>
        <w:jc w:val="both"/>
        <w:rPr>
          <w:lang w:val="es-ES" w:eastAsia="en-US"/>
        </w:rPr>
      </w:pPr>
      <w:r w:rsidRPr="00282123">
        <w:rPr>
          <w:lang w:val="es-ES" w:eastAsia="en-US"/>
        </w:rPr>
        <w:tab/>
      </w:r>
      <w:r w:rsidR="002A2048" w:rsidRPr="00282123">
        <w:rPr>
          <w:lang w:val="es-ES" w:eastAsia="en-US"/>
        </w:rPr>
        <w:t>2)</w:t>
      </w:r>
      <w:r w:rsidR="002A2048" w:rsidRPr="00282123">
        <w:rPr>
          <w:lang w:val="es-ES" w:eastAsia="en-US"/>
        </w:rPr>
        <w:tab/>
      </w:r>
      <w:r w:rsidR="002A2048" w:rsidRPr="00282123">
        <w:rPr>
          <w:i/>
          <w:lang w:val="es-ES" w:eastAsia="en-US"/>
        </w:rPr>
        <w:t>[</w:t>
      </w:r>
      <w:r w:rsidRPr="00282123">
        <w:rPr>
          <w:i/>
          <w:iCs/>
          <w:lang w:val="es-ES" w:eastAsia="en-US"/>
        </w:rPr>
        <w:t>Plazo para subsanar la irregularidad]</w:t>
      </w:r>
      <w:r w:rsidRPr="00282123">
        <w:rPr>
          <w:lang w:val="es-ES" w:eastAsia="en-US"/>
        </w:rPr>
        <w:t xml:space="preserve"> La irregularidad se puede subsanar dentro de los tres meses siguientes a la fecha en que la Oficina Internacional la haya notificado. Si la irregularidad no se subsana en ese plazo, la petición se considerará abandonada y la Oficina Internacional notificará en consecuencia y al mismo tiempo al titular y, si la petición</w:t>
      </w:r>
      <w:r w:rsidRPr="00282123">
        <w:rPr>
          <w:lang w:val="es-ES"/>
        </w:rPr>
        <w:t xml:space="preserve"> </w:t>
      </w:r>
      <w:r w:rsidRPr="00282123">
        <w:rPr>
          <w:lang w:val="es-ES" w:eastAsia="en-US"/>
        </w:rPr>
        <w:t>efectuada conforme a la Regla 25.1)a) fue presentada por una Oficina, a ésta, y reembolsará las tasas abonadas al autor del pago de esas tasas, previa deducción de una cuantía correspondiente a la mitad de las tasas pertinentes a que se refiere el punto 7) de la Tabla de tasas</w:t>
      </w:r>
      <w:r w:rsidR="002A2048" w:rsidRPr="00282123">
        <w:rPr>
          <w:lang w:val="es-ES" w:eastAsia="en-US"/>
        </w:rPr>
        <w:t xml:space="preserve">.  </w:t>
      </w:r>
    </w:p>
    <w:p w:rsidR="002A2048" w:rsidRPr="00282123" w:rsidRDefault="002A2048" w:rsidP="002A2048">
      <w:pPr>
        <w:jc w:val="both"/>
        <w:rPr>
          <w:lang w:val="es-ES" w:eastAsia="en-US"/>
        </w:rPr>
      </w:pPr>
    </w:p>
    <w:p w:rsidR="002A2048" w:rsidRPr="00282123" w:rsidRDefault="002A2048" w:rsidP="002A2048">
      <w:pPr>
        <w:pStyle w:val="Endofdocument-Annex"/>
        <w:ind w:left="0"/>
        <w:rPr>
          <w:lang w:val="es-ES" w:eastAsia="en-US"/>
        </w:rPr>
      </w:pPr>
      <w:r w:rsidRPr="00282123">
        <w:rPr>
          <w:lang w:val="es-ES" w:eastAsia="en-US"/>
        </w:rPr>
        <w:tab/>
        <w:t>[…]</w:t>
      </w:r>
    </w:p>
    <w:p w:rsidR="002A2048" w:rsidRPr="00282123" w:rsidRDefault="002A2048" w:rsidP="002A2048">
      <w:pPr>
        <w:pStyle w:val="Endofdocument-Annex"/>
        <w:ind w:left="0"/>
        <w:rPr>
          <w:lang w:val="es-ES" w:eastAsia="en-US"/>
        </w:rPr>
      </w:pPr>
      <w:r w:rsidRPr="00282123">
        <w:rPr>
          <w:lang w:val="es-ES" w:eastAsia="en-US"/>
        </w:rPr>
        <w:br w:type="page"/>
      </w:r>
    </w:p>
    <w:p w:rsidR="002A2048" w:rsidRPr="00282123" w:rsidRDefault="00206107" w:rsidP="002A2048">
      <w:pPr>
        <w:jc w:val="center"/>
        <w:rPr>
          <w:i/>
          <w:lang w:val="es-ES" w:eastAsia="en-US"/>
        </w:rPr>
      </w:pPr>
      <w:r w:rsidRPr="00282123">
        <w:rPr>
          <w:i/>
          <w:lang w:val="es-ES" w:eastAsia="en-US"/>
        </w:rPr>
        <w:t>Regla</w:t>
      </w:r>
      <w:r w:rsidR="002A2048" w:rsidRPr="00282123">
        <w:rPr>
          <w:i/>
          <w:lang w:val="es-ES" w:eastAsia="en-US"/>
        </w:rPr>
        <w:t xml:space="preserve"> 27</w:t>
      </w:r>
    </w:p>
    <w:p w:rsidR="00206107" w:rsidRPr="00282123" w:rsidRDefault="00206107" w:rsidP="00206107">
      <w:pPr>
        <w:jc w:val="center"/>
        <w:rPr>
          <w:bCs/>
          <w:i/>
          <w:iCs/>
          <w:lang w:val="es-ES" w:eastAsia="en-US"/>
        </w:rPr>
      </w:pPr>
      <w:r w:rsidRPr="00282123">
        <w:rPr>
          <w:bCs/>
          <w:i/>
          <w:iCs/>
          <w:lang w:val="es-ES" w:eastAsia="en-US"/>
        </w:rPr>
        <w:t xml:space="preserve">Inscripción y notificación con respecto a la Regla 25; </w:t>
      </w:r>
    </w:p>
    <w:p w:rsidR="00206107" w:rsidRPr="00282123" w:rsidRDefault="00206107" w:rsidP="00206107">
      <w:pPr>
        <w:jc w:val="center"/>
        <w:rPr>
          <w:bCs/>
          <w:i/>
          <w:iCs/>
          <w:lang w:val="es-ES" w:eastAsia="en-US"/>
        </w:rPr>
      </w:pPr>
      <w:r w:rsidRPr="00282123">
        <w:rPr>
          <w:bCs/>
          <w:i/>
          <w:iCs/>
          <w:lang w:val="es-ES" w:eastAsia="en-US"/>
        </w:rPr>
        <w:t>Fusión de registros internacionales;</w:t>
      </w:r>
    </w:p>
    <w:p w:rsidR="00206107" w:rsidRPr="00282123" w:rsidRDefault="00206107" w:rsidP="00206107">
      <w:pPr>
        <w:jc w:val="center"/>
        <w:rPr>
          <w:i/>
          <w:iCs/>
          <w:lang w:val="es-ES" w:eastAsia="en-US"/>
        </w:rPr>
      </w:pPr>
      <w:r w:rsidRPr="00282123">
        <w:rPr>
          <w:bCs/>
          <w:i/>
          <w:iCs/>
          <w:lang w:val="es-ES" w:eastAsia="en-US"/>
        </w:rPr>
        <w:t>Declaración de que un cambio de titularidad o una limitación no tiene efecto</w:t>
      </w:r>
    </w:p>
    <w:p w:rsidR="002A2048" w:rsidRPr="00282123" w:rsidRDefault="002A2048" w:rsidP="002A2048">
      <w:pPr>
        <w:jc w:val="both"/>
        <w:rPr>
          <w:lang w:val="es-ES" w:eastAsia="en-US"/>
        </w:rPr>
      </w:pPr>
    </w:p>
    <w:p w:rsidR="002A2048" w:rsidRPr="00282123" w:rsidRDefault="002A2048" w:rsidP="002A2048">
      <w:pPr>
        <w:jc w:val="both"/>
        <w:rPr>
          <w:lang w:val="es-ES" w:eastAsia="en-US"/>
        </w:rPr>
      </w:pPr>
      <w:r w:rsidRPr="00282123">
        <w:rPr>
          <w:lang w:val="es-ES" w:eastAsia="en-US"/>
        </w:rPr>
        <w:tab/>
        <w:t>1)</w:t>
      </w:r>
      <w:r w:rsidRPr="00282123">
        <w:rPr>
          <w:lang w:val="es-ES" w:eastAsia="en-US"/>
        </w:rPr>
        <w:tab/>
      </w:r>
      <w:r w:rsidRPr="00282123">
        <w:rPr>
          <w:i/>
          <w:lang w:val="es-ES" w:eastAsia="en-US"/>
        </w:rPr>
        <w:t>[</w:t>
      </w:r>
      <w:r w:rsidR="00206107" w:rsidRPr="00282123">
        <w:rPr>
          <w:i/>
          <w:iCs/>
          <w:lang w:val="es-ES" w:eastAsia="en-US"/>
        </w:rPr>
        <w:t>Inscripción y notificación]  </w:t>
      </w:r>
      <w:r w:rsidR="00206107" w:rsidRPr="00282123">
        <w:rPr>
          <w:lang w:val="es-ES" w:eastAsia="en-US"/>
        </w:rPr>
        <w:t>a) Si la petición mencionada en la Regla 25.1)a) reúne las condiciones exigidas, la Oficina Internacional inscribirá sin demora las indicaciones, la modificación o la cancelación en el Registro Internacional, notificará en consecuencia a las Oficinas de las Partes Contratantes designadas en que la inscripción tenga efecto o, en caso de una cancelación, a las Oficinas de todas las Partes Contratantes designadas, e informará al mismo tiempo al titular y, si la petición fue presentada por una Oficina, a ésta. 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 Cuando la petición de que se inscriba una cancelación haya sido presentada por el titular o por una Oficina distinta de la Oficina de origen durante el período de cinco años mencionado en el Artículo 6.3) del Arreglo y en el Artículo 6.3) del Protocolo, la Oficina Internacional informará asimismo a la Oficina de origen</w:t>
      </w:r>
      <w:r w:rsidRPr="00282123">
        <w:rPr>
          <w:lang w:val="es-ES" w:eastAsia="en-US"/>
        </w:rPr>
        <w:t xml:space="preserve">.  </w:t>
      </w:r>
    </w:p>
    <w:p w:rsidR="002A2048" w:rsidRPr="00282123" w:rsidRDefault="002A2048" w:rsidP="002A2048">
      <w:pPr>
        <w:jc w:val="both"/>
        <w:rPr>
          <w:lang w:val="es-ES" w:eastAsia="en-US"/>
        </w:rPr>
      </w:pPr>
      <w:r w:rsidRPr="00282123">
        <w:rPr>
          <w:lang w:val="es-ES" w:eastAsia="en-US"/>
        </w:rPr>
        <w:tab/>
      </w:r>
      <w:r w:rsidRPr="00282123">
        <w:rPr>
          <w:lang w:val="es-ES" w:eastAsia="en-US"/>
        </w:rPr>
        <w:tab/>
        <w:t>b)</w:t>
      </w:r>
      <w:r w:rsidRPr="00282123">
        <w:rPr>
          <w:lang w:val="es-ES" w:eastAsia="en-US"/>
        </w:rPr>
        <w:tab/>
      </w:r>
      <w:r w:rsidR="00206107" w:rsidRPr="00282123">
        <w:rPr>
          <w:lang w:val="es-ES" w:eastAsia="en-US"/>
        </w:rPr>
        <w:t>Las indicaciones, la modificación o la cancelación se inscribirán en la fecha en que la Oficina Internacional haya recibido una petición conforme con los requisitos exigibles, salvo cuando se haya presentado una petición de conformidad con la Regla 25.2)c), en cuyo caso, podrán inscribirse en una fecha ulterior</w:t>
      </w:r>
      <w:r w:rsidRPr="00282123">
        <w:rPr>
          <w:lang w:val="es-ES" w:eastAsia="en-US"/>
        </w:rPr>
        <w:t xml:space="preserve">.  </w:t>
      </w:r>
    </w:p>
    <w:p w:rsidR="002A2048" w:rsidRPr="00282123" w:rsidRDefault="002A2048" w:rsidP="002A2048">
      <w:pPr>
        <w:jc w:val="both"/>
        <w:rPr>
          <w:lang w:val="es-ES" w:eastAsia="en-US"/>
        </w:rPr>
      </w:pPr>
    </w:p>
    <w:p w:rsidR="002A2048" w:rsidRPr="00282123" w:rsidRDefault="002A2048" w:rsidP="002A2048">
      <w:pPr>
        <w:jc w:val="both"/>
        <w:rPr>
          <w:b/>
          <w:lang w:val="es-ES" w:eastAsia="en-US"/>
        </w:rPr>
      </w:pPr>
    </w:p>
    <w:p w:rsidR="002A2048" w:rsidRPr="00282123" w:rsidRDefault="002A2048" w:rsidP="002A2048">
      <w:pPr>
        <w:jc w:val="both"/>
        <w:rPr>
          <w:b/>
          <w:lang w:val="es-ES" w:eastAsia="en-US"/>
        </w:rPr>
      </w:pPr>
    </w:p>
    <w:p w:rsidR="002A2048" w:rsidRPr="00282123" w:rsidRDefault="00206107" w:rsidP="002A2048">
      <w:pPr>
        <w:jc w:val="center"/>
        <w:rPr>
          <w:b/>
          <w:lang w:val="es-ES" w:eastAsia="en-US"/>
        </w:rPr>
      </w:pPr>
      <w:r w:rsidRPr="00282123">
        <w:rPr>
          <w:b/>
          <w:lang w:val="es-ES" w:eastAsia="en-US"/>
        </w:rPr>
        <w:t>Capítulo</w:t>
      </w:r>
      <w:r w:rsidR="002A2048" w:rsidRPr="00282123">
        <w:rPr>
          <w:b/>
          <w:lang w:val="es-ES" w:eastAsia="en-US"/>
        </w:rPr>
        <w:t xml:space="preserve"> 7</w:t>
      </w:r>
    </w:p>
    <w:p w:rsidR="002A2048" w:rsidRPr="00282123" w:rsidRDefault="00206107" w:rsidP="002A2048">
      <w:pPr>
        <w:jc w:val="center"/>
        <w:rPr>
          <w:b/>
          <w:lang w:val="es-ES" w:eastAsia="en-US"/>
        </w:rPr>
      </w:pPr>
      <w:r w:rsidRPr="00282123">
        <w:rPr>
          <w:b/>
          <w:lang w:val="es-ES" w:eastAsia="en-US"/>
        </w:rPr>
        <w:t>Gaceta y base de datos</w:t>
      </w:r>
    </w:p>
    <w:p w:rsidR="002A2048" w:rsidRPr="00282123" w:rsidRDefault="002A2048" w:rsidP="002A2048">
      <w:pPr>
        <w:jc w:val="center"/>
        <w:rPr>
          <w:b/>
          <w:lang w:val="es-ES" w:eastAsia="en-US"/>
        </w:rPr>
      </w:pPr>
    </w:p>
    <w:p w:rsidR="002A2048" w:rsidRPr="00282123" w:rsidRDefault="00206107" w:rsidP="002A2048">
      <w:pPr>
        <w:jc w:val="center"/>
        <w:rPr>
          <w:i/>
          <w:lang w:val="es-ES" w:eastAsia="en-US"/>
        </w:rPr>
      </w:pPr>
      <w:r w:rsidRPr="00282123">
        <w:rPr>
          <w:i/>
          <w:lang w:val="es-ES" w:eastAsia="en-US"/>
        </w:rPr>
        <w:t>Regla</w:t>
      </w:r>
      <w:r w:rsidR="002A2048" w:rsidRPr="00282123">
        <w:rPr>
          <w:i/>
          <w:lang w:val="es-ES" w:eastAsia="en-US"/>
        </w:rPr>
        <w:t xml:space="preserve"> 32</w:t>
      </w:r>
    </w:p>
    <w:p w:rsidR="002A2048" w:rsidRPr="00282123" w:rsidRDefault="00206107" w:rsidP="002A2048">
      <w:pPr>
        <w:jc w:val="center"/>
        <w:rPr>
          <w:i/>
          <w:lang w:val="es-ES" w:eastAsia="en-US"/>
        </w:rPr>
      </w:pPr>
      <w:r w:rsidRPr="00282123">
        <w:rPr>
          <w:i/>
          <w:lang w:val="es-ES" w:eastAsia="en-US"/>
        </w:rPr>
        <w:t>Gaceta</w:t>
      </w:r>
    </w:p>
    <w:p w:rsidR="002A2048" w:rsidRPr="00282123" w:rsidRDefault="002A2048" w:rsidP="002A2048">
      <w:pPr>
        <w:jc w:val="center"/>
        <w:rPr>
          <w:lang w:val="es-ES" w:eastAsia="en-US"/>
        </w:rPr>
      </w:pPr>
    </w:p>
    <w:p w:rsidR="002A2048" w:rsidRPr="00282123" w:rsidRDefault="002A2048" w:rsidP="002A2048">
      <w:pPr>
        <w:jc w:val="center"/>
        <w:rPr>
          <w:lang w:val="es-ES" w:eastAsia="en-US"/>
        </w:rPr>
      </w:pPr>
    </w:p>
    <w:p w:rsidR="00206107" w:rsidRPr="00282123" w:rsidRDefault="00206107" w:rsidP="00206107">
      <w:pPr>
        <w:jc w:val="both"/>
        <w:rPr>
          <w:lang w:val="es-ES" w:eastAsia="en-US"/>
        </w:rPr>
      </w:pPr>
      <w:r w:rsidRPr="00282123">
        <w:rPr>
          <w:lang w:val="es-ES" w:eastAsia="en-US"/>
        </w:rPr>
        <w:tab/>
      </w:r>
      <w:r w:rsidR="002A2048" w:rsidRPr="00282123">
        <w:rPr>
          <w:lang w:val="es-ES" w:eastAsia="en-US"/>
        </w:rPr>
        <w:t>1)</w:t>
      </w:r>
      <w:r w:rsidR="002A2048" w:rsidRPr="00282123">
        <w:rPr>
          <w:lang w:val="es-ES" w:eastAsia="en-US"/>
        </w:rPr>
        <w:tab/>
      </w:r>
      <w:r w:rsidR="002A2048" w:rsidRPr="00282123">
        <w:rPr>
          <w:i/>
          <w:lang w:val="es-ES" w:eastAsia="en-US"/>
        </w:rPr>
        <w:t>[</w:t>
      </w:r>
      <w:r w:rsidRPr="00282123">
        <w:rPr>
          <w:i/>
          <w:lang w:val="es-ES" w:eastAsia="en-US"/>
        </w:rPr>
        <w:t>Información relativa a los registros internacionales]</w:t>
      </w:r>
      <w:r w:rsidRPr="00282123">
        <w:rPr>
          <w:lang w:val="es-ES" w:eastAsia="en-US"/>
        </w:rPr>
        <w:t>  a)  La Oficina Internacional publicará en la Gaceta los datos pertinentes relativos a</w:t>
      </w:r>
    </w:p>
    <w:p w:rsidR="00206107" w:rsidRPr="00282123" w:rsidRDefault="00206107" w:rsidP="00206107">
      <w:pPr>
        <w:jc w:val="both"/>
        <w:rPr>
          <w:lang w:val="es-ES" w:eastAsia="en-US"/>
        </w:rPr>
      </w:pPr>
      <w:r w:rsidRPr="00282123">
        <w:rPr>
          <w:lang w:val="es-ES" w:eastAsia="en-US"/>
        </w:rPr>
        <w:tab/>
      </w:r>
      <w:r w:rsidRPr="00282123">
        <w:rPr>
          <w:lang w:val="es-ES" w:eastAsia="en-US"/>
        </w:rPr>
        <w:tab/>
      </w:r>
      <w:r w:rsidRPr="00282123">
        <w:rPr>
          <w:lang w:val="es-ES" w:eastAsia="en-US"/>
        </w:rPr>
        <w:tab/>
        <w:t>[…]</w:t>
      </w:r>
    </w:p>
    <w:p w:rsidR="002A2048" w:rsidRPr="00282123" w:rsidRDefault="00206107" w:rsidP="00206107">
      <w:pPr>
        <w:jc w:val="both"/>
        <w:rPr>
          <w:lang w:val="es-ES" w:eastAsia="en-US"/>
        </w:rPr>
      </w:pPr>
      <w:r w:rsidRPr="00282123">
        <w:rPr>
          <w:lang w:val="es-ES" w:eastAsia="en-US"/>
        </w:rPr>
        <w:tab/>
      </w:r>
      <w:r w:rsidRPr="00282123">
        <w:rPr>
          <w:lang w:val="es-ES" w:eastAsia="en-US"/>
        </w:rPr>
        <w:tab/>
      </w:r>
      <w:r w:rsidRPr="00282123">
        <w:rPr>
          <w:lang w:val="es-ES" w:eastAsia="en-US"/>
        </w:rPr>
        <w:tab/>
        <w:t>vii)</w:t>
      </w:r>
      <w:r w:rsidRPr="00282123">
        <w:rPr>
          <w:lang w:val="es-ES" w:eastAsia="en-US"/>
        </w:rPr>
        <w:tab/>
        <w:t>las inscripciones efectuadas en virtud de la Regla 27</w:t>
      </w:r>
      <w:r w:rsidR="002A2048" w:rsidRPr="00282123">
        <w:rPr>
          <w:lang w:val="es-ES" w:eastAsia="en-US"/>
        </w:rPr>
        <w:t>;</w:t>
      </w:r>
    </w:p>
    <w:p w:rsidR="002A2048" w:rsidRPr="00282123" w:rsidRDefault="002A2048" w:rsidP="002A2048">
      <w:pPr>
        <w:jc w:val="both"/>
        <w:rPr>
          <w:lang w:val="es-ES" w:eastAsia="en-US"/>
        </w:rPr>
      </w:pPr>
      <w:r w:rsidRPr="00282123">
        <w:rPr>
          <w:lang w:val="es-ES" w:eastAsia="en-US"/>
        </w:rPr>
        <w:tab/>
      </w:r>
      <w:r w:rsidRPr="00282123">
        <w:rPr>
          <w:lang w:val="es-ES" w:eastAsia="en-US"/>
        </w:rPr>
        <w:tab/>
      </w:r>
      <w:r w:rsidRPr="00282123">
        <w:rPr>
          <w:lang w:val="es-ES" w:eastAsia="en-US"/>
        </w:rPr>
        <w:tab/>
        <w:t>[…]</w:t>
      </w:r>
    </w:p>
    <w:p w:rsidR="002A2048" w:rsidRPr="00282123" w:rsidRDefault="002A2048" w:rsidP="002A2048">
      <w:pPr>
        <w:jc w:val="both"/>
        <w:rPr>
          <w:lang w:val="es-ES" w:eastAsia="en-US"/>
        </w:rPr>
      </w:pPr>
    </w:p>
    <w:p w:rsidR="002A2048" w:rsidRPr="00282123" w:rsidRDefault="002A2048" w:rsidP="002A2048">
      <w:pPr>
        <w:jc w:val="both"/>
        <w:rPr>
          <w:lang w:val="es-ES" w:eastAsia="en-US"/>
        </w:rPr>
      </w:pPr>
      <w:r w:rsidRPr="00282123">
        <w:rPr>
          <w:lang w:val="es-ES" w:eastAsia="en-US"/>
        </w:rPr>
        <w:tab/>
        <w:t>[…]</w:t>
      </w:r>
    </w:p>
    <w:p w:rsidR="002A2048" w:rsidRPr="00282123" w:rsidRDefault="002A2048" w:rsidP="002A2048">
      <w:pPr>
        <w:jc w:val="both"/>
        <w:rPr>
          <w:lang w:val="es-ES" w:eastAsia="en-US"/>
        </w:rPr>
      </w:pPr>
    </w:p>
    <w:p w:rsidR="002A2048" w:rsidRPr="00282123" w:rsidRDefault="002A2048" w:rsidP="002A2048">
      <w:pPr>
        <w:jc w:val="both"/>
        <w:rPr>
          <w:lang w:val="es-ES" w:eastAsia="en-US"/>
        </w:rPr>
      </w:pPr>
    </w:p>
    <w:p w:rsidR="002A2048" w:rsidRPr="00282123" w:rsidRDefault="002A2048" w:rsidP="002A2048">
      <w:pPr>
        <w:pStyle w:val="Endofdocument-Annex"/>
        <w:ind w:left="0"/>
        <w:rPr>
          <w:lang w:val="es-ES"/>
        </w:rPr>
      </w:pPr>
      <w:r w:rsidRPr="00282123">
        <w:rPr>
          <w:lang w:val="es-ES"/>
        </w:rPr>
        <w:br w:type="page"/>
      </w:r>
    </w:p>
    <w:p w:rsidR="002A2048" w:rsidRPr="00282123" w:rsidRDefault="00206107" w:rsidP="002A2048">
      <w:pPr>
        <w:keepNext/>
        <w:spacing w:before="240" w:after="60"/>
        <w:outlineLvl w:val="0"/>
        <w:rPr>
          <w:b/>
          <w:bCs/>
          <w:caps/>
          <w:kern w:val="32"/>
          <w:szCs w:val="32"/>
          <w:lang w:val="es-ES"/>
        </w:rPr>
      </w:pPr>
      <w:r w:rsidRPr="00282123">
        <w:rPr>
          <w:b/>
          <w:bCs/>
          <w:caps/>
          <w:kern w:val="32"/>
          <w:szCs w:val="32"/>
          <w:lang w:val="es-ES"/>
        </w:rPr>
        <w:t>modificaciones de la tabla de tasas</w:t>
      </w:r>
    </w:p>
    <w:p w:rsidR="002A2048" w:rsidRPr="00282123" w:rsidRDefault="002A2048" w:rsidP="002A2048">
      <w:pPr>
        <w:rPr>
          <w:lang w:val="es-ES"/>
        </w:rPr>
      </w:pPr>
    </w:p>
    <w:p w:rsidR="002A2048" w:rsidRPr="00282123" w:rsidRDefault="00206107" w:rsidP="002A2048">
      <w:pPr>
        <w:rPr>
          <w:lang w:val="es-ES"/>
        </w:rPr>
      </w:pPr>
      <w:r w:rsidRPr="00282123">
        <w:rPr>
          <w:szCs w:val="24"/>
          <w:lang w:val="es-ES"/>
        </w:rPr>
        <w:t xml:space="preserve">Aprobadas el 11 de octubre de 2016 </w:t>
      </w:r>
      <w:r w:rsidR="00471029" w:rsidRPr="00282123">
        <w:rPr>
          <w:szCs w:val="24"/>
          <w:lang w:val="es-ES"/>
        </w:rPr>
        <w:t>por la Asamblea de la Unión Particular para el Registro Internacional de Marcas (Unión de Madrid) en su quincuagésimo período de sesiones (29º extraordinario), celebrado del 3 al 11 de octubre de 2016, con efecto a partir del</w:t>
      </w:r>
      <w:r w:rsidR="00060ED6">
        <w:rPr>
          <w:szCs w:val="24"/>
          <w:lang w:val="es-ES"/>
        </w:rPr>
        <w:t> </w:t>
      </w:r>
      <w:r w:rsidR="00471029" w:rsidRPr="00282123">
        <w:rPr>
          <w:szCs w:val="24"/>
          <w:lang w:val="es-ES"/>
        </w:rPr>
        <w:t>1</w:t>
      </w:r>
      <w:r w:rsidR="00060ED6">
        <w:rPr>
          <w:szCs w:val="24"/>
          <w:lang w:val="es-ES"/>
        </w:rPr>
        <w:t> </w:t>
      </w:r>
      <w:r w:rsidR="00471029" w:rsidRPr="00282123">
        <w:rPr>
          <w:szCs w:val="24"/>
          <w:lang w:val="es-ES"/>
        </w:rPr>
        <w:t>de</w:t>
      </w:r>
      <w:r w:rsidR="00060ED6">
        <w:rPr>
          <w:szCs w:val="24"/>
          <w:lang w:val="es-ES"/>
        </w:rPr>
        <w:t> </w:t>
      </w:r>
      <w:r w:rsidR="00471029" w:rsidRPr="00282123">
        <w:rPr>
          <w:szCs w:val="24"/>
          <w:lang w:val="es-ES"/>
        </w:rPr>
        <w:t>julio</w:t>
      </w:r>
      <w:r w:rsidR="00060ED6">
        <w:rPr>
          <w:szCs w:val="24"/>
          <w:lang w:val="es-ES"/>
        </w:rPr>
        <w:t> </w:t>
      </w:r>
      <w:r w:rsidR="00471029" w:rsidRPr="00282123">
        <w:rPr>
          <w:szCs w:val="24"/>
          <w:lang w:val="es-ES"/>
        </w:rPr>
        <w:t>de 2017</w:t>
      </w:r>
    </w:p>
    <w:p w:rsidR="002A2048" w:rsidRPr="00282123" w:rsidRDefault="002A2048" w:rsidP="002A2048">
      <w:pPr>
        <w:rPr>
          <w:lang w:val="es-ES"/>
        </w:rPr>
      </w:pPr>
    </w:p>
    <w:p w:rsidR="002A2048" w:rsidRPr="00282123" w:rsidRDefault="002A2048" w:rsidP="002A2048">
      <w:pPr>
        <w:rPr>
          <w:lang w:val="es-ES"/>
        </w:rPr>
      </w:pPr>
    </w:p>
    <w:p w:rsidR="002A2048" w:rsidRPr="00282123" w:rsidRDefault="00471029" w:rsidP="002A2048">
      <w:pPr>
        <w:jc w:val="center"/>
        <w:rPr>
          <w:bCs/>
          <w:lang w:val="es-ES"/>
        </w:rPr>
      </w:pPr>
      <w:r w:rsidRPr="00282123">
        <w:rPr>
          <w:bCs/>
          <w:lang w:val="es-ES"/>
        </w:rPr>
        <w:t>TABLA DE TASAS</w:t>
      </w:r>
    </w:p>
    <w:p w:rsidR="002A2048" w:rsidRPr="00282123" w:rsidRDefault="002A2048" w:rsidP="002A2048">
      <w:pPr>
        <w:jc w:val="center"/>
        <w:rPr>
          <w:bCs/>
          <w:lang w:val="es-ES"/>
        </w:rPr>
      </w:pPr>
    </w:p>
    <w:p w:rsidR="002A2048" w:rsidRPr="00282123" w:rsidRDefault="002A2048" w:rsidP="002A2048">
      <w:pPr>
        <w:jc w:val="center"/>
        <w:rPr>
          <w:bCs/>
          <w:lang w:val="es-ES"/>
        </w:rPr>
      </w:pPr>
      <w:r w:rsidRPr="00282123">
        <w:rPr>
          <w:bCs/>
          <w:lang w:val="es-ES"/>
        </w:rPr>
        <w:t>(</w:t>
      </w:r>
      <w:r w:rsidR="00471029" w:rsidRPr="00282123">
        <w:rPr>
          <w:bCs/>
          <w:lang w:val="es-ES"/>
        </w:rPr>
        <w:t>en vigor el 1 de julio de</w:t>
      </w:r>
      <w:r w:rsidRPr="00282123">
        <w:rPr>
          <w:bCs/>
          <w:lang w:val="es-ES"/>
        </w:rPr>
        <w:t> 2017)</w:t>
      </w:r>
    </w:p>
    <w:p w:rsidR="002A2048" w:rsidRPr="00282123" w:rsidRDefault="002A2048" w:rsidP="002A2048">
      <w:pPr>
        <w:jc w:val="center"/>
        <w:rPr>
          <w:lang w:val="es-ES"/>
        </w:rPr>
      </w:pPr>
    </w:p>
    <w:p w:rsidR="002A2048" w:rsidRPr="00282123" w:rsidRDefault="00471029" w:rsidP="002A2048">
      <w:pPr>
        <w:ind w:left="7921"/>
        <w:jc w:val="center"/>
        <w:rPr>
          <w:i/>
          <w:lang w:val="es-ES"/>
        </w:rPr>
      </w:pPr>
      <w:r w:rsidRPr="00282123">
        <w:rPr>
          <w:i/>
          <w:lang w:val="es-ES"/>
        </w:rPr>
        <w:t>Francos suizos</w:t>
      </w:r>
    </w:p>
    <w:p w:rsidR="002A2048" w:rsidRPr="00282123" w:rsidRDefault="002A2048" w:rsidP="002A2048">
      <w:pPr>
        <w:jc w:val="center"/>
        <w:rPr>
          <w:lang w:val="es-ES"/>
        </w:rPr>
      </w:pPr>
    </w:p>
    <w:p w:rsidR="002A2048" w:rsidRPr="00282123" w:rsidRDefault="002A2048" w:rsidP="002A2048">
      <w:pPr>
        <w:rPr>
          <w:lang w:val="es-ES"/>
        </w:rPr>
      </w:pPr>
      <w:r w:rsidRPr="00282123">
        <w:rPr>
          <w:lang w:val="es-ES"/>
        </w:rPr>
        <w:t>[…]</w:t>
      </w:r>
    </w:p>
    <w:p w:rsidR="002A2048" w:rsidRPr="00282123" w:rsidRDefault="002A2048" w:rsidP="002A2048">
      <w:pPr>
        <w:rPr>
          <w:lang w:val="es-ES"/>
        </w:rPr>
      </w:pPr>
    </w:p>
    <w:p w:rsidR="002A2048" w:rsidRPr="00282123" w:rsidRDefault="002A2048" w:rsidP="002A2048">
      <w:pPr>
        <w:rPr>
          <w:lang w:val="es-ES"/>
        </w:rPr>
      </w:pPr>
    </w:p>
    <w:p w:rsidR="002A2048" w:rsidRPr="00282123" w:rsidRDefault="002A2048" w:rsidP="002A2048">
      <w:pPr>
        <w:rPr>
          <w:lang w:val="es-ES"/>
        </w:rPr>
      </w:pPr>
      <w:r w:rsidRPr="00282123">
        <w:rPr>
          <w:lang w:val="es-ES"/>
        </w:rPr>
        <w:t>7.</w:t>
      </w:r>
      <w:r w:rsidRPr="00282123">
        <w:rPr>
          <w:lang w:val="es-ES"/>
        </w:rPr>
        <w:tab/>
      </w:r>
      <w:r w:rsidR="00471029" w:rsidRPr="00282123">
        <w:rPr>
          <w:i/>
          <w:lang w:val="es-ES"/>
        </w:rPr>
        <w:t>Otras inscripciones</w:t>
      </w:r>
    </w:p>
    <w:p w:rsidR="002A2048" w:rsidRPr="00282123" w:rsidRDefault="002A2048" w:rsidP="002A2048">
      <w:pPr>
        <w:rPr>
          <w:lang w:val="es-ES"/>
        </w:rPr>
      </w:pPr>
    </w:p>
    <w:p w:rsidR="002A2048" w:rsidRPr="00282123" w:rsidRDefault="002A2048" w:rsidP="002A2048">
      <w:pPr>
        <w:rPr>
          <w:lang w:val="es-ES"/>
        </w:rPr>
      </w:pPr>
      <w:r w:rsidRPr="00282123">
        <w:rPr>
          <w:lang w:val="es-ES"/>
        </w:rPr>
        <w:tab/>
        <w:t>[…]</w:t>
      </w:r>
    </w:p>
    <w:p w:rsidR="002A2048" w:rsidRPr="00282123" w:rsidRDefault="002A2048" w:rsidP="002A2048">
      <w:pPr>
        <w:rPr>
          <w:lang w:val="es-ES"/>
        </w:rPr>
      </w:pPr>
    </w:p>
    <w:p w:rsidR="002A2048" w:rsidRPr="00282123" w:rsidRDefault="002A2048" w:rsidP="002A2048">
      <w:pPr>
        <w:tabs>
          <w:tab w:val="right" w:pos="8789"/>
        </w:tabs>
        <w:ind w:left="567" w:right="1984" w:hanging="567"/>
        <w:jc w:val="both"/>
        <w:rPr>
          <w:lang w:val="es-ES"/>
        </w:rPr>
      </w:pPr>
      <w:r w:rsidRPr="00282123">
        <w:rPr>
          <w:lang w:val="es-ES"/>
        </w:rPr>
        <w:t>7.4</w:t>
      </w:r>
      <w:r w:rsidRPr="00282123">
        <w:rPr>
          <w:lang w:val="es-ES"/>
        </w:rPr>
        <w:tab/>
      </w:r>
      <w:r w:rsidR="00471029" w:rsidRPr="00282123">
        <w:rPr>
          <w:lang w:val="es-ES"/>
        </w:rPr>
        <w:t xml:space="preserve">Cambio en el nombre o en la dirección del titular y/o, cuando el titular sea una persona jurídica, introducción o cambio de las indicaciones relativas a la naturaleza jurídica del </w:t>
      </w:r>
      <w:r w:rsidR="00060ED6">
        <w:rPr>
          <w:lang w:val="es-ES"/>
        </w:rPr>
        <w:t xml:space="preserve">titular </w:t>
      </w:r>
      <w:r w:rsidR="00471029" w:rsidRPr="00A65BB3">
        <w:rPr>
          <w:lang w:val="es-ES"/>
        </w:rPr>
        <w:t xml:space="preserve">y </w:t>
      </w:r>
      <w:r w:rsidR="00A65BB3" w:rsidRPr="00A65BB3">
        <w:rPr>
          <w:lang w:val="es-ES"/>
        </w:rPr>
        <w:t>al</w:t>
      </w:r>
      <w:r w:rsidR="00471029" w:rsidRPr="00A65BB3">
        <w:rPr>
          <w:lang w:val="es-ES"/>
        </w:rPr>
        <w:t xml:space="preserve"> Estado y, en</w:t>
      </w:r>
      <w:r w:rsidR="00471029" w:rsidRPr="00282123">
        <w:rPr>
          <w:lang w:val="es-ES"/>
        </w:rPr>
        <w:t xml:space="preserve"> su caso, la unidad territorial, dentro de ese Estado, al amparo de cuya legislación se haya constituido dicha persona jurídica, por uno o más registros internacionales respecto de los que se solicita la misma inscripción o cambio en el mismo formulario.</w:t>
      </w:r>
      <w:r w:rsidRPr="00282123">
        <w:rPr>
          <w:lang w:val="es-ES"/>
        </w:rPr>
        <w:t> </w:t>
      </w:r>
      <w:r w:rsidRPr="00282123">
        <w:rPr>
          <w:lang w:val="es-ES"/>
        </w:rPr>
        <w:tab/>
        <w:t>150</w:t>
      </w:r>
    </w:p>
    <w:p w:rsidR="002A2048" w:rsidRPr="00282123" w:rsidRDefault="002A2048" w:rsidP="002A2048">
      <w:pPr>
        <w:rPr>
          <w:lang w:val="es-ES" w:eastAsia="en-US"/>
        </w:rPr>
      </w:pPr>
    </w:p>
    <w:p w:rsidR="002A2048" w:rsidRPr="00282123" w:rsidRDefault="002A2048" w:rsidP="002A2048">
      <w:pPr>
        <w:rPr>
          <w:lang w:val="es-ES"/>
        </w:rPr>
      </w:pPr>
      <w:r w:rsidRPr="00282123">
        <w:rPr>
          <w:lang w:val="es-ES"/>
        </w:rPr>
        <w:t>[…]</w:t>
      </w:r>
    </w:p>
    <w:p w:rsidR="002A2048" w:rsidRPr="00282123" w:rsidRDefault="002A2048" w:rsidP="002A2048">
      <w:pPr>
        <w:rPr>
          <w:lang w:val="es-ES" w:eastAsia="en-US"/>
        </w:rPr>
      </w:pPr>
    </w:p>
    <w:p w:rsidR="002A2048" w:rsidRPr="00282123" w:rsidRDefault="002A2048" w:rsidP="002A2048">
      <w:pPr>
        <w:rPr>
          <w:lang w:val="es-ES" w:eastAsia="en-US"/>
        </w:rPr>
      </w:pPr>
    </w:p>
    <w:p w:rsidR="002A2048" w:rsidRPr="00282123" w:rsidRDefault="002A2048" w:rsidP="002A2048">
      <w:pPr>
        <w:pStyle w:val="Default"/>
        <w:rPr>
          <w:lang w:val="es-ES"/>
        </w:rPr>
      </w:pPr>
    </w:p>
    <w:p w:rsidR="002A2048" w:rsidRPr="00282123" w:rsidRDefault="002A2048" w:rsidP="002A2048">
      <w:pPr>
        <w:pStyle w:val="Endofdocument-Annex"/>
        <w:ind w:left="5533"/>
        <w:rPr>
          <w:lang w:val="es-ES"/>
        </w:rPr>
      </w:pPr>
      <w:r w:rsidRPr="00282123">
        <w:rPr>
          <w:lang w:val="es-ES"/>
        </w:rPr>
        <w:t>[</w:t>
      </w:r>
      <w:r w:rsidR="00471029" w:rsidRPr="00282123">
        <w:rPr>
          <w:lang w:val="es-ES"/>
        </w:rPr>
        <w:t>Sigue el Anexo II</w:t>
      </w:r>
      <w:r w:rsidRPr="00282123">
        <w:rPr>
          <w:lang w:val="es-ES"/>
        </w:rPr>
        <w:t>]</w:t>
      </w:r>
    </w:p>
    <w:p w:rsidR="002A2048" w:rsidRPr="00282123" w:rsidRDefault="002A2048" w:rsidP="002A2048">
      <w:pPr>
        <w:pStyle w:val="Endofdocument-Annex"/>
        <w:ind w:left="5533"/>
        <w:rPr>
          <w:lang w:val="es-ES"/>
        </w:rPr>
      </w:pPr>
    </w:p>
    <w:p w:rsidR="002A2048" w:rsidRPr="00282123" w:rsidRDefault="002A2048" w:rsidP="002A2048">
      <w:pPr>
        <w:pStyle w:val="Endofdocument-Annex"/>
        <w:ind w:left="5533"/>
        <w:rPr>
          <w:lang w:val="es-ES"/>
        </w:rPr>
        <w:sectPr w:rsidR="002A2048" w:rsidRPr="00282123" w:rsidSect="0041560F">
          <w:headerReference w:type="default" r:id="rId12"/>
          <w:headerReference w:type="first" r:id="rId13"/>
          <w:endnotePr>
            <w:numFmt w:val="decimal"/>
          </w:endnotePr>
          <w:pgSz w:w="11907" w:h="16840" w:code="9"/>
          <w:pgMar w:top="567" w:right="1134" w:bottom="568" w:left="1418" w:header="510" w:footer="1021" w:gutter="0"/>
          <w:pgNumType w:start="2"/>
          <w:cols w:space="720"/>
          <w:titlePg/>
          <w:docGrid w:linePitch="299"/>
        </w:sectPr>
      </w:pPr>
    </w:p>
    <w:p w:rsidR="002A2048" w:rsidRPr="00282123" w:rsidRDefault="002A2048" w:rsidP="002A2048">
      <w:pPr>
        <w:pStyle w:val="Endofdocument-Annex"/>
        <w:ind w:left="0"/>
        <w:rPr>
          <w:lang w:val="es-ES"/>
        </w:rPr>
      </w:pPr>
    </w:p>
    <w:p w:rsidR="002A2048" w:rsidRPr="00282123" w:rsidRDefault="008A3B73" w:rsidP="002A2048">
      <w:pPr>
        <w:pStyle w:val="Endofdocument-Annex"/>
        <w:ind w:left="0"/>
        <w:rPr>
          <w:lang w:val="es-ES"/>
        </w:rPr>
        <w:sectPr w:rsidR="002A2048" w:rsidRPr="00282123" w:rsidSect="0041560F">
          <w:headerReference w:type="first" r:id="rId14"/>
          <w:endnotePr>
            <w:numFmt w:val="decimal"/>
          </w:endnotePr>
          <w:pgSz w:w="11907" w:h="16840" w:code="9"/>
          <w:pgMar w:top="567" w:right="1134" w:bottom="568" w:left="1418" w:header="510" w:footer="1021" w:gutter="0"/>
          <w:pgNumType w:start="2"/>
          <w:cols w:space="720"/>
          <w:titlePg/>
          <w:docGrid w:linePitch="299"/>
        </w:sectPr>
      </w:pPr>
      <w:bookmarkStart w:id="2" w:name="_GoBack"/>
      <w:r>
        <w:rPr>
          <w:noProof/>
          <w:lang w:eastAsia="en-US"/>
        </w:rPr>
        <w:drawing>
          <wp:anchor distT="0" distB="0" distL="114300" distR="114300" simplePos="0" relativeHeight="251665408" behindDoc="0" locked="0" layoutInCell="1" allowOverlap="1">
            <wp:simplePos x="899795" y="808355"/>
            <wp:positionH relativeFrom="margin">
              <wp:align>center</wp:align>
            </wp:positionH>
            <wp:positionV relativeFrom="margin">
              <wp:align>center</wp:align>
            </wp:positionV>
            <wp:extent cx="6426000" cy="9057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6000" cy="9057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p w:rsidR="002A2048" w:rsidRPr="00282123" w:rsidRDefault="002A2048" w:rsidP="002A2048">
      <w:pPr>
        <w:pStyle w:val="Endofdocument-Annex"/>
        <w:ind w:left="0"/>
        <w:rPr>
          <w:lang w:val="es-ES"/>
        </w:rPr>
      </w:pPr>
    </w:p>
    <w:p w:rsidR="002A2048" w:rsidRPr="00282123" w:rsidRDefault="008A3B73" w:rsidP="002A2048">
      <w:pPr>
        <w:pStyle w:val="Endofdocument-Annex"/>
        <w:ind w:left="0"/>
        <w:rPr>
          <w:lang w:val="es-ES"/>
        </w:rPr>
        <w:sectPr w:rsidR="002A2048" w:rsidRPr="00282123" w:rsidSect="0041560F">
          <w:headerReference w:type="first" r:id="rId16"/>
          <w:endnotePr>
            <w:numFmt w:val="decimal"/>
          </w:endnotePr>
          <w:pgSz w:w="11907" w:h="16840" w:code="9"/>
          <w:pgMar w:top="567" w:right="1134" w:bottom="568" w:left="1418" w:header="510" w:footer="1021" w:gutter="0"/>
          <w:pgNumType w:start="2"/>
          <w:cols w:space="720"/>
          <w:titlePg/>
          <w:docGrid w:linePitch="299"/>
        </w:sectPr>
      </w:pPr>
      <w:r>
        <w:rPr>
          <w:noProof/>
          <w:lang w:eastAsia="en-US"/>
        </w:rPr>
        <w:drawing>
          <wp:anchor distT="0" distB="0" distL="114300" distR="114300" simplePos="0" relativeHeight="251670528" behindDoc="0" locked="0" layoutInCell="1" allowOverlap="1">
            <wp:simplePos x="899795" y="808355"/>
            <wp:positionH relativeFrom="margin">
              <wp:align>center</wp:align>
            </wp:positionH>
            <wp:positionV relativeFrom="margin">
              <wp:align>center</wp:align>
            </wp:positionV>
            <wp:extent cx="6425565" cy="90570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25565" cy="9057005"/>
                    </a:xfrm>
                    <a:prstGeom prst="rect">
                      <a:avLst/>
                    </a:prstGeom>
                    <a:noFill/>
                    <a:ln>
                      <a:noFill/>
                    </a:ln>
                  </pic:spPr>
                </pic:pic>
              </a:graphicData>
            </a:graphic>
          </wp:anchor>
        </w:drawing>
      </w:r>
    </w:p>
    <w:p w:rsidR="002A2048" w:rsidRPr="00282123" w:rsidRDefault="002A2048" w:rsidP="002A2048">
      <w:pPr>
        <w:pStyle w:val="Endofdocument-Annex"/>
        <w:ind w:left="0"/>
        <w:rPr>
          <w:lang w:val="es-ES"/>
        </w:rPr>
      </w:pPr>
    </w:p>
    <w:p w:rsidR="002A2048" w:rsidRPr="00282123" w:rsidRDefault="008A3B73" w:rsidP="002A2048">
      <w:pPr>
        <w:pStyle w:val="Endofdocument-Annex"/>
        <w:ind w:left="0"/>
        <w:rPr>
          <w:lang w:val="es-ES"/>
        </w:rPr>
        <w:sectPr w:rsidR="002A2048" w:rsidRPr="00282123" w:rsidSect="00EF2DB1">
          <w:endnotePr>
            <w:numFmt w:val="decimal"/>
          </w:endnotePr>
          <w:pgSz w:w="11907" w:h="16840" w:code="9"/>
          <w:pgMar w:top="567" w:right="1134" w:bottom="568" w:left="1418" w:header="510" w:footer="1021" w:gutter="0"/>
          <w:cols w:space="720"/>
          <w:titlePg/>
          <w:docGrid w:linePitch="299"/>
        </w:sectPr>
      </w:pPr>
      <w:r>
        <w:rPr>
          <w:noProof/>
          <w:lang w:eastAsia="en-US"/>
        </w:rPr>
        <w:drawing>
          <wp:anchor distT="0" distB="0" distL="114300" distR="114300" simplePos="0" relativeHeight="251669504" behindDoc="0" locked="0" layoutInCell="1" allowOverlap="1">
            <wp:simplePos x="899795" y="808355"/>
            <wp:positionH relativeFrom="margin">
              <wp:align>center</wp:align>
            </wp:positionH>
            <wp:positionV relativeFrom="margin">
              <wp:align>center</wp:align>
            </wp:positionV>
            <wp:extent cx="6425565" cy="90570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5565" cy="9057005"/>
                    </a:xfrm>
                    <a:prstGeom prst="rect">
                      <a:avLst/>
                    </a:prstGeom>
                    <a:noFill/>
                    <a:ln>
                      <a:noFill/>
                    </a:ln>
                  </pic:spPr>
                </pic:pic>
              </a:graphicData>
            </a:graphic>
          </wp:anchor>
        </w:drawing>
      </w:r>
    </w:p>
    <w:p w:rsidR="002A2048" w:rsidRPr="00282123" w:rsidRDefault="008A3B73" w:rsidP="002A2048">
      <w:pPr>
        <w:pStyle w:val="Endofdocument-Annex"/>
        <w:ind w:left="0"/>
        <w:rPr>
          <w:lang w:val="es-ES"/>
        </w:rPr>
      </w:pPr>
      <w:r>
        <w:rPr>
          <w:noProof/>
          <w:lang w:eastAsia="en-US"/>
        </w:rPr>
        <w:drawing>
          <wp:anchor distT="0" distB="0" distL="114300" distR="114300" simplePos="0" relativeHeight="251668480" behindDoc="0" locked="0" layoutInCell="1" allowOverlap="1">
            <wp:simplePos x="899795" y="647065"/>
            <wp:positionH relativeFrom="margin">
              <wp:align>center</wp:align>
            </wp:positionH>
            <wp:positionV relativeFrom="margin">
              <wp:align>center</wp:align>
            </wp:positionV>
            <wp:extent cx="6425565" cy="90570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25565" cy="9057005"/>
                    </a:xfrm>
                    <a:prstGeom prst="rect">
                      <a:avLst/>
                    </a:prstGeom>
                    <a:noFill/>
                    <a:ln>
                      <a:noFill/>
                    </a:ln>
                  </pic:spPr>
                </pic:pic>
              </a:graphicData>
            </a:graphic>
          </wp:anchor>
        </w:drawing>
      </w:r>
      <w:r w:rsidR="002A2048" w:rsidRPr="00282123">
        <w:rPr>
          <w:lang w:val="es-ES"/>
        </w:rPr>
        <w:br w:type="page"/>
      </w:r>
    </w:p>
    <w:p w:rsidR="002A2048" w:rsidRPr="00282123" w:rsidRDefault="008A3B73" w:rsidP="002A2048">
      <w:pPr>
        <w:pStyle w:val="Endofdocument-Annex"/>
        <w:ind w:left="0"/>
        <w:rPr>
          <w:lang w:val="es-ES"/>
        </w:rPr>
      </w:pPr>
      <w:r>
        <w:rPr>
          <w:noProof/>
          <w:lang w:eastAsia="en-US"/>
        </w:rPr>
        <w:drawing>
          <wp:anchor distT="0" distB="0" distL="114300" distR="114300" simplePos="0" relativeHeight="251667456" behindDoc="0" locked="0" layoutInCell="1" allowOverlap="1">
            <wp:simplePos x="899795" y="647065"/>
            <wp:positionH relativeFrom="margin">
              <wp:align>center</wp:align>
            </wp:positionH>
            <wp:positionV relativeFrom="margin">
              <wp:align>center</wp:align>
            </wp:positionV>
            <wp:extent cx="6425565" cy="90570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25565" cy="9057005"/>
                    </a:xfrm>
                    <a:prstGeom prst="rect">
                      <a:avLst/>
                    </a:prstGeom>
                    <a:noFill/>
                    <a:ln>
                      <a:noFill/>
                    </a:ln>
                  </pic:spPr>
                </pic:pic>
              </a:graphicData>
            </a:graphic>
          </wp:anchor>
        </w:drawing>
      </w:r>
      <w:r w:rsidR="002A2048" w:rsidRPr="00282123">
        <w:rPr>
          <w:lang w:val="es-ES"/>
        </w:rPr>
        <w:br w:type="page"/>
      </w:r>
    </w:p>
    <w:p w:rsidR="004936FC" w:rsidRPr="00282123" w:rsidRDefault="008A3B73" w:rsidP="002A2048">
      <w:pPr>
        <w:pStyle w:val="Endofdocument-Annex"/>
        <w:ind w:left="5533"/>
        <w:rPr>
          <w:lang w:val="es-ES"/>
        </w:rPr>
      </w:pPr>
      <w:r>
        <w:rPr>
          <w:noProof/>
          <w:lang w:eastAsia="en-US"/>
        </w:rPr>
        <w:drawing>
          <wp:anchor distT="0" distB="0" distL="114300" distR="114300" simplePos="0" relativeHeight="251666432" behindDoc="0" locked="0" layoutInCell="1" allowOverlap="1" wp14:anchorId="6210B4D4" wp14:editId="35F60BFF">
            <wp:simplePos x="4417060" y="647065"/>
            <wp:positionH relativeFrom="margin">
              <wp:align>center</wp:align>
            </wp:positionH>
            <wp:positionV relativeFrom="margin">
              <wp:align>center</wp:align>
            </wp:positionV>
            <wp:extent cx="6426000" cy="9057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26000" cy="90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2048" w:rsidRPr="00282123">
        <w:rPr>
          <w:lang w:val="es-ES"/>
        </w:rPr>
        <w:t>[</w:t>
      </w:r>
      <w:r w:rsidR="00471029" w:rsidRPr="00282123">
        <w:rPr>
          <w:lang w:val="es-ES"/>
        </w:rPr>
        <w:t>Fin del Anexo</w:t>
      </w:r>
      <w:r w:rsidR="002A2048" w:rsidRPr="00282123">
        <w:rPr>
          <w:lang w:val="es-ES"/>
        </w:rPr>
        <w:t xml:space="preserve"> II]</w:t>
      </w:r>
    </w:p>
    <w:sectPr w:rsidR="004936FC" w:rsidRPr="00282123" w:rsidSect="00605827">
      <w:headerReference w:type="default" r:id="rId22"/>
      <w:footnotePr>
        <w:numFmt w:val="chicago"/>
      </w:footnotePr>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A8" w:rsidRDefault="00853FA8">
      <w:r>
        <w:separator/>
      </w:r>
    </w:p>
  </w:endnote>
  <w:endnote w:type="continuationSeparator" w:id="0">
    <w:p w:rsidR="00853FA8" w:rsidRDefault="00853FA8" w:rsidP="003B38C1">
      <w:r>
        <w:separator/>
      </w:r>
    </w:p>
    <w:p w:rsidR="00853FA8" w:rsidRPr="003B38C1" w:rsidRDefault="00853FA8" w:rsidP="003B38C1">
      <w:pPr>
        <w:spacing w:after="60"/>
        <w:rPr>
          <w:sz w:val="17"/>
        </w:rPr>
      </w:pPr>
      <w:r>
        <w:rPr>
          <w:sz w:val="17"/>
        </w:rPr>
        <w:t>[Endnote continued from previous page]</w:t>
      </w:r>
    </w:p>
  </w:endnote>
  <w:endnote w:type="continuationNotice" w:id="1">
    <w:p w:rsidR="00853FA8" w:rsidRPr="003B38C1" w:rsidRDefault="00853F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A8" w:rsidRDefault="00853FA8">
      <w:r>
        <w:separator/>
      </w:r>
    </w:p>
  </w:footnote>
  <w:footnote w:type="continuationSeparator" w:id="0">
    <w:p w:rsidR="00853FA8" w:rsidRDefault="00853FA8" w:rsidP="008B60B2">
      <w:r>
        <w:separator/>
      </w:r>
    </w:p>
    <w:p w:rsidR="00853FA8" w:rsidRPr="00ED77FB" w:rsidRDefault="00853FA8" w:rsidP="008B60B2">
      <w:pPr>
        <w:spacing w:after="60"/>
        <w:rPr>
          <w:sz w:val="17"/>
          <w:szCs w:val="17"/>
        </w:rPr>
      </w:pPr>
      <w:r w:rsidRPr="00ED77FB">
        <w:rPr>
          <w:sz w:val="17"/>
          <w:szCs w:val="17"/>
        </w:rPr>
        <w:t>[Footnote continued from previous page]</w:t>
      </w:r>
    </w:p>
  </w:footnote>
  <w:footnote w:type="continuationNotice" w:id="1">
    <w:p w:rsidR="00853FA8" w:rsidRPr="00ED77FB" w:rsidRDefault="00853F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48" w:rsidRPr="00C87437" w:rsidRDefault="002A2048" w:rsidP="00477D6B">
    <w:pPr>
      <w:jc w:val="right"/>
      <w:rPr>
        <w:lang w:val="es-ES"/>
      </w:rPr>
    </w:pPr>
    <w:r w:rsidRPr="00C87437">
      <w:rPr>
        <w:lang w:val="es-ES"/>
      </w:rPr>
      <w:t xml:space="preserve">página </w:t>
    </w:r>
    <w:r w:rsidRPr="00C87437">
      <w:rPr>
        <w:lang w:val="es-ES"/>
      </w:rPr>
      <w:fldChar w:fldCharType="begin"/>
    </w:r>
    <w:r w:rsidRPr="00C87437">
      <w:rPr>
        <w:lang w:val="es-ES"/>
      </w:rPr>
      <w:instrText xml:space="preserve"> PAGE  \* MERGEFORMAT </w:instrText>
    </w:r>
    <w:r w:rsidRPr="00C87437">
      <w:rPr>
        <w:lang w:val="es-ES"/>
      </w:rPr>
      <w:fldChar w:fldCharType="separate"/>
    </w:r>
    <w:r w:rsidR="008A3B73">
      <w:rPr>
        <w:noProof/>
        <w:lang w:val="es-ES"/>
      </w:rPr>
      <w:t>2</w:t>
    </w:r>
    <w:r w:rsidRPr="00C87437">
      <w:rPr>
        <w:lang w:val="es-ES"/>
      </w:rPr>
      <w:fldChar w:fldCharType="end"/>
    </w:r>
  </w:p>
  <w:p w:rsidR="002A2048" w:rsidRPr="00C87437" w:rsidRDefault="002A2048"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48" w:rsidRPr="00C87437" w:rsidRDefault="002A2048" w:rsidP="00E600D3">
    <w:pPr>
      <w:pStyle w:val="Header"/>
      <w:jc w:val="right"/>
      <w:rPr>
        <w:lang w:val="es-ES"/>
      </w:rPr>
    </w:pPr>
    <w:r w:rsidRPr="00C87437">
      <w:rPr>
        <w:lang w:val="es-ES"/>
      </w:rPr>
      <w:t>ANEXO I</w:t>
    </w:r>
  </w:p>
  <w:p w:rsidR="002A2048" w:rsidRPr="00C87437" w:rsidRDefault="002A2048" w:rsidP="00E600D3">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48" w:rsidRPr="002A2048" w:rsidRDefault="002A2048" w:rsidP="00EF2DB1">
    <w:pPr>
      <w:pStyle w:val="Header"/>
      <w:jc w:val="right"/>
      <w:rPr>
        <w:noProof/>
        <w:lang w:val="es-ES"/>
      </w:rPr>
    </w:pPr>
    <w:r w:rsidRPr="002A2048">
      <w:rPr>
        <w:lang w:val="es-ES"/>
      </w:rPr>
      <w:t>Anexo</w:t>
    </w:r>
    <w:r>
      <w:rPr>
        <w:lang w:val="es-ES"/>
      </w:rPr>
      <w:t xml:space="preserve"> </w:t>
    </w:r>
    <w:r w:rsidRPr="002A2048">
      <w:rPr>
        <w:lang w:val="es-ES"/>
      </w:rPr>
      <w:t>I, p</w:t>
    </w:r>
    <w:r>
      <w:rPr>
        <w:lang w:val="es-ES"/>
      </w:rPr>
      <w:t>ágina</w:t>
    </w:r>
    <w:r w:rsidRPr="002A2048">
      <w:rPr>
        <w:lang w:val="es-ES"/>
      </w:rPr>
      <w:t xml:space="preserve"> </w:t>
    </w:r>
    <w:r w:rsidRPr="002A2048">
      <w:rPr>
        <w:lang w:val="es-ES"/>
      </w:rPr>
      <w:fldChar w:fldCharType="begin"/>
    </w:r>
    <w:r w:rsidRPr="002A2048">
      <w:rPr>
        <w:lang w:val="es-ES"/>
      </w:rPr>
      <w:instrText xml:space="preserve"> PAGE   \* MERGEFORMAT </w:instrText>
    </w:r>
    <w:r w:rsidRPr="002A2048">
      <w:rPr>
        <w:lang w:val="es-ES"/>
      </w:rPr>
      <w:fldChar w:fldCharType="separate"/>
    </w:r>
    <w:r w:rsidR="008A3B73">
      <w:rPr>
        <w:noProof/>
        <w:lang w:val="es-ES"/>
      </w:rPr>
      <w:t>4</w:t>
    </w:r>
    <w:r w:rsidRPr="002A2048">
      <w:rPr>
        <w:noProof/>
        <w:lang w:val="es-ES"/>
      </w:rPr>
      <w:fldChar w:fldCharType="end"/>
    </w:r>
  </w:p>
  <w:p w:rsidR="002A2048" w:rsidRPr="002A2048" w:rsidRDefault="002A2048" w:rsidP="00EF2DB1">
    <w:pPr>
      <w:pStyle w:val="Header"/>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48" w:rsidRPr="002A2048" w:rsidRDefault="002A2048" w:rsidP="004B65A5">
    <w:pPr>
      <w:pStyle w:val="Header"/>
      <w:jc w:val="right"/>
      <w:rPr>
        <w:noProof/>
        <w:lang w:val="es-ES"/>
      </w:rPr>
    </w:pPr>
    <w:r w:rsidRPr="002A2048">
      <w:rPr>
        <w:lang w:val="es-ES"/>
      </w:rPr>
      <w:t xml:space="preserve">Anexo I, página </w:t>
    </w:r>
    <w:r w:rsidRPr="002A2048">
      <w:rPr>
        <w:lang w:val="es-ES"/>
      </w:rPr>
      <w:fldChar w:fldCharType="begin"/>
    </w:r>
    <w:r w:rsidRPr="002A2048">
      <w:rPr>
        <w:lang w:val="es-ES"/>
      </w:rPr>
      <w:instrText xml:space="preserve"> PAGE   \* MERGEFORMAT </w:instrText>
    </w:r>
    <w:r w:rsidRPr="002A2048">
      <w:rPr>
        <w:lang w:val="es-ES"/>
      </w:rPr>
      <w:fldChar w:fldCharType="separate"/>
    </w:r>
    <w:r w:rsidR="008A3B73">
      <w:rPr>
        <w:noProof/>
        <w:lang w:val="es-ES"/>
      </w:rPr>
      <w:t>2</w:t>
    </w:r>
    <w:r w:rsidRPr="002A2048">
      <w:rPr>
        <w:noProof/>
        <w:lang w:val="es-ES"/>
      </w:rPr>
      <w:fldChar w:fldCharType="end"/>
    </w:r>
  </w:p>
  <w:p w:rsidR="002A2048" w:rsidRPr="00B27CAF" w:rsidRDefault="002A2048" w:rsidP="004B65A5">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48" w:rsidRPr="002A2048" w:rsidRDefault="002A2048" w:rsidP="004B65A5">
    <w:pPr>
      <w:pStyle w:val="Header"/>
      <w:jc w:val="right"/>
      <w:rPr>
        <w:noProof/>
        <w:lang w:val="es-ES"/>
      </w:rPr>
    </w:pPr>
    <w:r w:rsidRPr="002A2048">
      <w:rPr>
        <w:lang w:val="es-ES"/>
      </w:rPr>
      <w:t>ANEXO</w:t>
    </w:r>
    <w:r>
      <w:rPr>
        <w:lang w:val="es-ES"/>
      </w:rPr>
      <w:t xml:space="preserve"> </w:t>
    </w:r>
    <w:r w:rsidRPr="002A2048">
      <w:rPr>
        <w:lang w:val="es-ES"/>
      </w:rPr>
      <w:t>II</w:t>
    </w:r>
  </w:p>
  <w:p w:rsidR="002A2048" w:rsidRPr="00B27CAF" w:rsidRDefault="002A2048" w:rsidP="002A2048">
    <w:pPr>
      <w:pStyle w:val="Header"/>
      <w:tabs>
        <w:tab w:val="left" w:pos="8391"/>
      </w:tabs>
      <w:rPr>
        <w:lang w:val="fr-CH"/>
      </w:rPr>
    </w:pPr>
    <w:r>
      <w:rPr>
        <w:lang w:val="fr-CH"/>
      </w:rPr>
      <w:tab/>
    </w:r>
    <w:r>
      <w:rPr>
        <w:lang w:val="fr-CH"/>
      </w:rPr>
      <w:tab/>
    </w:r>
    <w:r>
      <w:rPr>
        <w:lang w:val="fr-CH"/>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48" w:rsidRPr="002A2048" w:rsidRDefault="002A2048" w:rsidP="00EF2DB1">
    <w:pPr>
      <w:pStyle w:val="Header"/>
      <w:jc w:val="right"/>
      <w:rPr>
        <w:lang w:val="es-ES"/>
      </w:rPr>
    </w:pPr>
    <w:r w:rsidRPr="002A2048">
      <w:rPr>
        <w:lang w:val="es-ES"/>
      </w:rPr>
      <w:t>Anexo</w:t>
    </w:r>
    <w:r>
      <w:rPr>
        <w:lang w:val="es-ES"/>
      </w:rPr>
      <w:t xml:space="preserve"> </w:t>
    </w:r>
    <w:r w:rsidRPr="002A2048">
      <w:rPr>
        <w:lang w:val="es-ES"/>
      </w:rPr>
      <w:t>II, p</w:t>
    </w:r>
    <w:r>
      <w:rPr>
        <w:lang w:val="es-ES"/>
      </w:rPr>
      <w:t xml:space="preserve">ágina </w:t>
    </w:r>
    <w:r w:rsidRPr="002A2048">
      <w:rPr>
        <w:lang w:val="es-ES"/>
      </w:rPr>
      <w:fldChar w:fldCharType="begin"/>
    </w:r>
    <w:r w:rsidRPr="002A2048">
      <w:rPr>
        <w:lang w:val="es-ES"/>
      </w:rPr>
      <w:instrText xml:space="preserve"> PAGE   \* MERGEFORMAT </w:instrText>
    </w:r>
    <w:r w:rsidRPr="002A2048">
      <w:rPr>
        <w:lang w:val="es-ES"/>
      </w:rPr>
      <w:fldChar w:fldCharType="separate"/>
    </w:r>
    <w:r w:rsidR="008A3B73">
      <w:rPr>
        <w:noProof/>
        <w:lang w:val="es-ES"/>
      </w:rPr>
      <w:t>2</w:t>
    </w:r>
    <w:r w:rsidRPr="002A2048">
      <w:rPr>
        <w:noProof/>
        <w:lang w:val="es-ES"/>
      </w:rPr>
      <w:fldChar w:fldCharType="end"/>
    </w:r>
  </w:p>
  <w:p w:rsidR="002A2048" w:rsidRPr="00B27CAF" w:rsidRDefault="002A2048" w:rsidP="004B65A5">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Pr="002A2048" w:rsidRDefault="002A2048" w:rsidP="00477D6B">
    <w:pPr>
      <w:jc w:val="right"/>
      <w:rPr>
        <w:lang w:val="es-ES"/>
      </w:rPr>
    </w:pPr>
    <w:bookmarkStart w:id="3" w:name="Code2"/>
    <w:bookmarkEnd w:id="3"/>
    <w:r w:rsidRPr="002A2048">
      <w:rPr>
        <w:lang w:val="es-ES"/>
      </w:rPr>
      <w:t xml:space="preserve">Anexo II, </w:t>
    </w:r>
    <w:r w:rsidR="002A2E4F" w:rsidRPr="002A2048">
      <w:rPr>
        <w:lang w:val="es-ES"/>
      </w:rPr>
      <w:t>p</w:t>
    </w:r>
    <w:r w:rsidRPr="002A2048">
      <w:rPr>
        <w:lang w:val="es-ES"/>
      </w:rPr>
      <w:t>ágina</w:t>
    </w:r>
    <w:r w:rsidR="002A2E4F" w:rsidRPr="002A2048">
      <w:rPr>
        <w:lang w:val="es-ES"/>
      </w:rPr>
      <w:t xml:space="preserve"> </w:t>
    </w:r>
    <w:r w:rsidR="002A2E4F" w:rsidRPr="002A2048">
      <w:rPr>
        <w:lang w:val="es-ES"/>
      </w:rPr>
      <w:fldChar w:fldCharType="begin"/>
    </w:r>
    <w:r w:rsidR="002A2E4F" w:rsidRPr="002A2048">
      <w:rPr>
        <w:lang w:val="es-ES"/>
      </w:rPr>
      <w:instrText xml:space="preserve"> PAGE  \* MERGEFORMAT </w:instrText>
    </w:r>
    <w:r w:rsidR="002A2E4F" w:rsidRPr="002A2048">
      <w:rPr>
        <w:lang w:val="es-ES"/>
      </w:rPr>
      <w:fldChar w:fldCharType="separate"/>
    </w:r>
    <w:r w:rsidR="008A3B73">
      <w:rPr>
        <w:noProof/>
        <w:lang w:val="es-ES"/>
      </w:rPr>
      <w:t>5</w:t>
    </w:r>
    <w:r w:rsidR="002A2E4F" w:rsidRPr="002A2048">
      <w:rPr>
        <w:lang w:val="es-ES"/>
      </w:rPr>
      <w:fldChar w:fldCharType="end"/>
    </w:r>
  </w:p>
  <w:p w:rsidR="002A2E4F" w:rsidRPr="002A2048" w:rsidRDefault="002A2E4F"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36562"/>
    <w:rsid w:val="00043313"/>
    <w:rsid w:val="00043CAA"/>
    <w:rsid w:val="00045BF8"/>
    <w:rsid w:val="00060ED6"/>
    <w:rsid w:val="000728FF"/>
    <w:rsid w:val="00075432"/>
    <w:rsid w:val="000905A0"/>
    <w:rsid w:val="000968ED"/>
    <w:rsid w:val="000A525D"/>
    <w:rsid w:val="000D3921"/>
    <w:rsid w:val="000F5E56"/>
    <w:rsid w:val="001272E3"/>
    <w:rsid w:val="00131BD8"/>
    <w:rsid w:val="00133F53"/>
    <w:rsid w:val="001362EE"/>
    <w:rsid w:val="0015037D"/>
    <w:rsid w:val="001525CB"/>
    <w:rsid w:val="00166299"/>
    <w:rsid w:val="0018004D"/>
    <w:rsid w:val="001832A6"/>
    <w:rsid w:val="00185E31"/>
    <w:rsid w:val="00186DE1"/>
    <w:rsid w:val="001937D0"/>
    <w:rsid w:val="001B68E5"/>
    <w:rsid w:val="001C2D7E"/>
    <w:rsid w:val="001D0F1C"/>
    <w:rsid w:val="001E02F1"/>
    <w:rsid w:val="001E3850"/>
    <w:rsid w:val="001F1B95"/>
    <w:rsid w:val="001F717F"/>
    <w:rsid w:val="0020551F"/>
    <w:rsid w:val="00206107"/>
    <w:rsid w:val="00217D12"/>
    <w:rsid w:val="0022493E"/>
    <w:rsid w:val="00251890"/>
    <w:rsid w:val="0025278E"/>
    <w:rsid w:val="002634C4"/>
    <w:rsid w:val="00282123"/>
    <w:rsid w:val="002928D3"/>
    <w:rsid w:val="002A2048"/>
    <w:rsid w:val="002A2E4F"/>
    <w:rsid w:val="002C1554"/>
    <w:rsid w:val="002C38D8"/>
    <w:rsid w:val="002E2F76"/>
    <w:rsid w:val="002F1C2C"/>
    <w:rsid w:val="002F1FE6"/>
    <w:rsid w:val="002F4E68"/>
    <w:rsid w:val="00311BB5"/>
    <w:rsid w:val="0031219D"/>
    <w:rsid w:val="00312F7F"/>
    <w:rsid w:val="00317670"/>
    <w:rsid w:val="00331D16"/>
    <w:rsid w:val="003359FF"/>
    <w:rsid w:val="00335EC1"/>
    <w:rsid w:val="00347330"/>
    <w:rsid w:val="00357985"/>
    <w:rsid w:val="00361450"/>
    <w:rsid w:val="003673CF"/>
    <w:rsid w:val="003845C1"/>
    <w:rsid w:val="00396FBE"/>
    <w:rsid w:val="003A6F89"/>
    <w:rsid w:val="003B38C1"/>
    <w:rsid w:val="003B558A"/>
    <w:rsid w:val="003E0D9F"/>
    <w:rsid w:val="00401DF0"/>
    <w:rsid w:val="004052E1"/>
    <w:rsid w:val="00411FB2"/>
    <w:rsid w:val="00414A9E"/>
    <w:rsid w:val="00423E3E"/>
    <w:rsid w:val="00427AF4"/>
    <w:rsid w:val="004630B4"/>
    <w:rsid w:val="004647DA"/>
    <w:rsid w:val="0047006A"/>
    <w:rsid w:val="00471029"/>
    <w:rsid w:val="00474062"/>
    <w:rsid w:val="00477D6B"/>
    <w:rsid w:val="00477EF9"/>
    <w:rsid w:val="004936FC"/>
    <w:rsid w:val="004947C5"/>
    <w:rsid w:val="004A1B09"/>
    <w:rsid w:val="004B0093"/>
    <w:rsid w:val="004B336C"/>
    <w:rsid w:val="004F5A30"/>
    <w:rsid w:val="005019FF"/>
    <w:rsid w:val="00515CFA"/>
    <w:rsid w:val="005243B1"/>
    <w:rsid w:val="0053057A"/>
    <w:rsid w:val="00546473"/>
    <w:rsid w:val="00546A94"/>
    <w:rsid w:val="00560A29"/>
    <w:rsid w:val="00576EDF"/>
    <w:rsid w:val="005868B8"/>
    <w:rsid w:val="005C6649"/>
    <w:rsid w:val="005D1119"/>
    <w:rsid w:val="005F25E5"/>
    <w:rsid w:val="005F2F3B"/>
    <w:rsid w:val="00605827"/>
    <w:rsid w:val="00616A06"/>
    <w:rsid w:val="00644AA2"/>
    <w:rsid w:val="00646050"/>
    <w:rsid w:val="00647B0C"/>
    <w:rsid w:val="00654AE9"/>
    <w:rsid w:val="00663D91"/>
    <w:rsid w:val="006659A7"/>
    <w:rsid w:val="006713CA"/>
    <w:rsid w:val="00674ABA"/>
    <w:rsid w:val="00676C5C"/>
    <w:rsid w:val="00684699"/>
    <w:rsid w:val="006D0AF5"/>
    <w:rsid w:val="00725941"/>
    <w:rsid w:val="00733AFC"/>
    <w:rsid w:val="00767B56"/>
    <w:rsid w:val="00767C4D"/>
    <w:rsid w:val="00773CE3"/>
    <w:rsid w:val="00775EBD"/>
    <w:rsid w:val="00790A94"/>
    <w:rsid w:val="00795DBD"/>
    <w:rsid w:val="007966E0"/>
    <w:rsid w:val="007B7F73"/>
    <w:rsid w:val="007C3E9B"/>
    <w:rsid w:val="007D1613"/>
    <w:rsid w:val="007D250A"/>
    <w:rsid w:val="007D5816"/>
    <w:rsid w:val="007F4D09"/>
    <w:rsid w:val="00804EC4"/>
    <w:rsid w:val="00853FA8"/>
    <w:rsid w:val="00854071"/>
    <w:rsid w:val="00874403"/>
    <w:rsid w:val="00885618"/>
    <w:rsid w:val="008948BE"/>
    <w:rsid w:val="008977D0"/>
    <w:rsid w:val="008A3B73"/>
    <w:rsid w:val="008B2CC1"/>
    <w:rsid w:val="008B4637"/>
    <w:rsid w:val="008B60B2"/>
    <w:rsid w:val="008C2D2F"/>
    <w:rsid w:val="008C2FE6"/>
    <w:rsid w:val="008C673C"/>
    <w:rsid w:val="008F1F70"/>
    <w:rsid w:val="008F1FDE"/>
    <w:rsid w:val="0090731E"/>
    <w:rsid w:val="00916EE2"/>
    <w:rsid w:val="00922789"/>
    <w:rsid w:val="009378BE"/>
    <w:rsid w:val="00940793"/>
    <w:rsid w:val="00964117"/>
    <w:rsid w:val="00965EC2"/>
    <w:rsid w:val="00966A22"/>
    <w:rsid w:val="0096722F"/>
    <w:rsid w:val="00980843"/>
    <w:rsid w:val="00980B0B"/>
    <w:rsid w:val="009820CB"/>
    <w:rsid w:val="00997AAD"/>
    <w:rsid w:val="009A591F"/>
    <w:rsid w:val="009C0C04"/>
    <w:rsid w:val="009E2791"/>
    <w:rsid w:val="009E3F6F"/>
    <w:rsid w:val="009E5F9F"/>
    <w:rsid w:val="009F2A14"/>
    <w:rsid w:val="009F499F"/>
    <w:rsid w:val="00A21684"/>
    <w:rsid w:val="00A25430"/>
    <w:rsid w:val="00A353ED"/>
    <w:rsid w:val="00A42DAF"/>
    <w:rsid w:val="00A45BD8"/>
    <w:rsid w:val="00A6003F"/>
    <w:rsid w:val="00A65BB3"/>
    <w:rsid w:val="00A869B7"/>
    <w:rsid w:val="00AA1EEF"/>
    <w:rsid w:val="00AC205C"/>
    <w:rsid w:val="00AD38EE"/>
    <w:rsid w:val="00AF0A6B"/>
    <w:rsid w:val="00AF5108"/>
    <w:rsid w:val="00B05A69"/>
    <w:rsid w:val="00B21387"/>
    <w:rsid w:val="00B2247B"/>
    <w:rsid w:val="00B46D7E"/>
    <w:rsid w:val="00B520F0"/>
    <w:rsid w:val="00B54D7D"/>
    <w:rsid w:val="00B83157"/>
    <w:rsid w:val="00B9734B"/>
    <w:rsid w:val="00B97A85"/>
    <w:rsid w:val="00BA59F8"/>
    <w:rsid w:val="00BA63F6"/>
    <w:rsid w:val="00BA6DE5"/>
    <w:rsid w:val="00BB30F3"/>
    <w:rsid w:val="00BB78C7"/>
    <w:rsid w:val="00BE55D6"/>
    <w:rsid w:val="00BE5857"/>
    <w:rsid w:val="00BE70DB"/>
    <w:rsid w:val="00C11BFE"/>
    <w:rsid w:val="00C1296A"/>
    <w:rsid w:val="00C21565"/>
    <w:rsid w:val="00C32F61"/>
    <w:rsid w:val="00C45642"/>
    <w:rsid w:val="00C46049"/>
    <w:rsid w:val="00C47421"/>
    <w:rsid w:val="00C53725"/>
    <w:rsid w:val="00C556FE"/>
    <w:rsid w:val="00C87437"/>
    <w:rsid w:val="00C9757A"/>
    <w:rsid w:val="00C977DB"/>
    <w:rsid w:val="00CA29F1"/>
    <w:rsid w:val="00CB132F"/>
    <w:rsid w:val="00CB7418"/>
    <w:rsid w:val="00CC5016"/>
    <w:rsid w:val="00CE0A51"/>
    <w:rsid w:val="00CE0F4D"/>
    <w:rsid w:val="00CE6390"/>
    <w:rsid w:val="00CF4536"/>
    <w:rsid w:val="00D22BD4"/>
    <w:rsid w:val="00D30CC7"/>
    <w:rsid w:val="00D31C2F"/>
    <w:rsid w:val="00D40A98"/>
    <w:rsid w:val="00D424EC"/>
    <w:rsid w:val="00D45252"/>
    <w:rsid w:val="00D57F87"/>
    <w:rsid w:val="00D57F90"/>
    <w:rsid w:val="00D71B4D"/>
    <w:rsid w:val="00D76F38"/>
    <w:rsid w:val="00D90EE5"/>
    <w:rsid w:val="00D911C2"/>
    <w:rsid w:val="00D93D55"/>
    <w:rsid w:val="00DB42CB"/>
    <w:rsid w:val="00DB6218"/>
    <w:rsid w:val="00DC3E50"/>
    <w:rsid w:val="00E11DAC"/>
    <w:rsid w:val="00E14B91"/>
    <w:rsid w:val="00E335FE"/>
    <w:rsid w:val="00E42572"/>
    <w:rsid w:val="00E42B9A"/>
    <w:rsid w:val="00E532DC"/>
    <w:rsid w:val="00E66C2C"/>
    <w:rsid w:val="00EC23FC"/>
    <w:rsid w:val="00EC4E49"/>
    <w:rsid w:val="00ED4C4F"/>
    <w:rsid w:val="00ED77FB"/>
    <w:rsid w:val="00EE45FA"/>
    <w:rsid w:val="00EE5748"/>
    <w:rsid w:val="00EF0146"/>
    <w:rsid w:val="00F0720F"/>
    <w:rsid w:val="00F17F84"/>
    <w:rsid w:val="00F201C4"/>
    <w:rsid w:val="00F41C76"/>
    <w:rsid w:val="00F561E7"/>
    <w:rsid w:val="00F66152"/>
    <w:rsid w:val="00F66758"/>
    <w:rsid w:val="00F7721F"/>
    <w:rsid w:val="00F94A0D"/>
    <w:rsid w:val="00FC3D36"/>
    <w:rsid w:val="00FC4C8A"/>
    <w:rsid w:val="00FD3E21"/>
    <w:rsid w:val="00FE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17F84"/>
    <w:rPr>
      <w:vertAlign w:val="superscript"/>
    </w:rPr>
  </w:style>
  <w:style w:type="character" w:styleId="FollowedHyperlink">
    <w:name w:val="FollowedHyperlink"/>
    <w:basedOn w:val="DefaultParagraphFont"/>
    <w:rsid w:val="00C53725"/>
    <w:rPr>
      <w:color w:val="800080" w:themeColor="followedHyperlink"/>
      <w:u w:val="single"/>
    </w:rPr>
  </w:style>
  <w:style w:type="character" w:customStyle="1" w:styleId="Heading1Char">
    <w:name w:val="Heading 1 Char"/>
    <w:basedOn w:val="DefaultParagraphFont"/>
    <w:link w:val="Heading1"/>
    <w:rsid w:val="002A2048"/>
    <w:rPr>
      <w:rFonts w:ascii="Arial" w:eastAsia="SimSun" w:hAnsi="Arial" w:cs="Arial"/>
      <w:b/>
      <w:bCs/>
      <w:caps/>
      <w:kern w:val="32"/>
      <w:sz w:val="22"/>
      <w:szCs w:val="32"/>
      <w:lang w:eastAsia="zh-CN"/>
    </w:rPr>
  </w:style>
  <w:style w:type="paragraph" w:customStyle="1" w:styleId="Default">
    <w:name w:val="Default"/>
    <w:rsid w:val="002A2048"/>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2A204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17F84"/>
    <w:rPr>
      <w:vertAlign w:val="superscript"/>
    </w:rPr>
  </w:style>
  <w:style w:type="character" w:styleId="FollowedHyperlink">
    <w:name w:val="FollowedHyperlink"/>
    <w:basedOn w:val="DefaultParagraphFont"/>
    <w:rsid w:val="00C53725"/>
    <w:rPr>
      <w:color w:val="800080" w:themeColor="followedHyperlink"/>
      <w:u w:val="single"/>
    </w:rPr>
  </w:style>
  <w:style w:type="character" w:customStyle="1" w:styleId="Heading1Char">
    <w:name w:val="Heading 1 Char"/>
    <w:basedOn w:val="DefaultParagraphFont"/>
    <w:link w:val="Heading1"/>
    <w:rsid w:val="002A2048"/>
    <w:rPr>
      <w:rFonts w:ascii="Arial" w:eastAsia="SimSun" w:hAnsi="Arial" w:cs="Arial"/>
      <w:b/>
      <w:bCs/>
      <w:caps/>
      <w:kern w:val="32"/>
      <w:sz w:val="22"/>
      <w:szCs w:val="32"/>
      <w:lang w:eastAsia="zh-CN"/>
    </w:rPr>
  </w:style>
  <w:style w:type="paragraph" w:customStyle="1" w:styleId="Default">
    <w:name w:val="Default"/>
    <w:rsid w:val="002A2048"/>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2A204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B4670-1CDF-4BAF-BFFD-FF4EE443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 DE ATAURI MATAMALA Inés</dc:creator>
  <dc:description>ID - 7.6.2017</dc:description>
  <cp:lastModifiedBy>Madrid Registry</cp:lastModifiedBy>
  <cp:revision>5</cp:revision>
  <cp:lastPrinted>2017-06-08T12:15:00Z</cp:lastPrinted>
  <dcterms:created xsi:type="dcterms:W3CDTF">2017-06-08T12:58:00Z</dcterms:created>
  <dcterms:modified xsi:type="dcterms:W3CDTF">2017-06-12T10:37:00Z</dcterms:modified>
</cp:coreProperties>
</file>