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20E16" w:rsidTr="00CC5016">
        <w:tc>
          <w:tcPr>
            <w:tcW w:w="4513" w:type="dxa"/>
            <w:tcBorders>
              <w:bottom w:val="single" w:sz="4" w:space="0" w:color="auto"/>
            </w:tcBorders>
            <w:tcMar>
              <w:bottom w:w="170" w:type="dxa"/>
            </w:tcMar>
          </w:tcPr>
          <w:p w:rsidR="00EC4E49" w:rsidRPr="00620E16" w:rsidRDefault="00EC4E49" w:rsidP="00F55536">
            <w:pPr>
              <w:spacing w:line="360" w:lineRule="auto"/>
              <w:rPr>
                <w:lang w:val="es-ES"/>
              </w:rPr>
            </w:pPr>
          </w:p>
        </w:tc>
        <w:tc>
          <w:tcPr>
            <w:tcW w:w="4337" w:type="dxa"/>
            <w:tcBorders>
              <w:bottom w:val="single" w:sz="4" w:space="0" w:color="auto"/>
            </w:tcBorders>
            <w:tcMar>
              <w:left w:w="0" w:type="dxa"/>
              <w:right w:w="0" w:type="dxa"/>
            </w:tcMar>
          </w:tcPr>
          <w:p w:rsidR="00EC4E49" w:rsidRPr="00620E16" w:rsidRDefault="005D62EC" w:rsidP="00F55536">
            <w:pPr>
              <w:spacing w:line="360" w:lineRule="auto"/>
              <w:rPr>
                <w:lang w:val="es-ES"/>
              </w:rPr>
            </w:pPr>
            <w:r w:rsidRPr="00620E16">
              <w:rPr>
                <w:noProof/>
                <w:lang w:eastAsia="en-US"/>
              </w:rPr>
              <w:drawing>
                <wp:inline distT="0" distB="0" distL="0" distR="0" wp14:anchorId="72B3AEE6" wp14:editId="724990AF">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620E16" w:rsidRDefault="00EC4E49" w:rsidP="00F55536">
            <w:pPr>
              <w:spacing w:line="360" w:lineRule="auto"/>
              <w:jc w:val="right"/>
              <w:rPr>
                <w:lang w:val="es-ES"/>
              </w:rPr>
            </w:pPr>
          </w:p>
        </w:tc>
      </w:tr>
      <w:tr w:rsidR="008B2CC1" w:rsidRPr="00620E16" w:rsidTr="00916EE2">
        <w:trPr>
          <w:trHeight w:hRule="exact" w:val="170"/>
        </w:trPr>
        <w:tc>
          <w:tcPr>
            <w:tcW w:w="9356" w:type="dxa"/>
            <w:gridSpan w:val="3"/>
            <w:noWrap/>
            <w:tcMar>
              <w:left w:w="0" w:type="dxa"/>
              <w:right w:w="0" w:type="dxa"/>
            </w:tcMar>
            <w:vAlign w:val="bottom"/>
          </w:tcPr>
          <w:p w:rsidR="008B2CC1" w:rsidRPr="00620E16" w:rsidRDefault="008B2CC1" w:rsidP="00F55536">
            <w:pPr>
              <w:spacing w:line="360" w:lineRule="auto"/>
              <w:jc w:val="right"/>
              <w:rPr>
                <w:rFonts w:ascii="Arial Black" w:hAnsi="Arial Black"/>
                <w:caps/>
                <w:sz w:val="15"/>
                <w:lang w:val="es-ES"/>
              </w:rPr>
            </w:pPr>
            <w:bookmarkStart w:id="0" w:name="Original"/>
            <w:bookmarkEnd w:id="0"/>
          </w:p>
        </w:tc>
      </w:tr>
      <w:tr w:rsidR="008B2CC1" w:rsidRPr="00620E16" w:rsidTr="00916EE2">
        <w:trPr>
          <w:trHeight w:hRule="exact" w:val="198"/>
        </w:trPr>
        <w:tc>
          <w:tcPr>
            <w:tcW w:w="9356" w:type="dxa"/>
            <w:gridSpan w:val="3"/>
            <w:tcMar>
              <w:left w:w="0" w:type="dxa"/>
              <w:right w:w="0" w:type="dxa"/>
            </w:tcMar>
            <w:vAlign w:val="bottom"/>
          </w:tcPr>
          <w:p w:rsidR="008B2CC1" w:rsidRPr="00620E16" w:rsidRDefault="005D62EC" w:rsidP="00B42077">
            <w:pPr>
              <w:spacing w:line="360" w:lineRule="auto"/>
              <w:jc w:val="right"/>
              <w:rPr>
                <w:rFonts w:ascii="Arial Black" w:hAnsi="Arial Black"/>
                <w:caps/>
                <w:sz w:val="15"/>
                <w:lang w:val="es-ES"/>
              </w:rPr>
            </w:pPr>
            <w:r w:rsidRPr="00620E16">
              <w:rPr>
                <w:rFonts w:ascii="Arial Black" w:hAnsi="Arial Black"/>
                <w:caps/>
                <w:sz w:val="15"/>
                <w:lang w:val="es-ES"/>
              </w:rPr>
              <w:t>aviso</w:t>
            </w:r>
            <w:r w:rsidR="00C86DC7">
              <w:rPr>
                <w:rFonts w:ascii="Arial Black" w:hAnsi="Arial Black"/>
                <w:caps/>
                <w:sz w:val="15"/>
                <w:lang w:val="es-ES"/>
              </w:rPr>
              <w:t xml:space="preserve"> Nº</w:t>
            </w:r>
            <w:r w:rsidR="00CC5016" w:rsidRPr="00620E16">
              <w:rPr>
                <w:rFonts w:ascii="Arial Black" w:hAnsi="Arial Black"/>
                <w:caps/>
                <w:sz w:val="15"/>
                <w:lang w:val="es-ES"/>
              </w:rPr>
              <w:t xml:space="preserve"> </w:t>
            </w:r>
            <w:r w:rsidR="00B42077">
              <w:rPr>
                <w:rFonts w:ascii="Arial Black" w:hAnsi="Arial Black"/>
                <w:caps/>
                <w:sz w:val="15"/>
                <w:lang w:val="es-ES"/>
              </w:rPr>
              <w:t>17</w:t>
            </w:r>
            <w:r w:rsidR="00CC5016" w:rsidRPr="00620E16">
              <w:rPr>
                <w:rFonts w:ascii="Arial Black" w:hAnsi="Arial Black"/>
                <w:caps/>
                <w:sz w:val="15"/>
                <w:lang w:val="es-ES"/>
              </w:rPr>
              <w:t>/201</w:t>
            </w:r>
            <w:r w:rsidR="00840917" w:rsidRPr="00620E16">
              <w:rPr>
                <w:rFonts w:ascii="Arial Black" w:hAnsi="Arial Black"/>
                <w:caps/>
                <w:sz w:val="15"/>
                <w:lang w:val="es-ES"/>
              </w:rPr>
              <w:t>6</w:t>
            </w:r>
            <w:r w:rsidR="00A42DAF" w:rsidRPr="00620E16">
              <w:rPr>
                <w:rFonts w:ascii="Arial Black" w:hAnsi="Arial Black"/>
                <w:caps/>
                <w:sz w:val="15"/>
                <w:lang w:val="es-ES"/>
              </w:rPr>
              <w:t xml:space="preserve"> </w:t>
            </w:r>
            <w:r w:rsidR="008B2CC1" w:rsidRPr="00620E16">
              <w:rPr>
                <w:rFonts w:ascii="Arial Black" w:hAnsi="Arial Black"/>
                <w:caps/>
                <w:sz w:val="15"/>
                <w:lang w:val="es-ES"/>
              </w:rPr>
              <w:t xml:space="preserve"> </w:t>
            </w:r>
            <w:bookmarkStart w:id="1" w:name="Date"/>
            <w:bookmarkEnd w:id="1"/>
          </w:p>
        </w:tc>
      </w:tr>
    </w:tbl>
    <w:p w:rsidR="008B2CC1" w:rsidRPr="00C86DC7" w:rsidRDefault="008B2CC1" w:rsidP="00C86DC7">
      <w:pPr>
        <w:rPr>
          <w:szCs w:val="22"/>
          <w:lang w:val="es-ES"/>
        </w:rPr>
      </w:pPr>
    </w:p>
    <w:p w:rsidR="008B2CC1" w:rsidRPr="00C86DC7" w:rsidRDefault="008B2CC1" w:rsidP="00C86DC7">
      <w:pPr>
        <w:rPr>
          <w:szCs w:val="22"/>
          <w:lang w:val="es-ES"/>
        </w:rPr>
      </w:pPr>
    </w:p>
    <w:p w:rsidR="00CC5016" w:rsidRPr="00C86DC7" w:rsidRDefault="00CC5016" w:rsidP="00C86DC7">
      <w:pPr>
        <w:rPr>
          <w:szCs w:val="22"/>
          <w:lang w:val="es-ES"/>
        </w:rPr>
      </w:pPr>
    </w:p>
    <w:p w:rsidR="00DF1A8A" w:rsidRPr="00C86DC7" w:rsidRDefault="00DF1A8A" w:rsidP="00C86DC7">
      <w:pPr>
        <w:rPr>
          <w:szCs w:val="22"/>
          <w:lang w:val="es-ES"/>
        </w:rPr>
      </w:pPr>
    </w:p>
    <w:p w:rsidR="005D62EC" w:rsidRPr="00C86DC7" w:rsidRDefault="007E3316" w:rsidP="00C86DC7">
      <w:pPr>
        <w:autoSpaceDE w:val="0"/>
        <w:autoSpaceDN w:val="0"/>
        <w:adjustRightInd w:val="0"/>
        <w:rPr>
          <w:b/>
          <w:bCs/>
          <w:sz w:val="28"/>
          <w:szCs w:val="28"/>
          <w:lang w:val="es-ES"/>
        </w:rPr>
      </w:pPr>
      <w:r>
        <w:rPr>
          <w:b/>
          <w:bCs/>
          <w:sz w:val="28"/>
          <w:szCs w:val="28"/>
          <w:lang w:val="es-ES"/>
        </w:rPr>
        <w:t xml:space="preserve">Arreglo de Madrid </w:t>
      </w:r>
      <w:r w:rsidR="005D62EC" w:rsidRPr="00C86DC7">
        <w:rPr>
          <w:b/>
          <w:bCs/>
          <w:sz w:val="28"/>
          <w:szCs w:val="28"/>
          <w:lang w:val="es-ES"/>
        </w:rPr>
        <w:t>relativo al Registro Internacional de Marcas</w:t>
      </w:r>
      <w:r>
        <w:rPr>
          <w:b/>
          <w:bCs/>
          <w:sz w:val="28"/>
          <w:szCs w:val="28"/>
          <w:lang w:val="es-ES"/>
        </w:rPr>
        <w:t xml:space="preserve"> y Protocolo concerniente a ese Arreglo</w:t>
      </w:r>
      <w:bookmarkStart w:id="2" w:name="_GoBack"/>
      <w:bookmarkEnd w:id="2"/>
    </w:p>
    <w:p w:rsidR="00CC5016" w:rsidRPr="00C86DC7" w:rsidRDefault="00CC5016" w:rsidP="00C86DC7">
      <w:pPr>
        <w:tabs>
          <w:tab w:val="left" w:pos="1996"/>
        </w:tabs>
        <w:autoSpaceDE w:val="0"/>
        <w:autoSpaceDN w:val="0"/>
        <w:adjustRightInd w:val="0"/>
        <w:rPr>
          <w:bCs/>
          <w:szCs w:val="22"/>
          <w:lang w:val="es-ES"/>
        </w:rPr>
      </w:pPr>
    </w:p>
    <w:p w:rsidR="00CC5016" w:rsidRPr="00C86DC7" w:rsidRDefault="00CC5016" w:rsidP="00C86DC7">
      <w:pPr>
        <w:autoSpaceDE w:val="0"/>
        <w:autoSpaceDN w:val="0"/>
        <w:adjustRightInd w:val="0"/>
        <w:rPr>
          <w:bCs/>
          <w:szCs w:val="22"/>
          <w:lang w:val="es-ES"/>
        </w:rPr>
      </w:pPr>
    </w:p>
    <w:p w:rsidR="00DE0123" w:rsidRPr="00C40381" w:rsidRDefault="00620E16" w:rsidP="00C86DC7">
      <w:pPr>
        <w:rPr>
          <w:b/>
          <w:bCs/>
          <w:sz w:val="24"/>
          <w:szCs w:val="24"/>
          <w:lang w:val="es-ES"/>
        </w:rPr>
      </w:pPr>
      <w:r w:rsidRPr="00C40381">
        <w:rPr>
          <w:b/>
          <w:bCs/>
          <w:sz w:val="24"/>
          <w:szCs w:val="24"/>
          <w:lang w:val="es-ES"/>
        </w:rPr>
        <w:t>Modificaciones del Reglamento Común del Arreglo de Madrid y del Protocolo concerniente a ese Arreglo</w:t>
      </w:r>
    </w:p>
    <w:p w:rsidR="00CC5016" w:rsidRPr="00C40381" w:rsidRDefault="00CC5016" w:rsidP="00C86DC7">
      <w:pPr>
        <w:rPr>
          <w:szCs w:val="22"/>
          <w:lang w:val="es-ES"/>
        </w:rPr>
      </w:pPr>
    </w:p>
    <w:p w:rsidR="00620E16" w:rsidRPr="00C40381" w:rsidRDefault="00620E16" w:rsidP="00C86DC7">
      <w:pPr>
        <w:pStyle w:val="ONUME"/>
        <w:spacing w:after="0"/>
        <w:rPr>
          <w:szCs w:val="22"/>
          <w:lang w:val="es-ES"/>
        </w:rPr>
      </w:pPr>
      <w:r w:rsidRPr="00C40381">
        <w:rPr>
          <w:szCs w:val="22"/>
          <w:lang w:val="es-ES_tradnl"/>
        </w:rPr>
        <w:t>En su cuadragésimo noven</w:t>
      </w:r>
      <w:r w:rsidR="00DD00AF">
        <w:rPr>
          <w:szCs w:val="22"/>
          <w:lang w:val="es-ES_tradnl"/>
        </w:rPr>
        <w:t xml:space="preserve">o período de sesiones (21º </w:t>
      </w:r>
      <w:r w:rsidRPr="00C40381">
        <w:rPr>
          <w:szCs w:val="22"/>
          <w:lang w:val="es-ES_tradnl"/>
        </w:rPr>
        <w:t>ordinario), que tuvo lugar en Ginebra de</w:t>
      </w:r>
      <w:r w:rsidR="00C40381" w:rsidRPr="00C40381">
        <w:rPr>
          <w:szCs w:val="22"/>
          <w:lang w:val="es-ES_tradnl"/>
        </w:rPr>
        <w:t>l 5</w:t>
      </w:r>
      <w:r w:rsidRPr="00C40381">
        <w:rPr>
          <w:szCs w:val="22"/>
          <w:lang w:val="es-ES_tradnl"/>
        </w:rPr>
        <w:t xml:space="preserve"> a</w:t>
      </w:r>
      <w:r w:rsidR="00C40381" w:rsidRPr="00C40381">
        <w:rPr>
          <w:szCs w:val="22"/>
          <w:lang w:val="es-ES_tradnl"/>
        </w:rPr>
        <w:t>l 1</w:t>
      </w:r>
      <w:r w:rsidRPr="00C40381">
        <w:rPr>
          <w:szCs w:val="22"/>
          <w:lang w:val="es-ES_tradnl"/>
        </w:rPr>
        <w:t>4 de octubre d</w:t>
      </w:r>
      <w:r w:rsidR="00C40381" w:rsidRPr="00C40381">
        <w:rPr>
          <w:szCs w:val="22"/>
          <w:lang w:val="es-ES_tradnl"/>
        </w:rPr>
        <w:t>e 2</w:t>
      </w:r>
      <w:r w:rsidRPr="00C40381">
        <w:rPr>
          <w:szCs w:val="22"/>
          <w:lang w:val="es-ES_tradnl"/>
        </w:rPr>
        <w:t>015, la Asamblea de Unión de Madrid adoptó varias modificaciones del Reglamento Común del Arreglo de Madrid relativo al Registro Internacional de Marcas y del Protocolo concerniente a ese Arreglo (el Reglamento Común)</w:t>
      </w:r>
      <w:r w:rsidR="00D804EF" w:rsidRPr="00C40381">
        <w:rPr>
          <w:szCs w:val="22"/>
          <w:lang w:val="es-ES_tradnl"/>
        </w:rPr>
        <w:t>,</w:t>
      </w:r>
      <w:r w:rsidRPr="00C40381">
        <w:rPr>
          <w:szCs w:val="22"/>
          <w:lang w:val="es-ES_tradnl"/>
        </w:rPr>
        <w:t xml:space="preserve"> que entrarán en vigor e</w:t>
      </w:r>
      <w:r w:rsidR="00C40381" w:rsidRPr="00C40381">
        <w:rPr>
          <w:szCs w:val="22"/>
          <w:lang w:val="es-ES_tradnl"/>
        </w:rPr>
        <w:t>l 1</w:t>
      </w:r>
      <w:r w:rsidRPr="00C40381">
        <w:rPr>
          <w:szCs w:val="22"/>
          <w:lang w:val="es-ES_tradnl"/>
        </w:rPr>
        <w:t xml:space="preserve"> de abril d</w:t>
      </w:r>
      <w:r w:rsidR="00C40381" w:rsidRPr="00C40381">
        <w:rPr>
          <w:szCs w:val="22"/>
          <w:lang w:val="es-ES_tradnl"/>
        </w:rPr>
        <w:t>e 2</w:t>
      </w:r>
      <w:r w:rsidRPr="00C40381">
        <w:rPr>
          <w:szCs w:val="22"/>
          <w:lang w:val="es-ES_tradnl"/>
        </w:rPr>
        <w:t>016.</w:t>
      </w:r>
    </w:p>
    <w:p w:rsidR="00C86DC7" w:rsidRPr="00C40381" w:rsidRDefault="00C86DC7" w:rsidP="00C86DC7">
      <w:pPr>
        <w:pStyle w:val="ONUME"/>
        <w:numPr>
          <w:ilvl w:val="0"/>
          <w:numId w:val="0"/>
        </w:numPr>
        <w:spacing w:after="0"/>
        <w:rPr>
          <w:szCs w:val="22"/>
          <w:lang w:val="es-ES"/>
        </w:rPr>
      </w:pPr>
    </w:p>
    <w:p w:rsidR="00C86DC7" w:rsidRPr="00C40381" w:rsidRDefault="00620E16" w:rsidP="00C86DC7">
      <w:pPr>
        <w:pStyle w:val="ONUME"/>
        <w:numPr>
          <w:ilvl w:val="0"/>
          <w:numId w:val="0"/>
        </w:numPr>
        <w:spacing w:after="0"/>
        <w:rPr>
          <w:szCs w:val="22"/>
          <w:u w:val="single"/>
          <w:lang w:val="es-ES"/>
        </w:rPr>
      </w:pPr>
      <w:r w:rsidRPr="00C40381">
        <w:rPr>
          <w:szCs w:val="22"/>
          <w:u w:val="single"/>
          <w:lang w:val="es-ES"/>
        </w:rPr>
        <w:t>Modificaciones de la Regl</w:t>
      </w:r>
      <w:r w:rsidR="00C40381" w:rsidRPr="00C40381">
        <w:rPr>
          <w:szCs w:val="22"/>
          <w:u w:val="single"/>
          <w:lang w:val="es-ES"/>
        </w:rPr>
        <w:t>a 5</w:t>
      </w:r>
      <w:r w:rsidR="00B819CE" w:rsidRPr="00C40381">
        <w:rPr>
          <w:szCs w:val="22"/>
          <w:u w:val="single"/>
          <w:lang w:val="es-ES"/>
        </w:rPr>
        <w:t xml:space="preserve"> </w:t>
      </w:r>
      <w:r w:rsidRPr="00C40381">
        <w:rPr>
          <w:szCs w:val="22"/>
          <w:u w:val="single"/>
          <w:lang w:val="es-ES"/>
        </w:rPr>
        <w:t>del Reglamento Común</w:t>
      </w:r>
      <w:r w:rsidR="00B819CE" w:rsidRPr="00C40381">
        <w:rPr>
          <w:szCs w:val="22"/>
          <w:u w:val="single"/>
          <w:lang w:val="es-ES"/>
        </w:rPr>
        <w:t>:</w:t>
      </w:r>
      <w:r w:rsidR="001B3BEE" w:rsidRPr="00C40381">
        <w:rPr>
          <w:szCs w:val="22"/>
          <w:u w:val="single"/>
          <w:lang w:val="es-ES"/>
        </w:rPr>
        <w:t xml:space="preserve"> </w:t>
      </w:r>
      <w:r w:rsidR="00B819CE" w:rsidRPr="00C40381">
        <w:rPr>
          <w:szCs w:val="22"/>
          <w:u w:val="single"/>
          <w:lang w:val="es-ES"/>
        </w:rPr>
        <w:t xml:space="preserve"> </w:t>
      </w:r>
      <w:r w:rsidRPr="00C40381">
        <w:rPr>
          <w:szCs w:val="22"/>
          <w:u w:val="single"/>
          <w:lang w:val="es-ES"/>
        </w:rPr>
        <w:t>Irregularidades en los servicios postales y de distribución y en las comunicaciones enviadas por vía electrónica</w:t>
      </w:r>
    </w:p>
    <w:p w:rsidR="00C86DC7" w:rsidRPr="00C40381" w:rsidRDefault="00C86DC7" w:rsidP="00C86DC7">
      <w:pPr>
        <w:pStyle w:val="ONUME"/>
        <w:numPr>
          <w:ilvl w:val="0"/>
          <w:numId w:val="0"/>
        </w:numPr>
        <w:spacing w:after="0"/>
        <w:rPr>
          <w:szCs w:val="22"/>
          <w:u w:val="single"/>
          <w:lang w:val="es-ES"/>
        </w:rPr>
      </w:pPr>
    </w:p>
    <w:p w:rsidR="0050560F" w:rsidRPr="00C40381" w:rsidRDefault="00620E16" w:rsidP="00C86DC7">
      <w:pPr>
        <w:pStyle w:val="ONUME"/>
        <w:spacing w:after="0"/>
        <w:rPr>
          <w:szCs w:val="22"/>
          <w:lang w:val="es-ES"/>
        </w:rPr>
      </w:pPr>
      <w:r w:rsidRPr="00C40381">
        <w:rPr>
          <w:szCs w:val="22"/>
          <w:lang w:val="es-ES"/>
        </w:rPr>
        <w:t>En virtud del nuevo texto del párraf</w:t>
      </w:r>
      <w:r w:rsidR="00C40381" w:rsidRPr="00C40381">
        <w:rPr>
          <w:szCs w:val="22"/>
          <w:lang w:val="es-ES"/>
        </w:rPr>
        <w:t>o 3</w:t>
      </w:r>
      <w:r w:rsidRPr="00C40381">
        <w:rPr>
          <w:szCs w:val="22"/>
          <w:lang w:val="es-ES"/>
        </w:rPr>
        <w:t>) de la Regl</w:t>
      </w:r>
      <w:r w:rsidR="00C40381" w:rsidRPr="00C40381">
        <w:rPr>
          <w:szCs w:val="22"/>
          <w:lang w:val="es-ES"/>
        </w:rPr>
        <w:t>a 5</w:t>
      </w:r>
      <w:r w:rsidRPr="00C40381">
        <w:rPr>
          <w:szCs w:val="22"/>
          <w:lang w:val="es-ES"/>
        </w:rPr>
        <w:t xml:space="preserve">, el incumplimiento por una parte interesada del plazo establecido para una comunicación dirigida a la OMPI se excusará si ha sido enviada por vía electrónica y si la parte interesada presenta pruebas en las que se demuestre </w:t>
      </w:r>
      <w:r w:rsidR="00E77BFD" w:rsidRPr="00C40381">
        <w:rPr>
          <w:szCs w:val="22"/>
          <w:lang w:val="es-ES"/>
        </w:rPr>
        <w:t xml:space="preserve">satisfactoriamente </w:t>
      </w:r>
      <w:r w:rsidRPr="00C40381">
        <w:rPr>
          <w:szCs w:val="22"/>
          <w:lang w:val="es-ES"/>
        </w:rPr>
        <w:t xml:space="preserve">que no pudo cumplirse el plazo establecido como consecuencia de un fallo en la comunicación electrónica con la </w:t>
      </w:r>
      <w:r w:rsidR="00E77BFD" w:rsidRPr="00C40381">
        <w:rPr>
          <w:szCs w:val="22"/>
          <w:lang w:val="es-ES"/>
        </w:rPr>
        <w:t>OMPI</w:t>
      </w:r>
      <w:r w:rsidRPr="00C40381">
        <w:rPr>
          <w:szCs w:val="22"/>
          <w:lang w:val="es-ES"/>
        </w:rPr>
        <w:t xml:space="preserve"> o de un fallo que afecte a la localidad de la parte interesada debido</w:t>
      </w:r>
      <w:r w:rsidR="00E77BFD" w:rsidRPr="00C40381">
        <w:rPr>
          <w:szCs w:val="22"/>
          <w:lang w:val="es-ES"/>
        </w:rPr>
        <w:t xml:space="preserve"> a circunstancias extraordinarias</w:t>
      </w:r>
      <w:r w:rsidR="0050560F" w:rsidRPr="00C40381">
        <w:rPr>
          <w:szCs w:val="22"/>
          <w:lang w:val="es-ES"/>
        </w:rPr>
        <w:t>.</w:t>
      </w:r>
      <w:r w:rsidR="001256B0" w:rsidRPr="00C40381">
        <w:rPr>
          <w:szCs w:val="22"/>
          <w:lang w:val="es-ES"/>
        </w:rPr>
        <w:t xml:space="preserve">  </w:t>
      </w:r>
      <w:r w:rsidRPr="00C40381">
        <w:rPr>
          <w:szCs w:val="22"/>
          <w:lang w:val="es-ES_tradnl"/>
        </w:rPr>
        <w:t>En este caso, la nueva comunicación deberá efectuarse, a más tardar, cinco días después de la reanudación del servicio de comunicación electrónica.</w:t>
      </w:r>
    </w:p>
    <w:p w:rsidR="00C86DC7" w:rsidRPr="00C40381" w:rsidRDefault="00C86DC7" w:rsidP="00C86DC7">
      <w:pPr>
        <w:pStyle w:val="ONUME"/>
        <w:numPr>
          <w:ilvl w:val="0"/>
          <w:numId w:val="0"/>
        </w:numPr>
        <w:spacing w:after="0"/>
        <w:rPr>
          <w:szCs w:val="22"/>
          <w:lang w:val="es-ES"/>
        </w:rPr>
      </w:pPr>
    </w:p>
    <w:p w:rsidR="008D352E" w:rsidRPr="00C40381" w:rsidRDefault="008D352E" w:rsidP="00C86DC7">
      <w:pPr>
        <w:pStyle w:val="ONUME"/>
        <w:spacing w:after="0"/>
        <w:rPr>
          <w:szCs w:val="22"/>
          <w:lang w:val="es-ES"/>
        </w:rPr>
      </w:pPr>
      <w:r w:rsidRPr="00C40381">
        <w:rPr>
          <w:szCs w:val="22"/>
          <w:lang w:val="es-ES"/>
        </w:rPr>
        <w:t xml:space="preserve">La nueva disposición tiene por fin abarcar las comunicaciones enviadas a la OMPI por la parte interesada (por ejemplo, el titular, el solicitante, el mandatario o la Oficina de la Parte Contratante) por medios electrónicos (por ejemplo, correo-e, fax, formularios electrónicos).  Podrá excusarse a la parte interesada </w:t>
      </w:r>
      <w:r w:rsidR="00EE2B59">
        <w:rPr>
          <w:szCs w:val="22"/>
          <w:lang w:val="es-ES"/>
        </w:rPr>
        <w:t>por</w:t>
      </w:r>
      <w:r w:rsidRPr="00C40381">
        <w:rPr>
          <w:szCs w:val="22"/>
          <w:lang w:val="es-ES"/>
        </w:rPr>
        <w:t xml:space="preserve"> no haber cumplido el plazo cuando la OMPI no haya recibido la comunicación electrónica como consecuencia de un fallo en los sistemas de comunicación electrónica.  Además, también se excusará a la parte interesada cuando se produzcan circunstancias extraordinarias en su localidad (por ejemplo, interrupciones prolongadas de los servicios de Internet, interrupción imprevista del suministro de energía) que impidan a esa parte efectuar la comunicación.</w:t>
      </w:r>
    </w:p>
    <w:p w:rsidR="00C86DC7" w:rsidRPr="00C40381" w:rsidRDefault="00C86DC7" w:rsidP="00C86DC7">
      <w:pPr>
        <w:pStyle w:val="ONUME"/>
        <w:numPr>
          <w:ilvl w:val="0"/>
          <w:numId w:val="0"/>
        </w:numPr>
        <w:spacing w:after="0"/>
        <w:rPr>
          <w:szCs w:val="22"/>
          <w:lang w:val="es-ES"/>
        </w:rPr>
      </w:pPr>
    </w:p>
    <w:p w:rsidR="00B35406" w:rsidRPr="00C40381" w:rsidRDefault="008D352E" w:rsidP="00C86DC7">
      <w:pPr>
        <w:pStyle w:val="ONUME"/>
        <w:spacing w:after="0"/>
        <w:rPr>
          <w:szCs w:val="22"/>
          <w:lang w:val="es-ES"/>
        </w:rPr>
      </w:pPr>
      <w:r w:rsidRPr="00C40381">
        <w:rPr>
          <w:szCs w:val="22"/>
          <w:lang w:val="es-ES"/>
        </w:rPr>
        <w:t>A fin de que se excuse el incumplimiento, la parte interesada deberá presentar a la OMPI pruebas suficientes (po</w:t>
      </w:r>
      <w:r w:rsidR="00880A56" w:rsidRPr="00C40381">
        <w:rPr>
          <w:szCs w:val="22"/>
          <w:lang w:val="es-ES"/>
        </w:rPr>
        <w:t>r e</w:t>
      </w:r>
      <w:r w:rsidRPr="00C40381">
        <w:rPr>
          <w:szCs w:val="22"/>
          <w:lang w:val="es-ES"/>
        </w:rPr>
        <w:t xml:space="preserve">jemplo, una </w:t>
      </w:r>
      <w:r w:rsidR="00773E7A" w:rsidRPr="00C40381">
        <w:rPr>
          <w:szCs w:val="22"/>
          <w:lang w:val="es-ES"/>
        </w:rPr>
        <w:t>certificación</w:t>
      </w:r>
      <w:r w:rsidRPr="00C40381">
        <w:rPr>
          <w:szCs w:val="22"/>
          <w:lang w:val="es-ES"/>
        </w:rPr>
        <w:t xml:space="preserve"> de su proveedor de servicios de Internet que </w:t>
      </w:r>
      <w:r w:rsidR="008F1A57">
        <w:rPr>
          <w:szCs w:val="22"/>
          <w:lang w:val="es-ES"/>
        </w:rPr>
        <w:t>confirme</w:t>
      </w:r>
      <w:r w:rsidR="00773E7A" w:rsidRPr="00C40381">
        <w:rPr>
          <w:szCs w:val="22"/>
          <w:lang w:val="es-ES"/>
        </w:rPr>
        <w:t xml:space="preserve"> el envío de la comunicación o </w:t>
      </w:r>
      <w:r w:rsidRPr="00C40381">
        <w:rPr>
          <w:szCs w:val="22"/>
          <w:lang w:val="es-ES"/>
        </w:rPr>
        <w:t>la indisponibilidad del servicio</w:t>
      </w:r>
      <w:r w:rsidR="00773E7A" w:rsidRPr="00C40381">
        <w:rPr>
          <w:szCs w:val="22"/>
          <w:lang w:val="es-ES"/>
        </w:rPr>
        <w:t>, una carta de la compañía eléctrica que informe de interrupciones imprevistas en el servicio, noticias de prensa de esos acontecimientos) y la OMPI recibir una nueva comunicación en un plazo de cinco días a partir de la reanudación de los servicios.</w:t>
      </w:r>
    </w:p>
    <w:p w:rsidR="00C86DC7" w:rsidRPr="00C40381" w:rsidRDefault="00C86DC7" w:rsidP="00C86DC7">
      <w:pPr>
        <w:pStyle w:val="ONUME"/>
        <w:numPr>
          <w:ilvl w:val="0"/>
          <w:numId w:val="0"/>
        </w:numPr>
        <w:spacing w:after="0"/>
        <w:rPr>
          <w:szCs w:val="22"/>
          <w:lang w:val="es-ES"/>
        </w:rPr>
      </w:pPr>
    </w:p>
    <w:p w:rsidR="001B758D" w:rsidRDefault="00773E7A" w:rsidP="00C86DC7">
      <w:pPr>
        <w:pStyle w:val="ONUME"/>
        <w:spacing w:after="0"/>
        <w:rPr>
          <w:szCs w:val="22"/>
          <w:lang w:val="es-ES"/>
        </w:rPr>
      </w:pPr>
      <w:r w:rsidRPr="00C40381">
        <w:rPr>
          <w:szCs w:val="22"/>
          <w:lang w:val="es-ES"/>
        </w:rPr>
        <w:t xml:space="preserve">De conformidad con el </w:t>
      </w:r>
      <w:r w:rsidR="006632AE">
        <w:rPr>
          <w:szCs w:val="22"/>
          <w:lang w:val="es-ES"/>
        </w:rPr>
        <w:t xml:space="preserve">nuevo </w:t>
      </w:r>
      <w:r w:rsidRPr="00C40381">
        <w:rPr>
          <w:szCs w:val="22"/>
          <w:lang w:val="es-ES"/>
        </w:rPr>
        <w:t>párraf</w:t>
      </w:r>
      <w:r w:rsidR="00C40381" w:rsidRPr="00C40381">
        <w:rPr>
          <w:szCs w:val="22"/>
          <w:lang w:val="es-ES"/>
        </w:rPr>
        <w:t>o 4</w:t>
      </w:r>
      <w:r w:rsidRPr="00C40381">
        <w:rPr>
          <w:szCs w:val="22"/>
          <w:lang w:val="es-ES"/>
        </w:rPr>
        <w:t>) de la Regl</w:t>
      </w:r>
      <w:r w:rsidR="00C40381" w:rsidRPr="00C40381">
        <w:rPr>
          <w:szCs w:val="22"/>
          <w:lang w:val="es-ES"/>
        </w:rPr>
        <w:t>a 5</w:t>
      </w:r>
      <w:r w:rsidRPr="00C40381">
        <w:rPr>
          <w:szCs w:val="22"/>
          <w:lang w:val="es-ES"/>
        </w:rPr>
        <w:t>, la OMPI deberá recibir las pruebas justificativas y la nueva comunicación a más tardar seis meses después del vencimiento del plazo en cuestión.</w:t>
      </w:r>
      <w:r w:rsidR="001B758D">
        <w:rPr>
          <w:szCs w:val="22"/>
          <w:lang w:val="es-ES"/>
        </w:rPr>
        <w:br w:type="page"/>
      </w:r>
    </w:p>
    <w:p w:rsidR="007B5840" w:rsidRPr="00C40381" w:rsidRDefault="00773E7A" w:rsidP="00C86DC7">
      <w:pPr>
        <w:pStyle w:val="ONUME"/>
        <w:spacing w:after="0"/>
        <w:rPr>
          <w:szCs w:val="22"/>
          <w:lang w:val="es-ES"/>
        </w:rPr>
      </w:pPr>
      <w:r w:rsidRPr="00C40381">
        <w:rPr>
          <w:szCs w:val="22"/>
          <w:lang w:val="es-ES"/>
        </w:rPr>
        <w:lastRenderedPageBreak/>
        <w:t xml:space="preserve">En virtud del </w:t>
      </w:r>
      <w:r w:rsidR="004513DC">
        <w:rPr>
          <w:szCs w:val="22"/>
          <w:lang w:val="es-ES"/>
        </w:rPr>
        <w:t xml:space="preserve">nuevo </w:t>
      </w:r>
      <w:r w:rsidRPr="00C40381">
        <w:rPr>
          <w:szCs w:val="22"/>
          <w:lang w:val="es-ES"/>
        </w:rPr>
        <w:t>párraf</w:t>
      </w:r>
      <w:r w:rsidR="00C40381" w:rsidRPr="00C40381">
        <w:rPr>
          <w:szCs w:val="22"/>
          <w:lang w:val="es-ES"/>
        </w:rPr>
        <w:t>o 5</w:t>
      </w:r>
      <w:r w:rsidRPr="00C40381">
        <w:rPr>
          <w:szCs w:val="22"/>
          <w:lang w:val="es-ES"/>
        </w:rPr>
        <w:t>) de la Regl</w:t>
      </w:r>
      <w:r w:rsidR="00C40381" w:rsidRPr="00C40381">
        <w:rPr>
          <w:szCs w:val="22"/>
          <w:lang w:val="es-ES"/>
        </w:rPr>
        <w:t>a 5</w:t>
      </w:r>
      <w:r w:rsidRPr="00C40381">
        <w:rPr>
          <w:szCs w:val="22"/>
          <w:lang w:val="es-ES"/>
        </w:rPr>
        <w:t xml:space="preserve">, cuando se excuse a una Oficina de haber incumplido el plazo de dos meses </w:t>
      </w:r>
      <w:r w:rsidR="00343B35" w:rsidRPr="00C40381">
        <w:rPr>
          <w:szCs w:val="22"/>
          <w:lang w:val="es-ES"/>
        </w:rPr>
        <w:t>para que la OMPI reciba una solicitud internacional o una designación posterior, como se especifica en el Artícul</w:t>
      </w:r>
      <w:r w:rsidR="00C40381" w:rsidRPr="00C40381">
        <w:rPr>
          <w:szCs w:val="22"/>
          <w:lang w:val="es-ES"/>
        </w:rPr>
        <w:t>o 3</w:t>
      </w:r>
      <w:r w:rsidR="00343B35" w:rsidRPr="00C40381">
        <w:rPr>
          <w:szCs w:val="22"/>
          <w:lang w:val="es-ES"/>
        </w:rPr>
        <w:t>.4) del Protocolo de Madrid y en la Regl</w:t>
      </w:r>
      <w:r w:rsidR="00C40381" w:rsidRPr="00C40381">
        <w:rPr>
          <w:szCs w:val="22"/>
          <w:lang w:val="es-ES"/>
        </w:rPr>
        <w:t>a 2</w:t>
      </w:r>
      <w:r w:rsidR="00343B35" w:rsidRPr="00C40381">
        <w:rPr>
          <w:szCs w:val="22"/>
          <w:lang w:val="es-ES"/>
        </w:rPr>
        <w:t>4.6)b), la fecha del registro internacional o de la designación posterior será la fecha en que la Oficina reciba dicha solicitud o designación, certificada po</w:t>
      </w:r>
      <w:r w:rsidR="00C762FA" w:rsidRPr="00C40381">
        <w:rPr>
          <w:szCs w:val="22"/>
          <w:lang w:val="es-ES"/>
        </w:rPr>
        <w:t>r esa Oficina.</w:t>
      </w:r>
    </w:p>
    <w:p w:rsidR="00C86DC7" w:rsidRPr="00C40381" w:rsidRDefault="00C86DC7" w:rsidP="00C86DC7">
      <w:pPr>
        <w:pStyle w:val="ONUME"/>
        <w:numPr>
          <w:ilvl w:val="0"/>
          <w:numId w:val="0"/>
        </w:numPr>
        <w:spacing w:after="0"/>
        <w:rPr>
          <w:szCs w:val="22"/>
          <w:lang w:val="es-ES"/>
        </w:rPr>
      </w:pPr>
    </w:p>
    <w:p w:rsidR="0017543F" w:rsidRPr="00C40381" w:rsidRDefault="00C762FA" w:rsidP="00C86DC7">
      <w:pPr>
        <w:pStyle w:val="ONUME"/>
        <w:spacing w:after="0"/>
        <w:rPr>
          <w:szCs w:val="22"/>
          <w:lang w:val="es-ES"/>
        </w:rPr>
      </w:pPr>
      <w:r w:rsidRPr="00C40381">
        <w:rPr>
          <w:szCs w:val="22"/>
          <w:lang w:val="es-ES"/>
        </w:rPr>
        <w:t>Por último, se recuerda a los usuarios que el incumplimiento de un plazo para el envío de comunicaciones por correo mediante un servicio postal o de distribución podrá excusarse con arreglo a las condiciones especificadas en los párrafo</w:t>
      </w:r>
      <w:r w:rsidR="00C40381" w:rsidRPr="00C40381">
        <w:rPr>
          <w:szCs w:val="22"/>
          <w:lang w:val="es-ES"/>
        </w:rPr>
        <w:t>s 1</w:t>
      </w:r>
      <w:r w:rsidRPr="00C40381">
        <w:rPr>
          <w:szCs w:val="22"/>
          <w:lang w:val="es-ES"/>
        </w:rPr>
        <w:t xml:space="preserve">) </w:t>
      </w:r>
      <w:r w:rsidR="001B758D">
        <w:rPr>
          <w:szCs w:val="22"/>
          <w:lang w:val="es-ES"/>
        </w:rPr>
        <w:t>o</w:t>
      </w:r>
      <w:r w:rsidR="00C40381" w:rsidRPr="00C40381">
        <w:rPr>
          <w:szCs w:val="22"/>
          <w:lang w:val="es-ES"/>
        </w:rPr>
        <w:t> 2</w:t>
      </w:r>
      <w:r w:rsidRPr="00C40381">
        <w:rPr>
          <w:szCs w:val="22"/>
          <w:lang w:val="es-ES"/>
        </w:rPr>
        <w:t>) de la Regl</w:t>
      </w:r>
      <w:r w:rsidR="00C40381" w:rsidRPr="00C40381">
        <w:rPr>
          <w:szCs w:val="22"/>
          <w:lang w:val="es-ES"/>
        </w:rPr>
        <w:t>a 5</w:t>
      </w:r>
      <w:r w:rsidR="0017543F" w:rsidRPr="00C40381">
        <w:rPr>
          <w:szCs w:val="22"/>
          <w:lang w:val="es-ES"/>
        </w:rPr>
        <w:t>.</w:t>
      </w:r>
    </w:p>
    <w:p w:rsidR="00C86DC7" w:rsidRPr="00C40381" w:rsidRDefault="00C86DC7" w:rsidP="00C86DC7">
      <w:pPr>
        <w:pStyle w:val="ONUME"/>
        <w:numPr>
          <w:ilvl w:val="0"/>
          <w:numId w:val="0"/>
        </w:numPr>
        <w:spacing w:after="0"/>
        <w:rPr>
          <w:szCs w:val="22"/>
          <w:lang w:val="es-ES"/>
        </w:rPr>
      </w:pPr>
    </w:p>
    <w:p w:rsidR="0050560F" w:rsidRPr="00C40381" w:rsidRDefault="00C762FA" w:rsidP="00C86DC7">
      <w:pPr>
        <w:pStyle w:val="ONUME"/>
        <w:numPr>
          <w:ilvl w:val="0"/>
          <w:numId w:val="0"/>
        </w:numPr>
        <w:spacing w:after="0"/>
        <w:rPr>
          <w:szCs w:val="22"/>
          <w:u w:val="single"/>
          <w:lang w:val="es-ES"/>
        </w:rPr>
      </w:pPr>
      <w:r w:rsidRPr="00C40381">
        <w:rPr>
          <w:szCs w:val="22"/>
          <w:u w:val="single"/>
          <w:lang w:val="es-ES"/>
        </w:rPr>
        <w:t>Modificaciones de la Regl</w:t>
      </w:r>
      <w:r w:rsidR="00C40381" w:rsidRPr="00C40381">
        <w:rPr>
          <w:szCs w:val="22"/>
          <w:u w:val="single"/>
          <w:lang w:val="es-ES"/>
        </w:rPr>
        <w:t>a 3</w:t>
      </w:r>
      <w:r w:rsidR="0050560F" w:rsidRPr="00C40381">
        <w:rPr>
          <w:szCs w:val="22"/>
          <w:u w:val="single"/>
          <w:lang w:val="es-ES"/>
        </w:rPr>
        <w:t xml:space="preserve">6 </w:t>
      </w:r>
      <w:r w:rsidRPr="00C40381">
        <w:rPr>
          <w:szCs w:val="22"/>
          <w:u w:val="single"/>
          <w:lang w:val="es-ES"/>
        </w:rPr>
        <w:t>del Reglamento Común</w:t>
      </w:r>
      <w:r w:rsidR="0050560F" w:rsidRPr="00C40381">
        <w:rPr>
          <w:szCs w:val="22"/>
          <w:u w:val="single"/>
          <w:lang w:val="es-ES"/>
        </w:rPr>
        <w:t xml:space="preserve">: </w:t>
      </w:r>
      <w:r w:rsidR="009F5AC9" w:rsidRPr="00C40381">
        <w:rPr>
          <w:szCs w:val="22"/>
          <w:u w:val="single"/>
          <w:lang w:val="es-ES"/>
        </w:rPr>
        <w:t xml:space="preserve"> </w:t>
      </w:r>
      <w:r w:rsidRPr="00C40381">
        <w:rPr>
          <w:szCs w:val="22"/>
          <w:u w:val="single"/>
          <w:lang w:val="es-ES"/>
        </w:rPr>
        <w:t>Exención de tasas</w:t>
      </w:r>
    </w:p>
    <w:p w:rsidR="00C86DC7" w:rsidRPr="00C40381" w:rsidRDefault="00C86DC7" w:rsidP="00C86DC7">
      <w:pPr>
        <w:pStyle w:val="ONUME"/>
        <w:numPr>
          <w:ilvl w:val="0"/>
          <w:numId w:val="0"/>
        </w:numPr>
        <w:spacing w:after="0"/>
        <w:rPr>
          <w:szCs w:val="22"/>
          <w:u w:val="single"/>
          <w:lang w:val="es-ES"/>
        </w:rPr>
      </w:pPr>
    </w:p>
    <w:p w:rsidR="00CD5752" w:rsidRPr="00C40381" w:rsidRDefault="00570AF0" w:rsidP="00C86DC7">
      <w:pPr>
        <w:pStyle w:val="ONUME"/>
        <w:spacing w:after="0"/>
        <w:rPr>
          <w:szCs w:val="22"/>
          <w:lang w:val="es-ES"/>
        </w:rPr>
      </w:pPr>
      <w:r w:rsidRPr="00C40381">
        <w:rPr>
          <w:szCs w:val="22"/>
          <w:lang w:val="es-ES"/>
        </w:rPr>
        <w:t>En una modificación del apartado ii) de la Regl</w:t>
      </w:r>
      <w:r w:rsidR="00C40381" w:rsidRPr="00C40381">
        <w:rPr>
          <w:szCs w:val="22"/>
          <w:lang w:val="es-ES"/>
        </w:rPr>
        <w:t>a 3</w:t>
      </w:r>
      <w:r w:rsidRPr="00C40381">
        <w:rPr>
          <w:szCs w:val="22"/>
          <w:lang w:val="es-ES"/>
        </w:rPr>
        <w:t>6 se aclara</w:t>
      </w:r>
      <w:r w:rsidR="00AD2926" w:rsidRPr="00C40381">
        <w:rPr>
          <w:szCs w:val="22"/>
          <w:lang w:val="es-ES"/>
        </w:rPr>
        <w:t xml:space="preserve"> que </w:t>
      </w:r>
      <w:r w:rsidR="00831DF9" w:rsidRPr="00C40381">
        <w:rPr>
          <w:szCs w:val="22"/>
          <w:lang w:val="es-ES"/>
        </w:rPr>
        <w:t xml:space="preserve">los cambios </w:t>
      </w:r>
      <w:r w:rsidR="006632AE">
        <w:rPr>
          <w:szCs w:val="22"/>
          <w:lang w:val="es-ES"/>
        </w:rPr>
        <w:t>de</w:t>
      </w:r>
      <w:r w:rsidR="00831DF9" w:rsidRPr="00C40381">
        <w:rPr>
          <w:szCs w:val="22"/>
          <w:lang w:val="es-ES"/>
        </w:rPr>
        <w:t xml:space="preserve"> la </w:t>
      </w:r>
      <w:r w:rsidR="00AD2926" w:rsidRPr="00C40381">
        <w:rPr>
          <w:szCs w:val="22"/>
          <w:lang w:val="es-ES"/>
        </w:rPr>
        <w:t xml:space="preserve">dirección </w:t>
      </w:r>
      <w:r w:rsidR="00FF1898" w:rsidRPr="00C40381">
        <w:rPr>
          <w:szCs w:val="22"/>
          <w:lang w:val="es-ES"/>
        </w:rPr>
        <w:t>para la</w:t>
      </w:r>
      <w:r w:rsidR="00AD2926" w:rsidRPr="00C40381">
        <w:rPr>
          <w:szCs w:val="22"/>
          <w:lang w:val="es-ES"/>
        </w:rPr>
        <w:t xml:space="preserve"> correspondencia, la dirección de </w:t>
      </w:r>
      <w:r w:rsidR="001157A7" w:rsidRPr="00C40381">
        <w:rPr>
          <w:szCs w:val="22"/>
          <w:lang w:val="es-ES"/>
        </w:rPr>
        <w:t>correo-e</w:t>
      </w:r>
      <w:r w:rsidR="00695FEA" w:rsidRPr="00C40381">
        <w:rPr>
          <w:szCs w:val="22"/>
          <w:lang w:val="es-ES"/>
        </w:rPr>
        <w:t>,</w:t>
      </w:r>
      <w:r w:rsidR="00AD2926" w:rsidRPr="00C40381">
        <w:rPr>
          <w:szCs w:val="22"/>
          <w:lang w:val="es-ES"/>
        </w:rPr>
        <w:t xml:space="preserve"> los números de teléfono y de </w:t>
      </w:r>
      <w:r w:rsidR="008F1A57">
        <w:rPr>
          <w:szCs w:val="22"/>
          <w:lang w:val="es-ES"/>
        </w:rPr>
        <w:t>fax</w:t>
      </w:r>
      <w:r w:rsidR="00AD2926" w:rsidRPr="00C40381">
        <w:rPr>
          <w:szCs w:val="22"/>
          <w:lang w:val="es-ES"/>
        </w:rPr>
        <w:t xml:space="preserve">, y </w:t>
      </w:r>
      <w:r w:rsidR="006632AE">
        <w:rPr>
          <w:szCs w:val="22"/>
          <w:lang w:val="es-ES"/>
        </w:rPr>
        <w:t>de</w:t>
      </w:r>
      <w:r w:rsidR="00695FEA" w:rsidRPr="00C40381">
        <w:rPr>
          <w:szCs w:val="22"/>
          <w:lang w:val="es-ES"/>
        </w:rPr>
        <w:t xml:space="preserve"> </w:t>
      </w:r>
      <w:r w:rsidR="00AD2926" w:rsidRPr="00C40381">
        <w:rPr>
          <w:szCs w:val="22"/>
          <w:lang w:val="es-ES"/>
        </w:rPr>
        <w:t xml:space="preserve">cualquier otro medio de comunicación con el solicitante o titular </w:t>
      </w:r>
      <w:r w:rsidR="00A21ABE" w:rsidRPr="00C40381">
        <w:rPr>
          <w:szCs w:val="22"/>
          <w:lang w:val="es-ES"/>
        </w:rPr>
        <w:t>estarán exent</w:t>
      </w:r>
      <w:r w:rsidR="00831DF9" w:rsidRPr="00C40381">
        <w:rPr>
          <w:szCs w:val="22"/>
          <w:lang w:val="es-ES"/>
        </w:rPr>
        <w:t>o</w:t>
      </w:r>
      <w:r w:rsidR="00A21ABE" w:rsidRPr="00C40381">
        <w:rPr>
          <w:szCs w:val="22"/>
          <w:lang w:val="es-ES"/>
        </w:rPr>
        <w:t>s del pago de  tasa</w:t>
      </w:r>
      <w:r w:rsidR="006632AE">
        <w:rPr>
          <w:szCs w:val="22"/>
          <w:lang w:val="es-ES"/>
        </w:rPr>
        <w:t>s</w:t>
      </w:r>
      <w:r w:rsidR="006902EB" w:rsidRPr="00C40381">
        <w:rPr>
          <w:szCs w:val="22"/>
          <w:lang w:val="es-ES"/>
        </w:rPr>
        <w:t>.</w:t>
      </w:r>
    </w:p>
    <w:p w:rsidR="00C86DC7" w:rsidRPr="00C40381" w:rsidRDefault="00C86DC7" w:rsidP="00C86DC7">
      <w:pPr>
        <w:pStyle w:val="ONUME"/>
        <w:numPr>
          <w:ilvl w:val="0"/>
          <w:numId w:val="0"/>
        </w:numPr>
        <w:spacing w:after="0"/>
        <w:rPr>
          <w:szCs w:val="22"/>
          <w:lang w:val="es-ES"/>
        </w:rPr>
      </w:pPr>
    </w:p>
    <w:p w:rsidR="00450CAC" w:rsidRPr="00C40381" w:rsidRDefault="00261EF3" w:rsidP="00C86DC7">
      <w:pPr>
        <w:pStyle w:val="ONUME"/>
        <w:spacing w:after="0"/>
        <w:rPr>
          <w:szCs w:val="22"/>
          <w:lang w:val="es-ES"/>
        </w:rPr>
      </w:pPr>
      <w:r w:rsidRPr="00C40381">
        <w:rPr>
          <w:szCs w:val="22"/>
          <w:lang w:val="es-ES"/>
        </w:rPr>
        <w:t xml:space="preserve">Los solicitantes </w:t>
      </w:r>
      <w:r w:rsidR="006D7300" w:rsidRPr="00C40381">
        <w:rPr>
          <w:szCs w:val="22"/>
          <w:lang w:val="es-ES"/>
        </w:rPr>
        <w:t>y</w:t>
      </w:r>
      <w:r w:rsidRPr="00C40381">
        <w:rPr>
          <w:szCs w:val="22"/>
          <w:lang w:val="es-ES"/>
        </w:rPr>
        <w:t xml:space="preserve"> titulares que deseen solicitar </w:t>
      </w:r>
      <w:r w:rsidR="00456FDA" w:rsidRPr="00C40381">
        <w:rPr>
          <w:szCs w:val="22"/>
          <w:lang w:val="es-ES"/>
        </w:rPr>
        <w:t xml:space="preserve">la inscripción de </w:t>
      </w:r>
      <w:r w:rsidRPr="00C40381">
        <w:rPr>
          <w:szCs w:val="22"/>
          <w:lang w:val="es-ES"/>
        </w:rPr>
        <w:t xml:space="preserve">cualquiera </w:t>
      </w:r>
      <w:r w:rsidR="00831DF9" w:rsidRPr="00C40381">
        <w:rPr>
          <w:szCs w:val="22"/>
          <w:lang w:val="es-ES"/>
        </w:rPr>
        <w:t>de los cambios indicados</w:t>
      </w:r>
      <w:r w:rsidRPr="00C40381">
        <w:rPr>
          <w:szCs w:val="22"/>
          <w:lang w:val="es-ES"/>
        </w:rPr>
        <w:t xml:space="preserve"> anteriormente</w:t>
      </w:r>
      <w:r w:rsidR="00C62CF3" w:rsidRPr="00C40381">
        <w:rPr>
          <w:szCs w:val="22"/>
          <w:lang w:val="es-ES"/>
        </w:rPr>
        <w:t xml:space="preserve"> en su información</w:t>
      </w:r>
      <w:r w:rsidR="00456FDA" w:rsidRPr="00C40381">
        <w:rPr>
          <w:szCs w:val="22"/>
          <w:lang w:val="es-ES"/>
        </w:rPr>
        <w:t xml:space="preserve"> de contacto</w:t>
      </w:r>
      <w:r w:rsidRPr="00C40381">
        <w:rPr>
          <w:szCs w:val="22"/>
          <w:lang w:val="es-ES"/>
        </w:rPr>
        <w:t xml:space="preserve"> </w:t>
      </w:r>
      <w:r w:rsidR="00D55F09" w:rsidRPr="00C40381">
        <w:rPr>
          <w:szCs w:val="22"/>
          <w:lang w:val="es-ES"/>
        </w:rPr>
        <w:t>p</w:t>
      </w:r>
      <w:r w:rsidR="00831DF9" w:rsidRPr="00C40381">
        <w:rPr>
          <w:szCs w:val="22"/>
          <w:lang w:val="es-ES"/>
        </w:rPr>
        <w:t>odrán</w:t>
      </w:r>
      <w:r w:rsidR="00D55F09" w:rsidRPr="00C40381">
        <w:rPr>
          <w:szCs w:val="22"/>
          <w:lang w:val="es-ES"/>
        </w:rPr>
        <w:t xml:space="preserve"> hacerlo enviando una comunicación a la OMPI, firmada por el solicitante, el titular o el mandatario inscrito</w:t>
      </w:r>
      <w:r w:rsidR="00C40381" w:rsidRPr="00C40381">
        <w:rPr>
          <w:szCs w:val="22"/>
          <w:lang w:val="es-ES"/>
        </w:rPr>
        <w:t>.  A</w:t>
      </w:r>
      <w:r w:rsidR="00D55F09" w:rsidRPr="00C40381">
        <w:rPr>
          <w:szCs w:val="22"/>
          <w:lang w:val="es-ES"/>
        </w:rPr>
        <w:t>dem</w:t>
      </w:r>
      <w:r w:rsidR="00831DF9" w:rsidRPr="00C40381">
        <w:rPr>
          <w:szCs w:val="22"/>
          <w:lang w:val="es-ES"/>
        </w:rPr>
        <w:t>ás del cambio solicitado</w:t>
      </w:r>
      <w:r w:rsidR="00D6671A" w:rsidRPr="00C40381">
        <w:rPr>
          <w:szCs w:val="22"/>
          <w:lang w:val="es-ES"/>
        </w:rPr>
        <w:t>, en la comunicaci</w:t>
      </w:r>
      <w:r w:rsidR="00456FDA" w:rsidRPr="00C40381">
        <w:rPr>
          <w:szCs w:val="22"/>
          <w:lang w:val="es-ES"/>
        </w:rPr>
        <w:t>ón</w:t>
      </w:r>
      <w:r w:rsidR="00D6671A" w:rsidRPr="00C40381">
        <w:rPr>
          <w:szCs w:val="22"/>
          <w:lang w:val="es-ES"/>
        </w:rPr>
        <w:t xml:space="preserve"> deberá indicar</w:t>
      </w:r>
      <w:r w:rsidR="00456FDA" w:rsidRPr="00C40381">
        <w:rPr>
          <w:szCs w:val="22"/>
          <w:lang w:val="es-ES"/>
        </w:rPr>
        <w:t>se</w:t>
      </w:r>
      <w:r w:rsidR="00D6671A" w:rsidRPr="00C40381">
        <w:rPr>
          <w:szCs w:val="22"/>
          <w:lang w:val="es-ES"/>
        </w:rPr>
        <w:t xml:space="preserve"> claramente el nombre del solicitante o titular y, según sea el caso, </w:t>
      </w:r>
      <w:r w:rsidR="002962CF" w:rsidRPr="00C40381">
        <w:rPr>
          <w:szCs w:val="22"/>
          <w:lang w:val="es-ES"/>
        </w:rPr>
        <w:t>el número de la solicitud de base, del registro de base o del registro internacional</w:t>
      </w:r>
      <w:r w:rsidR="00C40381" w:rsidRPr="00C40381">
        <w:rPr>
          <w:szCs w:val="22"/>
          <w:lang w:val="es-ES"/>
        </w:rPr>
        <w:t>.  S</w:t>
      </w:r>
      <w:r w:rsidR="002962CF" w:rsidRPr="00C40381">
        <w:rPr>
          <w:szCs w:val="22"/>
          <w:lang w:val="es-ES"/>
        </w:rPr>
        <w:t xml:space="preserve">e insta a los solicitantes y titulares a mantener actualizada su información de contacto con el fin de recibir </w:t>
      </w:r>
      <w:r w:rsidR="00456FDA" w:rsidRPr="00C40381">
        <w:rPr>
          <w:szCs w:val="22"/>
          <w:lang w:val="es-ES"/>
        </w:rPr>
        <w:t xml:space="preserve">las </w:t>
      </w:r>
      <w:r w:rsidR="002962CF" w:rsidRPr="00C40381">
        <w:rPr>
          <w:szCs w:val="22"/>
          <w:lang w:val="es-ES"/>
        </w:rPr>
        <w:t xml:space="preserve">comunicaciones de la OMPI </w:t>
      </w:r>
      <w:r w:rsidR="00456FDA" w:rsidRPr="00C40381">
        <w:rPr>
          <w:szCs w:val="22"/>
          <w:lang w:val="es-ES"/>
        </w:rPr>
        <w:t>en</w:t>
      </w:r>
      <w:r w:rsidR="002962CF" w:rsidRPr="00C40381">
        <w:rPr>
          <w:szCs w:val="22"/>
          <w:lang w:val="es-ES"/>
        </w:rPr>
        <w:t xml:space="preserve"> sus direcciones actuales.</w:t>
      </w:r>
    </w:p>
    <w:p w:rsidR="00C86DC7" w:rsidRPr="00C40381" w:rsidRDefault="00C86DC7" w:rsidP="00C86DC7">
      <w:pPr>
        <w:pStyle w:val="ONUME"/>
        <w:numPr>
          <w:ilvl w:val="0"/>
          <w:numId w:val="0"/>
        </w:numPr>
        <w:spacing w:after="0"/>
        <w:rPr>
          <w:szCs w:val="22"/>
          <w:lang w:val="es-ES"/>
        </w:rPr>
      </w:pPr>
    </w:p>
    <w:p w:rsidR="008640BB" w:rsidRPr="00C40381" w:rsidRDefault="00831DF9" w:rsidP="00C86DC7">
      <w:pPr>
        <w:pStyle w:val="ONUME"/>
        <w:spacing w:after="0"/>
        <w:rPr>
          <w:szCs w:val="22"/>
          <w:lang w:val="es-ES"/>
        </w:rPr>
      </w:pPr>
      <w:r w:rsidRPr="00C40381">
        <w:rPr>
          <w:szCs w:val="22"/>
          <w:lang w:val="es-ES"/>
        </w:rPr>
        <w:t xml:space="preserve">Cuando los titulares soliciten </w:t>
      </w:r>
      <w:r w:rsidR="00456FDA" w:rsidRPr="00C40381">
        <w:rPr>
          <w:szCs w:val="22"/>
          <w:lang w:val="es-ES"/>
        </w:rPr>
        <w:t>la inscripción de</w:t>
      </w:r>
      <w:r w:rsidRPr="00C40381">
        <w:rPr>
          <w:szCs w:val="22"/>
          <w:lang w:val="es-ES"/>
        </w:rPr>
        <w:t xml:space="preserve"> un cambio en su nombre o dirección, utilizando</w:t>
      </w:r>
      <w:r w:rsidR="00456FDA" w:rsidRPr="00C40381">
        <w:rPr>
          <w:szCs w:val="22"/>
          <w:lang w:val="es-ES"/>
        </w:rPr>
        <w:t xml:space="preserve"> para ello</w:t>
      </w:r>
      <w:r w:rsidRPr="00C40381">
        <w:rPr>
          <w:szCs w:val="22"/>
          <w:lang w:val="es-ES"/>
        </w:rPr>
        <w:t xml:space="preserve"> el formulario </w:t>
      </w:r>
      <w:r w:rsidR="00CD5752" w:rsidRPr="00C40381">
        <w:rPr>
          <w:szCs w:val="22"/>
          <w:lang w:val="es-ES"/>
        </w:rPr>
        <w:t>MM9</w:t>
      </w:r>
      <w:r w:rsidR="004D1C5A" w:rsidRPr="00C40381">
        <w:rPr>
          <w:szCs w:val="22"/>
          <w:lang w:val="es-ES"/>
        </w:rPr>
        <w:t xml:space="preserve">, </w:t>
      </w:r>
      <w:r w:rsidRPr="00C40381">
        <w:rPr>
          <w:szCs w:val="22"/>
          <w:lang w:val="es-ES"/>
        </w:rPr>
        <w:t>deberán confirmar su dirección para la correspondencia</w:t>
      </w:r>
      <w:r w:rsidR="00C40381" w:rsidRPr="00C40381">
        <w:rPr>
          <w:szCs w:val="22"/>
          <w:lang w:val="es-ES"/>
        </w:rPr>
        <w:t>.  D</w:t>
      </w:r>
      <w:r w:rsidRPr="00C40381">
        <w:rPr>
          <w:szCs w:val="22"/>
          <w:lang w:val="es-ES"/>
        </w:rPr>
        <w:t>e no ser así, la OMPI enviará las comunicaciones a su nueva dirección</w:t>
      </w:r>
      <w:r w:rsidR="00C40381" w:rsidRPr="00C40381">
        <w:rPr>
          <w:szCs w:val="22"/>
          <w:lang w:val="es-ES"/>
        </w:rPr>
        <w:t>.  L</w:t>
      </w:r>
      <w:r w:rsidRPr="00C40381">
        <w:rPr>
          <w:szCs w:val="22"/>
          <w:lang w:val="es-ES"/>
        </w:rPr>
        <w:t xml:space="preserve">os titulares también </w:t>
      </w:r>
      <w:r w:rsidR="000B034A">
        <w:rPr>
          <w:szCs w:val="22"/>
          <w:lang w:val="es-ES"/>
        </w:rPr>
        <w:t>podrán</w:t>
      </w:r>
      <w:r w:rsidRPr="00C40381">
        <w:rPr>
          <w:szCs w:val="22"/>
          <w:lang w:val="es-ES"/>
        </w:rPr>
        <w:t xml:space="preserve"> aprovechar esta oportunidad para optar por la comunicación electrónica, o para solicitar la actualización de su otra información de contacto proporcionando la información pertinente en el punt</w:t>
      </w:r>
      <w:r w:rsidR="00C40381" w:rsidRPr="00C40381">
        <w:rPr>
          <w:szCs w:val="22"/>
          <w:lang w:val="es-ES"/>
        </w:rPr>
        <w:t>o 4</w:t>
      </w:r>
      <w:r w:rsidRPr="00C40381">
        <w:rPr>
          <w:szCs w:val="22"/>
          <w:lang w:val="es-ES"/>
        </w:rPr>
        <w:t xml:space="preserve"> del formulario.</w:t>
      </w:r>
    </w:p>
    <w:p w:rsidR="00C86DC7" w:rsidRPr="00C40381" w:rsidRDefault="00C86DC7" w:rsidP="00C86DC7">
      <w:pPr>
        <w:pStyle w:val="ONUME"/>
        <w:numPr>
          <w:ilvl w:val="0"/>
          <w:numId w:val="0"/>
        </w:numPr>
        <w:spacing w:after="0"/>
        <w:rPr>
          <w:szCs w:val="22"/>
          <w:lang w:val="es-ES"/>
        </w:rPr>
      </w:pPr>
    </w:p>
    <w:p w:rsidR="008640BB" w:rsidRPr="00C40381" w:rsidRDefault="00D37129" w:rsidP="00C86DC7">
      <w:pPr>
        <w:rPr>
          <w:szCs w:val="22"/>
          <w:u w:val="single"/>
          <w:lang w:val="es-ES"/>
        </w:rPr>
      </w:pPr>
      <w:r w:rsidRPr="00C40381">
        <w:rPr>
          <w:szCs w:val="22"/>
          <w:u w:val="single"/>
          <w:lang w:val="es-ES"/>
        </w:rPr>
        <w:t>Cómo presentar solicitudes</w:t>
      </w:r>
      <w:r w:rsidR="008640BB" w:rsidRPr="00C40381">
        <w:rPr>
          <w:szCs w:val="22"/>
          <w:u w:val="single"/>
          <w:lang w:val="es-ES"/>
        </w:rPr>
        <w:t xml:space="preserve"> </w:t>
      </w:r>
      <w:r w:rsidR="00456FDA" w:rsidRPr="00C40381">
        <w:rPr>
          <w:szCs w:val="22"/>
          <w:u w:val="single"/>
          <w:lang w:val="es-ES"/>
        </w:rPr>
        <w:t>de conformidad con</w:t>
      </w:r>
      <w:r w:rsidRPr="00C40381">
        <w:rPr>
          <w:szCs w:val="22"/>
          <w:u w:val="single"/>
          <w:lang w:val="es-ES"/>
        </w:rPr>
        <w:t xml:space="preserve"> las Reglas</w:t>
      </w:r>
      <w:r w:rsidR="009F5AC9" w:rsidRPr="00C40381">
        <w:rPr>
          <w:szCs w:val="22"/>
          <w:u w:val="single"/>
          <w:lang w:val="es-ES"/>
        </w:rPr>
        <w:t> </w:t>
      </w:r>
      <w:r w:rsidR="008640BB" w:rsidRPr="00C40381">
        <w:rPr>
          <w:szCs w:val="22"/>
          <w:u w:val="single"/>
          <w:lang w:val="es-ES"/>
        </w:rPr>
        <w:t xml:space="preserve">5 </w:t>
      </w:r>
      <w:r w:rsidR="00C40381" w:rsidRPr="00C40381">
        <w:rPr>
          <w:szCs w:val="22"/>
          <w:u w:val="single"/>
          <w:lang w:val="es-ES"/>
        </w:rPr>
        <w:t>y 3</w:t>
      </w:r>
      <w:r w:rsidR="008640BB" w:rsidRPr="00C40381">
        <w:rPr>
          <w:szCs w:val="22"/>
          <w:u w:val="single"/>
          <w:lang w:val="es-ES"/>
        </w:rPr>
        <w:t>6</w:t>
      </w:r>
      <w:r w:rsidR="00F10804">
        <w:rPr>
          <w:szCs w:val="22"/>
          <w:u w:val="single"/>
          <w:lang w:val="es-ES"/>
        </w:rPr>
        <w:t>.</w:t>
      </w:r>
      <w:r w:rsidR="008640BB" w:rsidRPr="00C40381">
        <w:rPr>
          <w:szCs w:val="22"/>
          <w:u w:val="single"/>
          <w:lang w:val="es-ES"/>
        </w:rPr>
        <w:t xml:space="preserve">ii) </w:t>
      </w:r>
      <w:r w:rsidRPr="00C40381">
        <w:rPr>
          <w:szCs w:val="22"/>
          <w:u w:val="single"/>
          <w:lang w:val="es-ES"/>
        </w:rPr>
        <w:t>del Reglamento Común</w:t>
      </w:r>
    </w:p>
    <w:p w:rsidR="004833EC" w:rsidRPr="00C40381" w:rsidRDefault="004833EC" w:rsidP="00C86DC7">
      <w:pPr>
        <w:rPr>
          <w:szCs w:val="22"/>
          <w:u w:val="single"/>
          <w:lang w:val="es-ES"/>
        </w:rPr>
      </w:pPr>
    </w:p>
    <w:p w:rsidR="008640BB" w:rsidRPr="00C40381" w:rsidRDefault="00D37129" w:rsidP="00C86DC7">
      <w:pPr>
        <w:pStyle w:val="ONUME"/>
        <w:spacing w:after="0"/>
        <w:rPr>
          <w:szCs w:val="22"/>
          <w:lang w:val="es-ES"/>
        </w:rPr>
      </w:pPr>
      <w:r w:rsidRPr="00C40381">
        <w:rPr>
          <w:szCs w:val="22"/>
          <w:lang w:val="es-ES"/>
        </w:rPr>
        <w:t>Una comunicación con arreglo a lo dispuesto en la Regl</w:t>
      </w:r>
      <w:r w:rsidR="00C40381" w:rsidRPr="00C40381">
        <w:rPr>
          <w:szCs w:val="22"/>
          <w:lang w:val="es-ES"/>
        </w:rPr>
        <w:t>a 5</w:t>
      </w:r>
      <w:r w:rsidRPr="00C40381">
        <w:rPr>
          <w:szCs w:val="22"/>
          <w:lang w:val="es-ES"/>
        </w:rPr>
        <w:t>, en la que se solicite que se excuse a una parte interesada por haber incumplido un plazo fijado, o en la Regl</w:t>
      </w:r>
      <w:r w:rsidR="00C40381" w:rsidRPr="00C40381">
        <w:rPr>
          <w:szCs w:val="22"/>
          <w:lang w:val="es-ES"/>
        </w:rPr>
        <w:t>a 3</w:t>
      </w:r>
      <w:r w:rsidR="00F10804">
        <w:rPr>
          <w:szCs w:val="22"/>
          <w:lang w:val="es-ES"/>
        </w:rPr>
        <w:t>6.</w:t>
      </w:r>
      <w:r w:rsidR="00440258" w:rsidRPr="00C40381">
        <w:rPr>
          <w:szCs w:val="22"/>
          <w:lang w:val="es-ES"/>
        </w:rPr>
        <w:t xml:space="preserve">ii) </w:t>
      </w:r>
      <w:r w:rsidRPr="00C40381">
        <w:rPr>
          <w:szCs w:val="22"/>
          <w:lang w:val="es-ES"/>
        </w:rPr>
        <w:t>del Reglamento Común</w:t>
      </w:r>
      <w:r w:rsidR="00440258" w:rsidRPr="00C40381">
        <w:rPr>
          <w:szCs w:val="22"/>
          <w:lang w:val="es-ES"/>
        </w:rPr>
        <w:t xml:space="preserve">, </w:t>
      </w:r>
      <w:r w:rsidRPr="00C40381">
        <w:rPr>
          <w:szCs w:val="22"/>
          <w:lang w:val="es-ES"/>
        </w:rPr>
        <w:t>en la que se solicite la inscripción de un cambio en la información de contacto del solicitante o titular, podrá presentarse a la OMPI de la siguiente manera</w:t>
      </w:r>
      <w:r w:rsidR="008640BB" w:rsidRPr="00C40381">
        <w:rPr>
          <w:szCs w:val="22"/>
          <w:lang w:val="es-ES"/>
        </w:rPr>
        <w:t>:</w:t>
      </w:r>
    </w:p>
    <w:p w:rsidR="00C86DC7" w:rsidRPr="00C40381" w:rsidRDefault="00C86DC7" w:rsidP="00C86DC7">
      <w:pPr>
        <w:pStyle w:val="ONUME"/>
        <w:numPr>
          <w:ilvl w:val="0"/>
          <w:numId w:val="0"/>
        </w:numPr>
        <w:spacing w:after="0"/>
        <w:rPr>
          <w:szCs w:val="22"/>
          <w:lang w:val="es-ES"/>
        </w:rPr>
      </w:pPr>
    </w:p>
    <w:p w:rsidR="009F5AC9" w:rsidRPr="00C40381" w:rsidRDefault="00620E16" w:rsidP="00C86DC7">
      <w:pPr>
        <w:pStyle w:val="ONUME"/>
        <w:numPr>
          <w:ilvl w:val="0"/>
          <w:numId w:val="0"/>
        </w:numPr>
        <w:tabs>
          <w:tab w:val="left" w:pos="1701"/>
          <w:tab w:val="left" w:pos="2268"/>
        </w:tabs>
        <w:spacing w:after="0"/>
        <w:ind w:left="1134" w:hanging="567"/>
        <w:rPr>
          <w:szCs w:val="22"/>
          <w:lang w:val="es-ES"/>
        </w:rPr>
      </w:pPr>
      <w:r w:rsidRPr="00C40381">
        <w:rPr>
          <w:szCs w:val="22"/>
          <w:lang w:val="es-ES"/>
        </w:rPr>
        <w:t>Por correo-e</w:t>
      </w:r>
      <w:r w:rsidR="009F5AC9" w:rsidRPr="00C40381">
        <w:rPr>
          <w:szCs w:val="22"/>
          <w:lang w:val="es-ES"/>
        </w:rPr>
        <w:t xml:space="preserve">:  </w:t>
      </w:r>
      <w:r w:rsidR="009F5AC9" w:rsidRPr="00C40381">
        <w:rPr>
          <w:szCs w:val="22"/>
          <w:lang w:val="es-ES"/>
        </w:rPr>
        <w:tab/>
      </w:r>
      <w:hyperlink r:id="rId10" w:history="1">
        <w:r w:rsidR="009F5AC9" w:rsidRPr="00C40381">
          <w:rPr>
            <w:rStyle w:val="Hyperlink"/>
            <w:szCs w:val="22"/>
            <w:lang w:val="es-ES"/>
          </w:rPr>
          <w:t>intreg@wipo.int</w:t>
        </w:r>
      </w:hyperlink>
    </w:p>
    <w:p w:rsidR="009F5AC9" w:rsidRPr="00C40381" w:rsidRDefault="00D37129" w:rsidP="00C86DC7">
      <w:pPr>
        <w:pStyle w:val="ONUME"/>
        <w:numPr>
          <w:ilvl w:val="0"/>
          <w:numId w:val="0"/>
        </w:numPr>
        <w:spacing w:after="0"/>
        <w:ind w:left="2268"/>
        <w:rPr>
          <w:szCs w:val="22"/>
          <w:lang w:val="es-ES"/>
        </w:rPr>
      </w:pPr>
      <w:r w:rsidRPr="00C40381">
        <w:rPr>
          <w:szCs w:val="22"/>
          <w:lang w:val="es-ES"/>
        </w:rPr>
        <w:t>I</w:t>
      </w:r>
      <w:r w:rsidR="009F5AC9" w:rsidRPr="00C40381">
        <w:rPr>
          <w:szCs w:val="22"/>
          <w:lang w:val="es-ES"/>
        </w:rPr>
        <w:t>nd</w:t>
      </w:r>
      <w:r w:rsidRPr="00C40381">
        <w:rPr>
          <w:szCs w:val="22"/>
          <w:lang w:val="es-ES"/>
        </w:rPr>
        <w:t>icando en el asunto</w:t>
      </w:r>
      <w:r w:rsidR="009F5AC9" w:rsidRPr="00C40381">
        <w:rPr>
          <w:szCs w:val="22"/>
          <w:lang w:val="es-ES"/>
        </w:rPr>
        <w:t xml:space="preserve">, </w:t>
      </w:r>
      <w:r w:rsidRPr="00C40381">
        <w:rPr>
          <w:szCs w:val="22"/>
          <w:lang w:val="es-ES"/>
        </w:rPr>
        <w:t>según sea el caso</w:t>
      </w:r>
      <w:r w:rsidR="006632AE">
        <w:rPr>
          <w:szCs w:val="22"/>
          <w:lang w:val="es-ES"/>
        </w:rPr>
        <w:t>:</w:t>
      </w:r>
    </w:p>
    <w:p w:rsidR="009F5AC9" w:rsidRPr="00C40381" w:rsidRDefault="009F5AC9" w:rsidP="00C86DC7">
      <w:pPr>
        <w:pStyle w:val="ONUME"/>
        <w:numPr>
          <w:ilvl w:val="0"/>
          <w:numId w:val="0"/>
        </w:numPr>
        <w:spacing w:after="0"/>
        <w:ind w:left="2268"/>
        <w:rPr>
          <w:szCs w:val="22"/>
          <w:lang w:val="es-ES"/>
        </w:rPr>
      </w:pPr>
      <w:r w:rsidRPr="00C40381">
        <w:rPr>
          <w:szCs w:val="22"/>
          <w:lang w:val="es-ES"/>
        </w:rPr>
        <w:t>“</w:t>
      </w:r>
      <w:r w:rsidR="00D37129" w:rsidRPr="00C40381">
        <w:rPr>
          <w:szCs w:val="22"/>
          <w:lang w:val="es-ES"/>
        </w:rPr>
        <w:t xml:space="preserve">Solicitud </w:t>
      </w:r>
      <w:r w:rsidR="006632AE">
        <w:rPr>
          <w:szCs w:val="22"/>
          <w:lang w:val="es-ES"/>
        </w:rPr>
        <w:t xml:space="preserve"> de</w:t>
      </w:r>
      <w:r w:rsidR="00D37129" w:rsidRPr="00C40381">
        <w:rPr>
          <w:szCs w:val="22"/>
          <w:lang w:val="es-ES"/>
        </w:rPr>
        <w:t xml:space="preserve"> ser excusado por haber incumplido un plazo</w:t>
      </w:r>
      <w:r w:rsidRPr="00C40381">
        <w:rPr>
          <w:szCs w:val="22"/>
          <w:lang w:val="es-ES"/>
        </w:rPr>
        <w:t xml:space="preserve"> </w:t>
      </w:r>
      <w:r w:rsidR="00D37129" w:rsidRPr="00C40381">
        <w:rPr>
          <w:szCs w:val="22"/>
          <w:lang w:val="es-ES"/>
        </w:rPr>
        <w:t>fijado de conformidad con la Regl</w:t>
      </w:r>
      <w:r w:rsidR="00C40381" w:rsidRPr="00C40381">
        <w:rPr>
          <w:szCs w:val="22"/>
          <w:lang w:val="es-ES"/>
        </w:rPr>
        <w:t>a 5</w:t>
      </w:r>
      <w:r w:rsidR="00D37129" w:rsidRPr="00C40381">
        <w:rPr>
          <w:szCs w:val="22"/>
          <w:lang w:val="es-ES"/>
        </w:rPr>
        <w:t>”</w:t>
      </w:r>
      <w:r w:rsidRPr="00C40381">
        <w:rPr>
          <w:szCs w:val="22"/>
          <w:lang w:val="es-ES"/>
        </w:rPr>
        <w:t xml:space="preserve"> </w:t>
      </w:r>
    </w:p>
    <w:p w:rsidR="008640BB" w:rsidRPr="00C40381" w:rsidRDefault="009F5AC9" w:rsidP="00C86DC7">
      <w:pPr>
        <w:pStyle w:val="ONUME"/>
        <w:numPr>
          <w:ilvl w:val="0"/>
          <w:numId w:val="0"/>
        </w:numPr>
        <w:spacing w:after="0"/>
        <w:ind w:left="2268"/>
        <w:rPr>
          <w:szCs w:val="22"/>
          <w:lang w:val="es-ES"/>
        </w:rPr>
      </w:pPr>
      <w:r w:rsidRPr="00C40381">
        <w:rPr>
          <w:szCs w:val="22"/>
          <w:lang w:val="es-ES"/>
        </w:rPr>
        <w:t>“</w:t>
      </w:r>
      <w:r w:rsidR="00D37129" w:rsidRPr="00C40381">
        <w:rPr>
          <w:szCs w:val="22"/>
          <w:lang w:val="es-ES"/>
        </w:rPr>
        <w:t xml:space="preserve">Solicitud </w:t>
      </w:r>
      <w:r w:rsidR="006632AE">
        <w:rPr>
          <w:szCs w:val="22"/>
          <w:lang w:val="es-ES"/>
        </w:rPr>
        <w:t xml:space="preserve"> de</w:t>
      </w:r>
      <w:r w:rsidR="00D37129" w:rsidRPr="00C40381">
        <w:rPr>
          <w:szCs w:val="22"/>
          <w:lang w:val="es-ES"/>
        </w:rPr>
        <w:t xml:space="preserve"> cambiar la información de contacto de conformidad con la Regl</w:t>
      </w:r>
      <w:r w:rsidR="00C40381" w:rsidRPr="00C40381">
        <w:rPr>
          <w:szCs w:val="22"/>
          <w:lang w:val="es-ES"/>
        </w:rPr>
        <w:t>a 3</w:t>
      </w:r>
      <w:r w:rsidR="000B034A">
        <w:rPr>
          <w:szCs w:val="22"/>
          <w:lang w:val="es-ES"/>
        </w:rPr>
        <w:t>6.</w:t>
      </w:r>
      <w:r w:rsidR="00D37129" w:rsidRPr="00C40381">
        <w:rPr>
          <w:szCs w:val="22"/>
          <w:lang w:val="es-ES"/>
        </w:rPr>
        <w:t>ii)”</w:t>
      </w:r>
      <w:r w:rsidRPr="00C40381">
        <w:rPr>
          <w:szCs w:val="22"/>
          <w:lang w:val="es-ES"/>
        </w:rPr>
        <w:t xml:space="preserve"> </w:t>
      </w:r>
    </w:p>
    <w:p w:rsidR="009F5AC9" w:rsidRPr="00C40381" w:rsidRDefault="009F5AC9" w:rsidP="00C86DC7">
      <w:pPr>
        <w:pStyle w:val="ONUME"/>
        <w:numPr>
          <w:ilvl w:val="0"/>
          <w:numId w:val="0"/>
        </w:numPr>
        <w:spacing w:after="0"/>
        <w:ind w:left="1701"/>
        <w:rPr>
          <w:szCs w:val="22"/>
          <w:lang w:val="es-ES"/>
        </w:rPr>
      </w:pPr>
    </w:p>
    <w:p w:rsidR="009F5AC9" w:rsidRPr="00C40381" w:rsidRDefault="00620E16" w:rsidP="00C86DC7">
      <w:pPr>
        <w:pStyle w:val="ONUME"/>
        <w:numPr>
          <w:ilvl w:val="0"/>
          <w:numId w:val="0"/>
        </w:numPr>
        <w:tabs>
          <w:tab w:val="left" w:pos="1701"/>
          <w:tab w:val="left" w:pos="2268"/>
        </w:tabs>
        <w:spacing w:after="0"/>
        <w:ind w:left="1134" w:hanging="567"/>
        <w:rPr>
          <w:szCs w:val="22"/>
          <w:lang w:val="es-ES"/>
        </w:rPr>
      </w:pPr>
      <w:r w:rsidRPr="00C40381">
        <w:rPr>
          <w:szCs w:val="22"/>
          <w:lang w:val="es-ES"/>
        </w:rPr>
        <w:t>Por correo</w:t>
      </w:r>
      <w:r w:rsidR="00C86DC7" w:rsidRPr="00C40381">
        <w:rPr>
          <w:szCs w:val="22"/>
          <w:lang w:val="es-ES"/>
        </w:rPr>
        <w:t>:</w:t>
      </w:r>
      <w:r w:rsidR="00C86DC7" w:rsidRPr="00C40381">
        <w:rPr>
          <w:szCs w:val="22"/>
          <w:lang w:val="es-ES"/>
        </w:rPr>
        <w:tab/>
      </w:r>
      <w:r w:rsidR="00C86DC7" w:rsidRPr="00C40381">
        <w:rPr>
          <w:szCs w:val="22"/>
          <w:lang w:val="es-ES"/>
        </w:rPr>
        <w:tab/>
      </w:r>
      <w:r w:rsidRPr="00C40381">
        <w:rPr>
          <w:szCs w:val="22"/>
          <w:lang w:val="es-ES"/>
        </w:rPr>
        <w:t xml:space="preserve">Registro de </w:t>
      </w:r>
      <w:r w:rsidR="009F5AC9" w:rsidRPr="00C40381">
        <w:rPr>
          <w:szCs w:val="22"/>
          <w:lang w:val="es-ES"/>
        </w:rPr>
        <w:t xml:space="preserve">Madrid </w:t>
      </w:r>
    </w:p>
    <w:p w:rsidR="009F5AC9" w:rsidRPr="00C40381" w:rsidRDefault="00F7538F" w:rsidP="00C86DC7">
      <w:pPr>
        <w:pStyle w:val="ONUME"/>
        <w:numPr>
          <w:ilvl w:val="0"/>
          <w:numId w:val="0"/>
        </w:numPr>
        <w:tabs>
          <w:tab w:val="left" w:pos="2268"/>
        </w:tabs>
        <w:spacing w:after="0"/>
        <w:ind w:left="2268"/>
        <w:rPr>
          <w:szCs w:val="22"/>
          <w:lang w:val="es-ES"/>
        </w:rPr>
      </w:pPr>
      <w:r w:rsidRPr="00C40381">
        <w:rPr>
          <w:szCs w:val="22"/>
          <w:lang w:val="es-ES"/>
        </w:rPr>
        <w:t>Organización Mundial de la Propiedad Intelectual</w:t>
      </w:r>
    </w:p>
    <w:p w:rsidR="009F5AC9" w:rsidRPr="00B42077" w:rsidRDefault="009F5AC9" w:rsidP="00C86DC7">
      <w:pPr>
        <w:pStyle w:val="ONUME"/>
        <w:numPr>
          <w:ilvl w:val="0"/>
          <w:numId w:val="0"/>
        </w:numPr>
        <w:tabs>
          <w:tab w:val="left" w:pos="2268"/>
        </w:tabs>
        <w:spacing w:after="0"/>
        <w:ind w:left="2268"/>
        <w:rPr>
          <w:i/>
          <w:iCs/>
          <w:szCs w:val="22"/>
          <w:lang w:val="fr-CH"/>
        </w:rPr>
      </w:pPr>
      <w:r w:rsidRPr="00B42077">
        <w:rPr>
          <w:i/>
          <w:iCs/>
          <w:szCs w:val="22"/>
          <w:lang w:val="fr-CH"/>
        </w:rPr>
        <w:t xml:space="preserve">34, chemin des </w:t>
      </w:r>
      <w:proofErr w:type="spellStart"/>
      <w:r w:rsidRPr="00B42077">
        <w:rPr>
          <w:i/>
          <w:iCs/>
          <w:szCs w:val="22"/>
          <w:lang w:val="fr-CH"/>
        </w:rPr>
        <w:t>Colombettes</w:t>
      </w:r>
      <w:proofErr w:type="spellEnd"/>
    </w:p>
    <w:p w:rsidR="009F5AC9" w:rsidRPr="00B42077" w:rsidRDefault="009F5AC9" w:rsidP="00C86DC7">
      <w:pPr>
        <w:pStyle w:val="ONUME"/>
        <w:numPr>
          <w:ilvl w:val="0"/>
          <w:numId w:val="0"/>
        </w:numPr>
        <w:tabs>
          <w:tab w:val="left" w:pos="2268"/>
        </w:tabs>
        <w:spacing w:after="0"/>
        <w:ind w:left="2268"/>
        <w:rPr>
          <w:szCs w:val="22"/>
          <w:lang w:val="fr-CH"/>
        </w:rPr>
      </w:pPr>
      <w:r w:rsidRPr="00B42077">
        <w:rPr>
          <w:szCs w:val="22"/>
          <w:lang w:val="fr-CH"/>
        </w:rPr>
        <w:t xml:space="preserve">1211 </w:t>
      </w:r>
      <w:proofErr w:type="spellStart"/>
      <w:r w:rsidR="00620E16" w:rsidRPr="00B42077">
        <w:rPr>
          <w:szCs w:val="22"/>
          <w:lang w:val="fr-CH"/>
        </w:rPr>
        <w:t>Ginebr</w:t>
      </w:r>
      <w:r w:rsidR="00C40381" w:rsidRPr="00B42077">
        <w:rPr>
          <w:szCs w:val="22"/>
          <w:lang w:val="fr-CH"/>
        </w:rPr>
        <w:t>a</w:t>
      </w:r>
      <w:proofErr w:type="spellEnd"/>
      <w:r w:rsidR="00C40381" w:rsidRPr="00B42077">
        <w:rPr>
          <w:szCs w:val="22"/>
          <w:lang w:val="fr-CH"/>
        </w:rPr>
        <w:t> 2</w:t>
      </w:r>
      <w:r w:rsidRPr="00B42077">
        <w:rPr>
          <w:szCs w:val="22"/>
          <w:lang w:val="fr-CH"/>
        </w:rPr>
        <w:t>0</w:t>
      </w:r>
      <w:r w:rsidR="00F7538F" w:rsidRPr="00B42077">
        <w:rPr>
          <w:szCs w:val="22"/>
          <w:lang w:val="fr-CH"/>
        </w:rPr>
        <w:t xml:space="preserve"> (</w:t>
      </w:r>
      <w:proofErr w:type="spellStart"/>
      <w:r w:rsidR="00620E16" w:rsidRPr="00B42077">
        <w:rPr>
          <w:szCs w:val="22"/>
          <w:lang w:val="fr-CH"/>
        </w:rPr>
        <w:t>Suiza</w:t>
      </w:r>
      <w:proofErr w:type="spellEnd"/>
      <w:r w:rsidR="00F7538F" w:rsidRPr="00B42077">
        <w:rPr>
          <w:szCs w:val="22"/>
          <w:lang w:val="fr-CH"/>
        </w:rPr>
        <w:t>)</w:t>
      </w:r>
    </w:p>
    <w:p w:rsidR="009F5AC9" w:rsidRPr="00B42077" w:rsidRDefault="009F5AC9" w:rsidP="00C86DC7">
      <w:pPr>
        <w:pStyle w:val="ONUME"/>
        <w:numPr>
          <w:ilvl w:val="0"/>
          <w:numId w:val="0"/>
        </w:numPr>
        <w:tabs>
          <w:tab w:val="left" w:pos="1701"/>
          <w:tab w:val="left" w:pos="2268"/>
        </w:tabs>
        <w:spacing w:after="0"/>
        <w:ind w:left="1134" w:firstLine="567"/>
        <w:rPr>
          <w:szCs w:val="22"/>
          <w:lang w:val="fr-CH"/>
        </w:rPr>
      </w:pPr>
    </w:p>
    <w:p w:rsidR="0037592F" w:rsidRDefault="00D804EF" w:rsidP="00C86DC7">
      <w:pPr>
        <w:pStyle w:val="ONUME"/>
        <w:spacing w:after="0"/>
        <w:rPr>
          <w:szCs w:val="22"/>
          <w:lang w:val="es-ES"/>
        </w:rPr>
      </w:pPr>
      <w:r w:rsidRPr="00C40381">
        <w:rPr>
          <w:szCs w:val="22"/>
          <w:lang w:val="es-ES"/>
        </w:rPr>
        <w:t>El texto modificado del Reglamento Común y el formulario MM9 se reproducen en los Anexos I y II</w:t>
      </w:r>
      <w:r w:rsidR="0037592F" w:rsidRPr="00C40381">
        <w:rPr>
          <w:szCs w:val="22"/>
          <w:lang w:val="es-ES"/>
        </w:rPr>
        <w:t>.</w:t>
      </w:r>
    </w:p>
    <w:p w:rsidR="00B43A11" w:rsidRDefault="00B43A11" w:rsidP="00B43A11">
      <w:pPr>
        <w:pStyle w:val="ONUME"/>
        <w:numPr>
          <w:ilvl w:val="0"/>
          <w:numId w:val="0"/>
        </w:numPr>
        <w:spacing w:after="0"/>
        <w:rPr>
          <w:szCs w:val="22"/>
          <w:lang w:val="es-ES"/>
        </w:rPr>
      </w:pPr>
    </w:p>
    <w:p w:rsidR="00B43A11" w:rsidRPr="00C40381" w:rsidRDefault="00B43A11" w:rsidP="00B43A11">
      <w:pPr>
        <w:pStyle w:val="ONUME"/>
        <w:numPr>
          <w:ilvl w:val="0"/>
          <w:numId w:val="0"/>
        </w:numPr>
        <w:spacing w:after="0"/>
        <w:rPr>
          <w:szCs w:val="22"/>
          <w:lang w:val="es-ES"/>
        </w:rPr>
      </w:pPr>
    </w:p>
    <w:p w:rsidR="001B758D" w:rsidRDefault="001B758D" w:rsidP="00C86DC7">
      <w:pPr>
        <w:pStyle w:val="Endofdocument-Annex"/>
        <w:rPr>
          <w:szCs w:val="22"/>
          <w:lang w:val="es-ES"/>
        </w:rPr>
        <w:sectPr w:rsidR="001B758D" w:rsidSect="00B42077">
          <w:headerReference w:type="default" r:id="rId11"/>
          <w:endnotePr>
            <w:numFmt w:val="decimal"/>
          </w:endnotePr>
          <w:pgSz w:w="11907" w:h="16840" w:code="9"/>
          <w:pgMar w:top="567" w:right="1134" w:bottom="851" w:left="1418" w:header="510" w:footer="1021" w:gutter="0"/>
          <w:cols w:space="720"/>
          <w:titlePg/>
        </w:sectPr>
      </w:pPr>
      <w:r>
        <w:rPr>
          <w:szCs w:val="22"/>
          <w:lang w:val="es-ES"/>
        </w:rPr>
        <w:t>29</w:t>
      </w:r>
      <w:r w:rsidR="00620E16" w:rsidRPr="00C40381">
        <w:rPr>
          <w:szCs w:val="22"/>
          <w:lang w:val="es-ES"/>
        </w:rPr>
        <w:t xml:space="preserve"> de marzo d</w:t>
      </w:r>
      <w:r w:rsidR="00C40381" w:rsidRPr="00C40381">
        <w:rPr>
          <w:szCs w:val="22"/>
          <w:lang w:val="es-ES"/>
        </w:rPr>
        <w:t>e 2</w:t>
      </w:r>
      <w:r w:rsidR="004936FC" w:rsidRPr="00C40381">
        <w:rPr>
          <w:szCs w:val="22"/>
          <w:lang w:val="es-ES"/>
        </w:rPr>
        <w:t>01</w:t>
      </w:r>
      <w:r w:rsidR="00144449" w:rsidRPr="00C40381">
        <w:rPr>
          <w:szCs w:val="22"/>
          <w:lang w:val="es-ES"/>
        </w:rPr>
        <w:t>6</w:t>
      </w:r>
    </w:p>
    <w:p w:rsidR="001B758D" w:rsidRPr="001B758D" w:rsidRDefault="001B758D" w:rsidP="001B758D">
      <w:pPr>
        <w:tabs>
          <w:tab w:val="left" w:pos="567"/>
          <w:tab w:val="left" w:pos="1134"/>
          <w:tab w:val="left" w:pos="1701"/>
          <w:tab w:val="left" w:pos="2268"/>
          <w:tab w:val="left" w:pos="2835"/>
          <w:tab w:val="left" w:pos="3402"/>
        </w:tabs>
        <w:jc w:val="center"/>
        <w:rPr>
          <w:szCs w:val="22"/>
          <w:lang w:val="es-ES"/>
        </w:rPr>
      </w:pPr>
      <w:r w:rsidRPr="001B758D">
        <w:rPr>
          <w:b/>
          <w:szCs w:val="22"/>
          <w:lang w:val="es-ES"/>
        </w:rPr>
        <w:t>Reglamento Común del</w:t>
      </w:r>
      <w:r>
        <w:rPr>
          <w:b/>
          <w:szCs w:val="22"/>
          <w:lang w:val="es-ES"/>
        </w:rPr>
        <w:t xml:space="preserve"> </w:t>
      </w:r>
      <w:r>
        <w:rPr>
          <w:b/>
          <w:szCs w:val="22"/>
          <w:lang w:val="es-ES"/>
        </w:rPr>
        <w:br/>
      </w:r>
      <w:r w:rsidRPr="001B758D">
        <w:rPr>
          <w:b/>
          <w:szCs w:val="22"/>
          <w:lang w:val="es-ES"/>
        </w:rPr>
        <w:t>Arreglo de Madrid relativo al</w:t>
      </w:r>
      <w:r>
        <w:rPr>
          <w:b/>
          <w:szCs w:val="22"/>
          <w:lang w:val="es-ES"/>
        </w:rPr>
        <w:t xml:space="preserve"> </w:t>
      </w:r>
      <w:r>
        <w:rPr>
          <w:b/>
          <w:szCs w:val="22"/>
          <w:lang w:val="es-ES"/>
        </w:rPr>
        <w:br/>
      </w:r>
      <w:r w:rsidRPr="001B758D">
        <w:rPr>
          <w:b/>
          <w:szCs w:val="22"/>
          <w:lang w:val="es-ES"/>
        </w:rPr>
        <w:t>Registro Internacional de Marcas</w:t>
      </w:r>
      <w:r>
        <w:rPr>
          <w:b/>
          <w:szCs w:val="22"/>
          <w:lang w:val="es-ES"/>
        </w:rPr>
        <w:t xml:space="preserve"> </w:t>
      </w:r>
      <w:r>
        <w:rPr>
          <w:b/>
          <w:szCs w:val="22"/>
          <w:lang w:val="es-ES"/>
        </w:rPr>
        <w:br/>
      </w:r>
      <w:r w:rsidRPr="001B758D">
        <w:rPr>
          <w:b/>
          <w:szCs w:val="22"/>
          <w:lang w:val="es-ES"/>
        </w:rPr>
        <w:t>y del Protocolo concerniente a ese Arreglo</w:t>
      </w:r>
    </w:p>
    <w:p w:rsidR="001B758D" w:rsidRPr="001B758D" w:rsidRDefault="001B758D" w:rsidP="001B758D">
      <w:pPr>
        <w:tabs>
          <w:tab w:val="left" w:pos="567"/>
          <w:tab w:val="left" w:pos="1134"/>
          <w:tab w:val="left" w:pos="1701"/>
          <w:tab w:val="left" w:pos="2268"/>
          <w:tab w:val="left" w:pos="2835"/>
          <w:tab w:val="left" w:pos="3402"/>
        </w:tabs>
        <w:jc w:val="center"/>
        <w:rPr>
          <w:szCs w:val="22"/>
          <w:lang w:val="es-ES"/>
        </w:rPr>
      </w:pPr>
    </w:p>
    <w:p w:rsidR="001B758D" w:rsidRPr="001B758D" w:rsidRDefault="001B758D" w:rsidP="001B758D">
      <w:pPr>
        <w:tabs>
          <w:tab w:val="left" w:pos="567"/>
          <w:tab w:val="left" w:pos="1134"/>
          <w:tab w:val="left" w:pos="1701"/>
          <w:tab w:val="left" w:pos="2268"/>
          <w:tab w:val="left" w:pos="2835"/>
          <w:tab w:val="left" w:pos="3402"/>
        </w:tabs>
        <w:jc w:val="center"/>
        <w:rPr>
          <w:szCs w:val="22"/>
          <w:lang w:val="es-ES"/>
        </w:rPr>
      </w:pPr>
      <w:r w:rsidRPr="001B758D">
        <w:rPr>
          <w:szCs w:val="22"/>
          <w:lang w:val="es-ES"/>
        </w:rPr>
        <w:t>(</w:t>
      </w:r>
      <w:proofErr w:type="gramStart"/>
      <w:r w:rsidRPr="001B758D">
        <w:rPr>
          <w:szCs w:val="22"/>
          <w:lang w:val="es-ES"/>
        </w:rPr>
        <w:t>texto</w:t>
      </w:r>
      <w:proofErr w:type="gramEnd"/>
      <w:r w:rsidRPr="001B758D">
        <w:rPr>
          <w:szCs w:val="22"/>
          <w:lang w:val="es-ES"/>
        </w:rPr>
        <w:t xml:space="preserve"> en vigor el 1 de abril de 2016)</w:t>
      </w:r>
    </w:p>
    <w:p w:rsidR="001B758D" w:rsidRPr="001B758D" w:rsidRDefault="001B758D" w:rsidP="001B758D">
      <w:pPr>
        <w:tabs>
          <w:tab w:val="left" w:pos="567"/>
          <w:tab w:val="left" w:pos="1134"/>
          <w:tab w:val="left" w:pos="1701"/>
          <w:tab w:val="left" w:pos="2268"/>
          <w:tab w:val="left" w:pos="2835"/>
          <w:tab w:val="left" w:pos="3402"/>
        </w:tabs>
        <w:jc w:val="center"/>
        <w:rPr>
          <w:szCs w:val="22"/>
          <w:lang w:val="es-ES"/>
        </w:rPr>
      </w:pPr>
    </w:p>
    <w:p w:rsidR="001B758D" w:rsidRPr="001B758D" w:rsidRDefault="001B758D" w:rsidP="001B758D">
      <w:pPr>
        <w:tabs>
          <w:tab w:val="left" w:pos="567"/>
          <w:tab w:val="left" w:pos="1134"/>
          <w:tab w:val="left" w:pos="1701"/>
          <w:tab w:val="left" w:pos="2268"/>
          <w:tab w:val="left" w:pos="2835"/>
          <w:tab w:val="left" w:pos="3402"/>
        </w:tabs>
        <w:rPr>
          <w:szCs w:val="22"/>
          <w:lang w:val="es-ES"/>
        </w:rPr>
      </w:pPr>
      <w:r w:rsidRPr="001B758D">
        <w:rPr>
          <w:szCs w:val="22"/>
          <w:lang w:val="es-ES"/>
        </w:rPr>
        <w:tab/>
        <w:t>[…]  </w:t>
      </w:r>
    </w:p>
    <w:p w:rsidR="001B758D" w:rsidRPr="001B758D" w:rsidRDefault="001B758D" w:rsidP="001B758D">
      <w:pPr>
        <w:tabs>
          <w:tab w:val="left" w:pos="567"/>
          <w:tab w:val="left" w:pos="1134"/>
          <w:tab w:val="left" w:pos="1701"/>
          <w:tab w:val="left" w:pos="2268"/>
          <w:tab w:val="left" w:pos="2835"/>
          <w:tab w:val="left" w:pos="3402"/>
        </w:tabs>
        <w:jc w:val="center"/>
        <w:rPr>
          <w:szCs w:val="22"/>
          <w:lang w:val="es-ES"/>
        </w:rPr>
      </w:pPr>
    </w:p>
    <w:p w:rsidR="001B758D" w:rsidRPr="001B758D" w:rsidRDefault="001B758D" w:rsidP="001B758D">
      <w:pPr>
        <w:tabs>
          <w:tab w:val="left" w:pos="567"/>
          <w:tab w:val="left" w:pos="1134"/>
          <w:tab w:val="left" w:pos="1701"/>
          <w:tab w:val="left" w:pos="2268"/>
          <w:tab w:val="left" w:pos="2835"/>
          <w:tab w:val="left" w:pos="3402"/>
        </w:tabs>
        <w:jc w:val="center"/>
        <w:rPr>
          <w:b/>
          <w:szCs w:val="22"/>
          <w:lang w:val="es-ES"/>
        </w:rPr>
      </w:pPr>
      <w:r w:rsidRPr="001B758D">
        <w:rPr>
          <w:b/>
          <w:szCs w:val="22"/>
          <w:lang w:val="es-ES"/>
        </w:rPr>
        <w:t>Capítulo 1</w:t>
      </w:r>
    </w:p>
    <w:p w:rsidR="001B758D" w:rsidRPr="001B758D" w:rsidRDefault="001B758D" w:rsidP="001B758D">
      <w:pPr>
        <w:tabs>
          <w:tab w:val="left" w:pos="567"/>
          <w:tab w:val="left" w:pos="1134"/>
          <w:tab w:val="left" w:pos="1701"/>
          <w:tab w:val="left" w:pos="2268"/>
          <w:tab w:val="left" w:pos="2835"/>
          <w:tab w:val="left" w:pos="3402"/>
        </w:tabs>
        <w:jc w:val="center"/>
        <w:rPr>
          <w:b/>
          <w:szCs w:val="22"/>
          <w:lang w:val="es-ES"/>
        </w:rPr>
      </w:pPr>
      <w:r w:rsidRPr="001B758D">
        <w:rPr>
          <w:b/>
          <w:szCs w:val="22"/>
          <w:lang w:val="es-ES"/>
        </w:rPr>
        <w:t>Disposiciones generales</w:t>
      </w:r>
    </w:p>
    <w:p w:rsidR="001B758D" w:rsidRPr="001B758D" w:rsidRDefault="001B758D" w:rsidP="001B758D">
      <w:pPr>
        <w:tabs>
          <w:tab w:val="left" w:pos="567"/>
          <w:tab w:val="left" w:pos="1134"/>
          <w:tab w:val="left" w:pos="1701"/>
          <w:tab w:val="left" w:pos="2268"/>
          <w:tab w:val="left" w:pos="2835"/>
          <w:tab w:val="left" w:pos="3402"/>
        </w:tabs>
        <w:jc w:val="center"/>
        <w:rPr>
          <w:szCs w:val="22"/>
          <w:lang w:val="es-ES"/>
        </w:rPr>
      </w:pPr>
    </w:p>
    <w:p w:rsidR="001B758D" w:rsidRPr="001B758D" w:rsidRDefault="001B758D" w:rsidP="001B758D">
      <w:pPr>
        <w:tabs>
          <w:tab w:val="left" w:pos="567"/>
          <w:tab w:val="left" w:pos="1134"/>
          <w:tab w:val="left" w:pos="1701"/>
          <w:tab w:val="left" w:pos="2268"/>
          <w:tab w:val="left" w:pos="2835"/>
          <w:tab w:val="left" w:pos="3402"/>
        </w:tabs>
        <w:rPr>
          <w:szCs w:val="22"/>
          <w:lang w:val="es-ES"/>
        </w:rPr>
      </w:pPr>
      <w:r w:rsidRPr="001B758D">
        <w:rPr>
          <w:szCs w:val="22"/>
          <w:lang w:val="es-ES"/>
        </w:rPr>
        <w:tab/>
        <w:t>[…]  </w:t>
      </w:r>
    </w:p>
    <w:p w:rsidR="001B758D" w:rsidRPr="001B758D" w:rsidRDefault="001B758D" w:rsidP="001B758D">
      <w:pPr>
        <w:tabs>
          <w:tab w:val="left" w:pos="567"/>
          <w:tab w:val="left" w:pos="1134"/>
          <w:tab w:val="left" w:pos="1701"/>
          <w:tab w:val="left" w:pos="2268"/>
          <w:tab w:val="left" w:pos="2835"/>
          <w:tab w:val="left" w:pos="3402"/>
        </w:tabs>
        <w:rPr>
          <w:szCs w:val="22"/>
          <w:lang w:val="es-ES"/>
        </w:rPr>
      </w:pPr>
    </w:p>
    <w:p w:rsidR="001B758D" w:rsidRPr="001B758D" w:rsidRDefault="001B758D" w:rsidP="001B758D">
      <w:pPr>
        <w:tabs>
          <w:tab w:val="left" w:pos="567"/>
          <w:tab w:val="left" w:pos="1134"/>
          <w:tab w:val="left" w:pos="1701"/>
          <w:tab w:val="left" w:pos="2268"/>
          <w:tab w:val="left" w:pos="2835"/>
          <w:tab w:val="left" w:pos="3402"/>
        </w:tabs>
        <w:jc w:val="center"/>
        <w:rPr>
          <w:i/>
          <w:szCs w:val="22"/>
          <w:lang w:val="es-ES"/>
        </w:rPr>
      </w:pPr>
      <w:r w:rsidRPr="001B758D">
        <w:rPr>
          <w:i/>
          <w:szCs w:val="22"/>
          <w:lang w:val="es-ES"/>
        </w:rPr>
        <w:t>Regla 5</w:t>
      </w:r>
    </w:p>
    <w:p w:rsidR="001B758D" w:rsidRPr="001B758D" w:rsidRDefault="001B758D" w:rsidP="001B758D">
      <w:pPr>
        <w:tabs>
          <w:tab w:val="left" w:pos="567"/>
          <w:tab w:val="left" w:pos="1134"/>
          <w:tab w:val="left" w:pos="1701"/>
          <w:tab w:val="left" w:pos="2268"/>
          <w:tab w:val="left" w:pos="2835"/>
          <w:tab w:val="left" w:pos="3402"/>
        </w:tabs>
        <w:jc w:val="center"/>
        <w:rPr>
          <w:i/>
          <w:szCs w:val="22"/>
          <w:lang w:val="es-ES"/>
        </w:rPr>
      </w:pPr>
      <w:r w:rsidRPr="001B758D">
        <w:rPr>
          <w:i/>
          <w:szCs w:val="22"/>
          <w:lang w:val="es-ES"/>
        </w:rPr>
        <w:t>Irregularidades en los servicios postales y de distribución</w:t>
      </w:r>
    </w:p>
    <w:p w:rsidR="001B758D" w:rsidRPr="001B758D" w:rsidRDefault="001B758D" w:rsidP="001B758D">
      <w:pPr>
        <w:tabs>
          <w:tab w:val="left" w:pos="567"/>
          <w:tab w:val="left" w:pos="1134"/>
          <w:tab w:val="left" w:pos="1701"/>
          <w:tab w:val="left" w:pos="2268"/>
          <w:tab w:val="left" w:pos="2835"/>
          <w:tab w:val="left" w:pos="3402"/>
        </w:tabs>
        <w:jc w:val="center"/>
        <w:rPr>
          <w:i/>
          <w:szCs w:val="22"/>
          <w:lang w:val="es-ES"/>
        </w:rPr>
      </w:pPr>
      <w:proofErr w:type="gramStart"/>
      <w:r w:rsidRPr="001B758D">
        <w:rPr>
          <w:i/>
          <w:szCs w:val="22"/>
          <w:lang w:val="es-ES"/>
        </w:rPr>
        <w:t>y</w:t>
      </w:r>
      <w:proofErr w:type="gramEnd"/>
      <w:r w:rsidRPr="001B758D">
        <w:rPr>
          <w:i/>
          <w:szCs w:val="22"/>
          <w:lang w:val="es-ES"/>
        </w:rPr>
        <w:t xml:space="preserve"> en las comunicaciones enviadas por vía electrónica</w:t>
      </w:r>
    </w:p>
    <w:p w:rsidR="001B758D" w:rsidRPr="001B758D" w:rsidRDefault="001B758D" w:rsidP="001B758D">
      <w:pPr>
        <w:tabs>
          <w:tab w:val="left" w:pos="567"/>
          <w:tab w:val="left" w:pos="1134"/>
          <w:tab w:val="left" w:pos="1701"/>
          <w:tab w:val="left" w:pos="2268"/>
          <w:tab w:val="left" w:pos="2835"/>
          <w:tab w:val="left" w:pos="3402"/>
        </w:tabs>
        <w:jc w:val="center"/>
        <w:rPr>
          <w:szCs w:val="22"/>
          <w:lang w:val="es-ES"/>
        </w:rPr>
      </w:pPr>
    </w:p>
    <w:p w:rsidR="001B758D" w:rsidRPr="001B758D" w:rsidRDefault="001B758D" w:rsidP="001B758D">
      <w:pPr>
        <w:tabs>
          <w:tab w:val="left" w:pos="567"/>
          <w:tab w:val="left" w:pos="1134"/>
          <w:tab w:val="left" w:pos="1701"/>
          <w:tab w:val="left" w:pos="2268"/>
          <w:tab w:val="left" w:pos="2835"/>
          <w:tab w:val="left" w:pos="3402"/>
        </w:tabs>
        <w:jc w:val="both"/>
        <w:rPr>
          <w:szCs w:val="22"/>
          <w:lang w:val="es-ES"/>
        </w:rPr>
      </w:pPr>
      <w:r w:rsidRPr="001B758D">
        <w:rPr>
          <w:szCs w:val="22"/>
          <w:lang w:val="es-ES"/>
        </w:rPr>
        <w:tab/>
        <w:t>[…]  </w:t>
      </w:r>
    </w:p>
    <w:p w:rsidR="001B758D" w:rsidRPr="00F6294E" w:rsidRDefault="001B758D" w:rsidP="001B758D">
      <w:pPr>
        <w:pStyle w:val="Endofdocument-Annex"/>
        <w:ind w:left="0"/>
        <w:rPr>
          <w:szCs w:val="22"/>
          <w:lang w:val="es-ES"/>
        </w:rPr>
      </w:pPr>
    </w:p>
    <w:p w:rsidR="001B758D" w:rsidRPr="001B758D" w:rsidRDefault="001B758D" w:rsidP="001B758D">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 w:eastAsia="en-US"/>
        </w:rPr>
      </w:pPr>
      <w:r w:rsidRPr="001B758D">
        <w:rPr>
          <w:rFonts w:eastAsiaTheme="minorHAnsi"/>
          <w:szCs w:val="22"/>
          <w:lang w:val="es-ES" w:eastAsia="en-US"/>
        </w:rPr>
        <w:t>3)</w:t>
      </w:r>
      <w:r w:rsidRPr="001B758D">
        <w:rPr>
          <w:rFonts w:eastAsiaTheme="minorHAnsi"/>
          <w:szCs w:val="22"/>
          <w:lang w:val="es-ES" w:eastAsia="en-US"/>
        </w:rPr>
        <w:tab/>
        <w:t>[</w:t>
      </w:r>
      <w:r w:rsidRPr="001B758D">
        <w:rPr>
          <w:rFonts w:eastAsiaTheme="minorHAnsi"/>
          <w:i/>
          <w:szCs w:val="22"/>
          <w:lang w:val="es-ES" w:eastAsia="en-US"/>
        </w:rPr>
        <w:t>Comunicaciones enviadas por vía electrónica</w:t>
      </w:r>
      <w:r w:rsidRPr="001B758D">
        <w:rPr>
          <w:rFonts w:eastAsiaTheme="minorHAnsi"/>
          <w:szCs w:val="22"/>
          <w:lang w:val="es-ES" w:eastAsia="en-US"/>
        </w:rPr>
        <w:t xml:space="preserve">]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  </w:t>
      </w:r>
    </w:p>
    <w:p w:rsidR="001B758D" w:rsidRPr="001B758D" w:rsidRDefault="001B758D" w:rsidP="001B758D">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 w:eastAsia="en-US"/>
        </w:rPr>
      </w:pPr>
    </w:p>
    <w:p w:rsidR="001B758D" w:rsidRPr="001B758D" w:rsidRDefault="001B758D" w:rsidP="001B758D">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 w:eastAsia="en-US"/>
        </w:rPr>
      </w:pPr>
      <w:r w:rsidRPr="001B758D">
        <w:rPr>
          <w:rFonts w:eastAsiaTheme="minorHAnsi"/>
          <w:szCs w:val="22"/>
          <w:lang w:val="es-ES" w:eastAsia="en-US"/>
        </w:rPr>
        <w:t>4)</w:t>
      </w:r>
      <w:r w:rsidRPr="001B758D">
        <w:rPr>
          <w:rFonts w:eastAsiaTheme="minorHAnsi"/>
          <w:szCs w:val="22"/>
          <w:lang w:val="es-ES" w:eastAsia="en-US"/>
        </w:rPr>
        <w:tab/>
        <w:t>[</w:t>
      </w:r>
      <w:r w:rsidRPr="001B758D">
        <w:rPr>
          <w:rFonts w:eastAsiaTheme="minorHAnsi"/>
          <w:i/>
          <w:szCs w:val="22"/>
          <w:lang w:val="es-ES" w:eastAsia="en-US"/>
        </w:rPr>
        <w:t>Limitación de la justificación</w:t>
      </w:r>
      <w:r w:rsidRPr="001B758D">
        <w:rPr>
          <w:rFonts w:eastAsiaTheme="minorHAnsi"/>
          <w:szCs w:val="22"/>
          <w:lang w:val="es-ES" w:eastAsia="en-US"/>
        </w:rPr>
        <w:t>]  El incumplimiento de un plazo se excusará en virtud de esta Regla sólo en caso de que la Oficina Internacional reciba las pruebas mencionadas en los párrafos 1), 2) o 3) y la comunicación o, en su caso, un duplicado de la misma seis meses después del vencimiento del plazo, a más tardar.</w:t>
      </w:r>
    </w:p>
    <w:p w:rsidR="001B758D" w:rsidRPr="001B758D" w:rsidRDefault="001B758D" w:rsidP="001B758D">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 w:eastAsia="en-US"/>
        </w:rPr>
      </w:pPr>
    </w:p>
    <w:p w:rsidR="001B758D" w:rsidRPr="001B758D" w:rsidRDefault="001B758D" w:rsidP="001B758D">
      <w:pPr>
        <w:ind w:firstLine="567"/>
        <w:rPr>
          <w:rFonts w:eastAsiaTheme="minorHAnsi"/>
          <w:szCs w:val="22"/>
          <w:lang w:val="es-ES" w:eastAsia="en-US"/>
        </w:rPr>
      </w:pPr>
      <w:r w:rsidRPr="001B758D">
        <w:rPr>
          <w:rFonts w:eastAsiaTheme="minorHAnsi"/>
          <w:szCs w:val="22"/>
          <w:lang w:val="es-ES" w:eastAsia="en-US"/>
        </w:rPr>
        <w:t>5)</w:t>
      </w:r>
      <w:r w:rsidRPr="001B758D">
        <w:rPr>
          <w:rFonts w:eastAsiaTheme="minorHAnsi"/>
          <w:szCs w:val="22"/>
          <w:lang w:val="es-ES" w:eastAsia="en-US"/>
        </w:rPr>
        <w:tab/>
        <w:t>[</w:t>
      </w:r>
      <w:r w:rsidRPr="001B758D">
        <w:rPr>
          <w:rFonts w:eastAsiaTheme="minorHAnsi"/>
          <w:i/>
          <w:szCs w:val="22"/>
          <w:lang w:val="es-ES" w:eastAsia="en-US"/>
        </w:rPr>
        <w:t>Solicitud internacional y designación posterior</w:t>
      </w:r>
      <w:r w:rsidRPr="001B758D">
        <w:rPr>
          <w:rFonts w:eastAsiaTheme="minorHAnsi"/>
          <w:szCs w:val="22"/>
          <w:lang w:val="es-ES" w:eastAsia="en-US"/>
        </w:rPr>
        <w:t>]  Cuando la Oficina Internacional reciba una solicitud internacional o una designación posterior una vez transcurrido el plazo de dos meses mencionado en el Artículo 3.4) del Arreglo, en el Artículo 3.4) del Protocolo y en la Regla 24.6)b), y la Oficina interesada indique que el retraso en la recepción se ha debido a las circunstancias mencionadas en los párrafos 1), 2) o 3), serán de aplicación los párrafos 1), 2) o 3) y el párrafo 4).</w:t>
      </w:r>
    </w:p>
    <w:p w:rsidR="001B758D" w:rsidRPr="001B758D" w:rsidRDefault="001B758D" w:rsidP="001B758D">
      <w:pPr>
        <w:ind w:firstLine="567"/>
        <w:rPr>
          <w:rFonts w:eastAsiaTheme="minorHAnsi"/>
          <w:szCs w:val="22"/>
          <w:lang w:val="es-ES" w:eastAsia="en-US"/>
        </w:rPr>
      </w:pPr>
    </w:p>
    <w:p w:rsidR="001B758D" w:rsidRPr="001B758D" w:rsidRDefault="001B758D" w:rsidP="001B758D">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 w:eastAsia="en-US"/>
        </w:rPr>
      </w:pPr>
    </w:p>
    <w:p w:rsidR="001B758D" w:rsidRDefault="001B758D" w:rsidP="00C86DC7">
      <w:pPr>
        <w:pStyle w:val="Endofdocument-Annex"/>
        <w:rPr>
          <w:szCs w:val="22"/>
          <w:lang w:val="es-ES"/>
        </w:rPr>
        <w:sectPr w:rsidR="001B758D" w:rsidSect="00B42077">
          <w:headerReference w:type="first" r:id="rId12"/>
          <w:endnotePr>
            <w:numFmt w:val="decimal"/>
          </w:endnotePr>
          <w:pgSz w:w="11907" w:h="16840" w:code="9"/>
          <w:pgMar w:top="567" w:right="1134" w:bottom="851" w:left="1418" w:header="510" w:footer="1021" w:gutter="0"/>
          <w:cols w:space="720"/>
          <w:titlePg/>
        </w:sectPr>
      </w:pPr>
    </w:p>
    <w:p w:rsidR="001B758D" w:rsidRPr="001B758D" w:rsidRDefault="001B758D" w:rsidP="001B758D">
      <w:pPr>
        <w:tabs>
          <w:tab w:val="left" w:pos="0"/>
          <w:tab w:val="left" w:pos="567"/>
          <w:tab w:val="left" w:pos="1134"/>
          <w:tab w:val="left" w:pos="1701"/>
          <w:tab w:val="left" w:pos="2268"/>
          <w:tab w:val="left" w:pos="2835"/>
          <w:tab w:val="left" w:pos="3402"/>
        </w:tabs>
        <w:jc w:val="center"/>
        <w:rPr>
          <w:b/>
          <w:szCs w:val="22"/>
          <w:lang w:val="es-ES"/>
        </w:rPr>
      </w:pPr>
      <w:r w:rsidRPr="001B758D">
        <w:rPr>
          <w:b/>
          <w:szCs w:val="22"/>
          <w:lang w:val="es-ES"/>
        </w:rPr>
        <w:t>Capítulo 8</w:t>
      </w:r>
    </w:p>
    <w:p w:rsidR="001B758D" w:rsidRPr="001B758D" w:rsidRDefault="001B758D" w:rsidP="001B758D">
      <w:pPr>
        <w:tabs>
          <w:tab w:val="left" w:pos="0"/>
          <w:tab w:val="left" w:pos="567"/>
          <w:tab w:val="left" w:pos="1134"/>
          <w:tab w:val="left" w:pos="1701"/>
          <w:tab w:val="left" w:pos="2268"/>
          <w:tab w:val="left" w:pos="2835"/>
          <w:tab w:val="left" w:pos="3402"/>
        </w:tabs>
        <w:jc w:val="center"/>
        <w:rPr>
          <w:b/>
          <w:szCs w:val="22"/>
          <w:lang w:val="es-ES"/>
        </w:rPr>
      </w:pPr>
      <w:r w:rsidRPr="001B758D">
        <w:rPr>
          <w:b/>
          <w:szCs w:val="22"/>
          <w:lang w:val="es-ES"/>
        </w:rPr>
        <w:t>Tasas</w:t>
      </w:r>
    </w:p>
    <w:p w:rsidR="001B758D" w:rsidRPr="001B758D" w:rsidRDefault="001B758D" w:rsidP="001B758D">
      <w:pPr>
        <w:tabs>
          <w:tab w:val="left" w:pos="0"/>
          <w:tab w:val="left" w:pos="567"/>
          <w:tab w:val="left" w:pos="1134"/>
          <w:tab w:val="left" w:pos="1701"/>
          <w:tab w:val="left" w:pos="2268"/>
          <w:tab w:val="left" w:pos="2835"/>
          <w:tab w:val="left" w:pos="3402"/>
        </w:tabs>
        <w:jc w:val="center"/>
        <w:rPr>
          <w:szCs w:val="22"/>
          <w:lang w:val="es-ES"/>
        </w:rPr>
      </w:pPr>
    </w:p>
    <w:p w:rsidR="001B758D" w:rsidRPr="001B758D" w:rsidRDefault="001B758D" w:rsidP="001B758D">
      <w:pPr>
        <w:tabs>
          <w:tab w:val="left" w:pos="0"/>
          <w:tab w:val="left" w:pos="567"/>
          <w:tab w:val="left" w:pos="1134"/>
          <w:tab w:val="left" w:pos="1701"/>
          <w:tab w:val="left" w:pos="2268"/>
          <w:tab w:val="left" w:pos="2835"/>
          <w:tab w:val="left" w:pos="3402"/>
        </w:tabs>
        <w:rPr>
          <w:szCs w:val="22"/>
          <w:lang w:val="es-ES"/>
        </w:rPr>
      </w:pPr>
      <w:r>
        <w:rPr>
          <w:szCs w:val="22"/>
          <w:lang w:val="es-ES"/>
        </w:rPr>
        <w:tab/>
      </w:r>
      <w:r w:rsidRPr="001B758D">
        <w:rPr>
          <w:szCs w:val="22"/>
          <w:lang w:val="es-ES"/>
        </w:rPr>
        <w:t>[…]</w:t>
      </w:r>
    </w:p>
    <w:p w:rsidR="001B758D" w:rsidRPr="001B758D" w:rsidRDefault="001B758D" w:rsidP="001B758D">
      <w:pPr>
        <w:tabs>
          <w:tab w:val="left" w:pos="0"/>
          <w:tab w:val="left" w:pos="567"/>
          <w:tab w:val="left" w:pos="1134"/>
          <w:tab w:val="left" w:pos="1701"/>
          <w:tab w:val="left" w:pos="2268"/>
          <w:tab w:val="left" w:pos="2835"/>
          <w:tab w:val="left" w:pos="3402"/>
        </w:tabs>
        <w:rPr>
          <w:szCs w:val="22"/>
          <w:lang w:val="es-ES"/>
        </w:rPr>
      </w:pPr>
    </w:p>
    <w:p w:rsidR="001B758D" w:rsidRPr="001B758D" w:rsidRDefault="001B758D" w:rsidP="001B758D">
      <w:pPr>
        <w:tabs>
          <w:tab w:val="left" w:pos="0"/>
          <w:tab w:val="left" w:pos="567"/>
          <w:tab w:val="left" w:pos="1134"/>
          <w:tab w:val="left" w:pos="1701"/>
          <w:tab w:val="left" w:pos="2268"/>
          <w:tab w:val="left" w:pos="2835"/>
          <w:tab w:val="left" w:pos="3402"/>
        </w:tabs>
        <w:jc w:val="center"/>
        <w:rPr>
          <w:i/>
          <w:szCs w:val="22"/>
          <w:lang w:val="es-ES"/>
        </w:rPr>
      </w:pPr>
      <w:r w:rsidRPr="001B758D">
        <w:rPr>
          <w:i/>
          <w:szCs w:val="22"/>
          <w:lang w:val="es-ES"/>
        </w:rPr>
        <w:t>Regla 36</w:t>
      </w:r>
    </w:p>
    <w:p w:rsidR="001B758D" w:rsidRPr="001B758D" w:rsidRDefault="001B758D" w:rsidP="001B758D">
      <w:pPr>
        <w:tabs>
          <w:tab w:val="left" w:pos="0"/>
          <w:tab w:val="left" w:pos="567"/>
          <w:tab w:val="left" w:pos="1134"/>
          <w:tab w:val="left" w:pos="1701"/>
          <w:tab w:val="left" w:pos="2268"/>
          <w:tab w:val="left" w:pos="2835"/>
          <w:tab w:val="left" w:pos="3402"/>
        </w:tabs>
        <w:jc w:val="center"/>
        <w:rPr>
          <w:i/>
          <w:szCs w:val="22"/>
          <w:lang w:val="es-ES"/>
        </w:rPr>
      </w:pPr>
      <w:r w:rsidRPr="001B758D">
        <w:rPr>
          <w:i/>
          <w:szCs w:val="22"/>
          <w:lang w:val="es-ES"/>
        </w:rPr>
        <w:t>Exención de tasas</w:t>
      </w:r>
    </w:p>
    <w:p w:rsidR="001B758D" w:rsidRPr="001B758D" w:rsidRDefault="001B758D" w:rsidP="001B758D">
      <w:pPr>
        <w:tabs>
          <w:tab w:val="left" w:pos="0"/>
          <w:tab w:val="left" w:pos="567"/>
          <w:tab w:val="left" w:pos="1134"/>
          <w:tab w:val="left" w:pos="1701"/>
          <w:tab w:val="left" w:pos="2268"/>
          <w:tab w:val="left" w:pos="2835"/>
          <w:tab w:val="left" w:pos="3402"/>
        </w:tabs>
        <w:jc w:val="center"/>
        <w:rPr>
          <w:szCs w:val="22"/>
          <w:lang w:val="es-ES"/>
        </w:rPr>
      </w:pPr>
    </w:p>
    <w:p w:rsidR="001B758D" w:rsidRPr="001B758D" w:rsidRDefault="001B758D" w:rsidP="001B758D">
      <w:pPr>
        <w:tabs>
          <w:tab w:val="left" w:pos="0"/>
          <w:tab w:val="left" w:pos="567"/>
          <w:tab w:val="left" w:pos="1134"/>
          <w:tab w:val="left" w:pos="1701"/>
          <w:tab w:val="left" w:pos="2268"/>
          <w:tab w:val="left" w:pos="2835"/>
          <w:tab w:val="left" w:pos="3402"/>
        </w:tabs>
        <w:jc w:val="both"/>
        <w:rPr>
          <w:szCs w:val="22"/>
          <w:lang w:val="es-ES"/>
        </w:rPr>
      </w:pPr>
      <w:r w:rsidRPr="001B758D">
        <w:rPr>
          <w:szCs w:val="22"/>
          <w:lang w:val="es-ES"/>
        </w:rPr>
        <w:tab/>
        <w:t>La inscripción de los datos siguientes estará exenta de tasas:</w:t>
      </w:r>
    </w:p>
    <w:p w:rsidR="001B758D" w:rsidRPr="001B758D" w:rsidRDefault="001B758D" w:rsidP="001B758D">
      <w:pPr>
        <w:tabs>
          <w:tab w:val="left" w:pos="-1701"/>
          <w:tab w:val="left" w:pos="0"/>
          <w:tab w:val="left" w:pos="567"/>
          <w:tab w:val="left" w:pos="1134"/>
          <w:tab w:val="left" w:pos="1701"/>
          <w:tab w:val="left" w:pos="2268"/>
          <w:tab w:val="left" w:pos="3402"/>
        </w:tabs>
        <w:jc w:val="both"/>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t>i)</w:t>
      </w:r>
      <w:r w:rsidRPr="001B758D">
        <w:rPr>
          <w:rFonts w:eastAsia="Times New Roman"/>
          <w:szCs w:val="22"/>
          <w:lang w:val="es-ES" w:eastAsia="en-US"/>
        </w:rPr>
        <w:tab/>
        <w:t>el nombramiento de mandatario, toda modificación relativa al mandatario y la cancelación de la inscripción de un mandatario,</w:t>
      </w:r>
    </w:p>
    <w:p w:rsidR="001B758D" w:rsidRPr="001B758D" w:rsidRDefault="001B758D" w:rsidP="001B758D">
      <w:pPr>
        <w:tabs>
          <w:tab w:val="left" w:pos="-1701"/>
          <w:tab w:val="left" w:pos="0"/>
          <w:tab w:val="left" w:pos="567"/>
          <w:tab w:val="left" w:pos="1134"/>
          <w:tab w:val="left" w:pos="1701"/>
          <w:tab w:val="num" w:pos="2410"/>
          <w:tab w:val="left" w:pos="2835"/>
          <w:tab w:val="left" w:pos="3402"/>
        </w:tabs>
        <w:jc w:val="both"/>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t>ii)</w:t>
      </w:r>
      <w:r w:rsidRPr="001B758D">
        <w:rPr>
          <w:rFonts w:eastAsia="Times New Roman"/>
          <w:szCs w:val="22"/>
          <w:lang w:val="es-ES" w:eastAsia="en-US"/>
        </w:rPr>
        <w:tab/>
        <w:t xml:space="preserve">toda modificación relativa a los números de teléfono y de </w:t>
      </w:r>
      <w:proofErr w:type="spellStart"/>
      <w:r w:rsidRPr="001B758D">
        <w:rPr>
          <w:rFonts w:eastAsia="Times New Roman"/>
          <w:szCs w:val="22"/>
          <w:lang w:val="es-ES" w:eastAsia="en-US"/>
        </w:rPr>
        <w:t>telefacsímil</w:t>
      </w:r>
      <w:proofErr w:type="spellEnd"/>
      <w:r w:rsidRPr="001B758D">
        <w:rPr>
          <w:rFonts w:eastAsia="Times New Roman"/>
          <w:szCs w:val="22"/>
          <w:lang w:val="es-ES" w:eastAsia="en-US"/>
        </w:rPr>
        <w:t>, dirección para la correspondencia, dirección de correo electrónico y cualquier otro medio de comunicación con el solicitante o el titular, tal como se especifica en las Instrucciones Administrativas,</w:t>
      </w:r>
    </w:p>
    <w:p w:rsidR="001B758D" w:rsidRPr="001B758D" w:rsidRDefault="001B758D" w:rsidP="001B758D">
      <w:pPr>
        <w:tabs>
          <w:tab w:val="left" w:pos="-1701"/>
          <w:tab w:val="left" w:pos="0"/>
          <w:tab w:val="left" w:pos="567"/>
          <w:tab w:val="left" w:pos="1134"/>
          <w:tab w:val="left" w:pos="1701"/>
          <w:tab w:val="num" w:pos="2410"/>
          <w:tab w:val="left" w:pos="2835"/>
          <w:tab w:val="left" w:pos="3402"/>
        </w:tabs>
        <w:jc w:val="both"/>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t>iii)</w:t>
      </w:r>
      <w:r w:rsidRPr="001B758D">
        <w:rPr>
          <w:rFonts w:eastAsia="Times New Roman"/>
          <w:szCs w:val="22"/>
          <w:lang w:val="es-ES" w:eastAsia="en-US"/>
        </w:rPr>
        <w:tab/>
        <w:t>la cancelación del registro internacional,</w:t>
      </w:r>
    </w:p>
    <w:p w:rsidR="001B758D" w:rsidRPr="001B758D" w:rsidRDefault="001B758D" w:rsidP="001B758D">
      <w:pPr>
        <w:tabs>
          <w:tab w:val="left" w:pos="-1701"/>
          <w:tab w:val="left" w:pos="0"/>
          <w:tab w:val="left" w:pos="567"/>
          <w:tab w:val="left" w:pos="1134"/>
          <w:tab w:val="left" w:pos="1701"/>
          <w:tab w:val="num" w:pos="2410"/>
          <w:tab w:val="left" w:pos="2835"/>
          <w:tab w:val="left" w:pos="3402"/>
        </w:tabs>
        <w:jc w:val="both"/>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r>
      <w:proofErr w:type="gramStart"/>
      <w:r w:rsidRPr="001B758D">
        <w:rPr>
          <w:rFonts w:eastAsia="Times New Roman"/>
          <w:szCs w:val="22"/>
          <w:lang w:val="es-ES" w:eastAsia="en-US"/>
        </w:rPr>
        <w:t>iv</w:t>
      </w:r>
      <w:proofErr w:type="gramEnd"/>
      <w:r w:rsidRPr="001B758D">
        <w:rPr>
          <w:rFonts w:eastAsia="Times New Roman"/>
          <w:szCs w:val="22"/>
          <w:lang w:val="es-ES" w:eastAsia="en-US"/>
        </w:rPr>
        <w:t>)</w:t>
      </w:r>
      <w:r w:rsidRPr="001B758D">
        <w:rPr>
          <w:rFonts w:eastAsia="Times New Roman"/>
          <w:szCs w:val="22"/>
          <w:lang w:val="es-ES" w:eastAsia="en-US"/>
        </w:rPr>
        <w:tab/>
        <w:t>toda renuncia prevista en la Regla 25.1)a)iii),</w:t>
      </w:r>
    </w:p>
    <w:p w:rsidR="001B758D" w:rsidRPr="001B758D" w:rsidRDefault="001B758D" w:rsidP="001B758D">
      <w:pPr>
        <w:tabs>
          <w:tab w:val="left" w:pos="-1701"/>
          <w:tab w:val="left" w:pos="0"/>
          <w:tab w:val="left" w:pos="567"/>
          <w:tab w:val="left" w:pos="1134"/>
          <w:tab w:val="left" w:pos="1701"/>
          <w:tab w:val="num" w:pos="2410"/>
          <w:tab w:val="left" w:pos="2835"/>
          <w:tab w:val="left" w:pos="3402"/>
        </w:tabs>
        <w:jc w:val="both"/>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r>
      <w:proofErr w:type="gramStart"/>
      <w:r w:rsidRPr="001B758D">
        <w:rPr>
          <w:rFonts w:eastAsia="Times New Roman"/>
          <w:szCs w:val="22"/>
          <w:lang w:val="es-ES" w:eastAsia="en-US"/>
        </w:rPr>
        <w:t>v</w:t>
      </w:r>
      <w:proofErr w:type="gramEnd"/>
      <w:r w:rsidRPr="001B758D">
        <w:rPr>
          <w:rFonts w:eastAsia="Times New Roman"/>
          <w:szCs w:val="22"/>
          <w:lang w:val="es-ES" w:eastAsia="en-US"/>
        </w:rPr>
        <w:t>)</w:t>
      </w:r>
      <w:r w:rsidRPr="001B758D">
        <w:rPr>
          <w:rFonts w:eastAsia="Times New Roman"/>
          <w:szCs w:val="22"/>
          <w:lang w:val="es-ES" w:eastAsia="en-US"/>
        </w:rPr>
        <w:tab/>
        <w:t>toda limitación efectuada en la propia solicitud internacional en virtud de la Regla 9.4)a)xiii) o en una designación posterior en virtud de la Regla 24.3)a)iv),</w:t>
      </w:r>
    </w:p>
    <w:p w:rsidR="001B758D" w:rsidRPr="001B758D" w:rsidRDefault="001B758D" w:rsidP="001B758D">
      <w:pPr>
        <w:tabs>
          <w:tab w:val="left" w:pos="-1701"/>
          <w:tab w:val="left" w:pos="0"/>
          <w:tab w:val="left" w:pos="567"/>
          <w:tab w:val="left" w:pos="1134"/>
          <w:tab w:val="left" w:pos="1701"/>
          <w:tab w:val="num" w:pos="2410"/>
          <w:tab w:val="left" w:pos="2835"/>
          <w:tab w:val="left" w:pos="3402"/>
        </w:tabs>
        <w:jc w:val="both"/>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r>
      <w:proofErr w:type="gramStart"/>
      <w:r w:rsidRPr="001B758D">
        <w:rPr>
          <w:rFonts w:eastAsia="Times New Roman"/>
          <w:szCs w:val="22"/>
          <w:lang w:val="es-ES" w:eastAsia="en-US"/>
        </w:rPr>
        <w:t>vi</w:t>
      </w:r>
      <w:proofErr w:type="gramEnd"/>
      <w:r w:rsidRPr="001B758D">
        <w:rPr>
          <w:rFonts w:eastAsia="Times New Roman"/>
          <w:szCs w:val="22"/>
          <w:lang w:val="es-ES" w:eastAsia="en-US"/>
        </w:rPr>
        <w:t>)</w:t>
      </w:r>
      <w:r w:rsidRPr="001B758D">
        <w:rPr>
          <w:rFonts w:eastAsia="Times New Roman"/>
          <w:szCs w:val="22"/>
          <w:lang w:val="es-ES" w:eastAsia="en-US"/>
        </w:rPr>
        <w:tab/>
        <w:t>toda petición de una Oficina en virtud del Artículo 6.4), primera frase, del Arreglo o en virtud del Artículo 6.4), primera frase, del Protocolo,</w:t>
      </w:r>
    </w:p>
    <w:p w:rsidR="001B758D" w:rsidRPr="001B758D" w:rsidRDefault="001B758D" w:rsidP="001B758D">
      <w:pPr>
        <w:tabs>
          <w:tab w:val="left" w:pos="-1701"/>
          <w:tab w:val="left" w:pos="0"/>
          <w:tab w:val="left" w:pos="567"/>
          <w:tab w:val="left" w:pos="1134"/>
          <w:tab w:val="left" w:pos="1701"/>
          <w:tab w:val="num" w:pos="2410"/>
          <w:tab w:val="left" w:pos="2835"/>
          <w:tab w:val="left" w:pos="3402"/>
        </w:tabs>
        <w:jc w:val="both"/>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t>vii)</w:t>
      </w:r>
      <w:r w:rsidRPr="001B758D">
        <w:rPr>
          <w:rFonts w:eastAsia="Times New Roman"/>
          <w:szCs w:val="22"/>
          <w:lang w:val="es-ES" w:eastAsia="en-US"/>
        </w:rPr>
        <w:tab/>
        <w:t>la existencia de un procedimiento judicial o de una decisión definitiva que afecten a la solicitud de base, al registro resultante de ella o al registro de base,</w:t>
      </w:r>
    </w:p>
    <w:p w:rsidR="001B758D" w:rsidRPr="001B758D" w:rsidRDefault="001B758D" w:rsidP="001B758D">
      <w:pPr>
        <w:tabs>
          <w:tab w:val="left" w:pos="-1701"/>
          <w:tab w:val="left" w:pos="0"/>
          <w:tab w:val="left" w:pos="567"/>
          <w:tab w:val="left" w:pos="1134"/>
          <w:tab w:val="left" w:pos="1701"/>
          <w:tab w:val="num" w:pos="2410"/>
          <w:tab w:val="left" w:pos="2835"/>
          <w:tab w:val="left" w:pos="3402"/>
        </w:tabs>
        <w:jc w:val="both"/>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t>viii)</w:t>
      </w:r>
      <w:r w:rsidRPr="001B758D">
        <w:rPr>
          <w:rFonts w:eastAsia="Times New Roman"/>
          <w:szCs w:val="22"/>
          <w:lang w:val="es-ES" w:eastAsia="en-US"/>
        </w:rPr>
        <w:tab/>
      </w:r>
      <w:proofErr w:type="gramStart"/>
      <w:r w:rsidRPr="001B758D">
        <w:rPr>
          <w:rFonts w:eastAsia="Times New Roman"/>
          <w:szCs w:val="22"/>
          <w:lang w:val="es-ES" w:eastAsia="en-US"/>
        </w:rPr>
        <w:t>toda</w:t>
      </w:r>
      <w:proofErr w:type="gramEnd"/>
      <w:r w:rsidRPr="001B758D">
        <w:rPr>
          <w:rFonts w:eastAsia="Times New Roman"/>
          <w:szCs w:val="22"/>
          <w:lang w:val="es-ES" w:eastAsia="en-US"/>
        </w:rPr>
        <w:t xml:space="preserve"> denegación en virtud de la Regla 17, de la Regla 24.9) o de la Regla 28.3), toda declaración en virtud de las Reglas 18</w:t>
      </w:r>
      <w:r w:rsidRPr="001B758D">
        <w:rPr>
          <w:rFonts w:eastAsia="Times New Roman"/>
          <w:i/>
          <w:szCs w:val="22"/>
          <w:lang w:val="es-ES" w:eastAsia="en-US"/>
        </w:rPr>
        <w:t>bis</w:t>
      </w:r>
      <w:r w:rsidRPr="001B758D">
        <w:rPr>
          <w:rFonts w:eastAsia="Times New Roman"/>
          <w:szCs w:val="22"/>
          <w:lang w:val="es-ES" w:eastAsia="en-US"/>
        </w:rPr>
        <w:t xml:space="preserve"> </w:t>
      </w:r>
      <w:proofErr w:type="spellStart"/>
      <w:r w:rsidRPr="001B758D">
        <w:rPr>
          <w:rFonts w:eastAsia="Times New Roman"/>
          <w:szCs w:val="22"/>
          <w:lang w:val="es-ES" w:eastAsia="en-US"/>
        </w:rPr>
        <w:t>ó</w:t>
      </w:r>
      <w:proofErr w:type="spellEnd"/>
      <w:r w:rsidRPr="001B758D">
        <w:rPr>
          <w:rFonts w:eastAsia="Times New Roman"/>
          <w:szCs w:val="22"/>
          <w:lang w:val="es-ES" w:eastAsia="en-US"/>
        </w:rPr>
        <w:t xml:space="preserve"> 18ter, o toda declaración en virtud de la Regla 20</w:t>
      </w:r>
      <w:r w:rsidRPr="001B758D">
        <w:rPr>
          <w:rFonts w:eastAsia="Times New Roman"/>
          <w:i/>
          <w:szCs w:val="22"/>
          <w:lang w:val="es-ES" w:eastAsia="en-US"/>
        </w:rPr>
        <w:t>bis</w:t>
      </w:r>
      <w:r w:rsidRPr="001B758D">
        <w:rPr>
          <w:rFonts w:eastAsia="Times New Roman"/>
          <w:szCs w:val="22"/>
          <w:lang w:val="es-ES" w:eastAsia="en-US"/>
        </w:rPr>
        <w:t>.5) o la Regla 27.4) o 5),</w:t>
      </w:r>
      <w:r w:rsidRPr="001B758D">
        <w:rPr>
          <w:rFonts w:eastAsia="Times New Roman"/>
          <w:szCs w:val="22"/>
          <w:lang w:val="es-ES" w:eastAsia="en-US"/>
        </w:rPr>
        <w:tab/>
      </w:r>
    </w:p>
    <w:p w:rsidR="001B758D" w:rsidRPr="001B758D" w:rsidRDefault="001B758D" w:rsidP="001B758D">
      <w:pPr>
        <w:tabs>
          <w:tab w:val="left" w:pos="-1701"/>
          <w:tab w:val="left" w:pos="0"/>
          <w:tab w:val="left" w:pos="567"/>
          <w:tab w:val="left" w:pos="1134"/>
          <w:tab w:val="left" w:pos="1701"/>
          <w:tab w:val="num" w:pos="2410"/>
          <w:tab w:val="left" w:pos="2835"/>
          <w:tab w:val="left" w:pos="3402"/>
        </w:tabs>
        <w:jc w:val="both"/>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t>ix)</w:t>
      </w:r>
      <w:r w:rsidRPr="001B758D">
        <w:rPr>
          <w:rFonts w:eastAsia="Times New Roman"/>
          <w:szCs w:val="22"/>
          <w:lang w:val="es-ES" w:eastAsia="en-US"/>
        </w:rPr>
        <w:tab/>
        <w:t>la invalidación del registro internacional,</w:t>
      </w:r>
    </w:p>
    <w:p w:rsidR="001B758D" w:rsidRPr="001B758D" w:rsidRDefault="001B758D" w:rsidP="001B758D">
      <w:pPr>
        <w:tabs>
          <w:tab w:val="left" w:pos="-1701"/>
          <w:tab w:val="left" w:pos="0"/>
          <w:tab w:val="left" w:pos="567"/>
          <w:tab w:val="left" w:pos="1134"/>
          <w:tab w:val="left" w:pos="1701"/>
          <w:tab w:val="num" w:pos="2410"/>
          <w:tab w:val="left" w:pos="2835"/>
          <w:tab w:val="left" w:pos="3402"/>
        </w:tabs>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t>x)</w:t>
      </w:r>
      <w:r w:rsidRPr="001B758D">
        <w:rPr>
          <w:rFonts w:eastAsia="Times New Roman"/>
          <w:szCs w:val="22"/>
          <w:lang w:val="es-ES" w:eastAsia="en-US"/>
        </w:rPr>
        <w:tab/>
        <w:t>la información comunicada en virtud de la Regla 20,</w:t>
      </w:r>
    </w:p>
    <w:p w:rsidR="001B758D" w:rsidRPr="001B758D" w:rsidRDefault="001B758D" w:rsidP="001B758D">
      <w:pPr>
        <w:tabs>
          <w:tab w:val="left" w:pos="-1701"/>
          <w:tab w:val="left" w:pos="0"/>
          <w:tab w:val="left" w:pos="567"/>
          <w:tab w:val="left" w:pos="1134"/>
          <w:tab w:val="left" w:pos="1701"/>
          <w:tab w:val="num" w:pos="2410"/>
          <w:tab w:val="left" w:pos="2835"/>
          <w:tab w:val="left" w:pos="3402"/>
        </w:tabs>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t>xi)</w:t>
      </w:r>
      <w:r w:rsidRPr="001B758D">
        <w:rPr>
          <w:rFonts w:eastAsia="Times New Roman"/>
          <w:szCs w:val="22"/>
          <w:lang w:val="es-ES" w:eastAsia="en-US"/>
        </w:rPr>
        <w:tab/>
        <w:t>toda notificación en virtud de la Regla 21 o de la Regla 23,</w:t>
      </w:r>
    </w:p>
    <w:p w:rsidR="001B758D" w:rsidRPr="001B758D" w:rsidRDefault="001B758D" w:rsidP="001B758D">
      <w:pPr>
        <w:tabs>
          <w:tab w:val="left" w:pos="-1701"/>
          <w:tab w:val="left" w:pos="0"/>
          <w:tab w:val="left" w:pos="567"/>
          <w:tab w:val="left" w:pos="1134"/>
          <w:tab w:val="left" w:pos="1701"/>
          <w:tab w:val="num" w:pos="2410"/>
          <w:tab w:val="left" w:pos="2835"/>
          <w:tab w:val="left" w:pos="3402"/>
        </w:tabs>
        <w:rPr>
          <w:rFonts w:eastAsia="Times New Roman"/>
          <w:szCs w:val="22"/>
          <w:lang w:val="es-ES" w:eastAsia="en-US"/>
        </w:rPr>
      </w:pPr>
      <w:r w:rsidRPr="001B758D">
        <w:rPr>
          <w:rFonts w:eastAsia="Times New Roman"/>
          <w:szCs w:val="22"/>
          <w:lang w:val="es-ES" w:eastAsia="en-US"/>
        </w:rPr>
        <w:tab/>
      </w:r>
      <w:r w:rsidRPr="001B758D">
        <w:rPr>
          <w:rFonts w:eastAsia="Times New Roman"/>
          <w:szCs w:val="22"/>
          <w:lang w:val="es-ES" w:eastAsia="en-US"/>
        </w:rPr>
        <w:tab/>
      </w:r>
      <w:r w:rsidRPr="001B758D">
        <w:rPr>
          <w:rFonts w:eastAsia="Times New Roman"/>
          <w:szCs w:val="22"/>
          <w:lang w:val="es-ES" w:eastAsia="en-US"/>
        </w:rPr>
        <w:tab/>
        <w:t>xii)</w:t>
      </w:r>
      <w:r w:rsidRPr="001B758D">
        <w:rPr>
          <w:rFonts w:eastAsia="Times New Roman"/>
          <w:szCs w:val="22"/>
          <w:lang w:val="es-ES" w:eastAsia="en-US"/>
        </w:rPr>
        <w:tab/>
        <w:t xml:space="preserve">toda corrección efectuada en el Registro Internacional. </w:t>
      </w:r>
    </w:p>
    <w:p w:rsidR="001B758D" w:rsidRPr="001B758D" w:rsidRDefault="001B758D" w:rsidP="001B758D">
      <w:pPr>
        <w:tabs>
          <w:tab w:val="left" w:pos="-1701"/>
          <w:tab w:val="left" w:pos="0"/>
          <w:tab w:val="left" w:pos="567"/>
          <w:tab w:val="left" w:pos="1134"/>
          <w:tab w:val="left" w:pos="1701"/>
          <w:tab w:val="left" w:pos="2835"/>
          <w:tab w:val="left" w:pos="3402"/>
        </w:tabs>
        <w:rPr>
          <w:szCs w:val="22"/>
          <w:lang w:val="es-ES"/>
        </w:rPr>
      </w:pPr>
    </w:p>
    <w:p w:rsidR="001B758D" w:rsidRPr="001B758D" w:rsidRDefault="001B758D" w:rsidP="001B758D">
      <w:pPr>
        <w:tabs>
          <w:tab w:val="left" w:pos="0"/>
          <w:tab w:val="left" w:pos="567"/>
          <w:tab w:val="left" w:pos="1134"/>
          <w:tab w:val="left" w:pos="1701"/>
          <w:tab w:val="left" w:pos="2268"/>
          <w:tab w:val="left" w:pos="2835"/>
          <w:tab w:val="left" w:pos="3402"/>
        </w:tabs>
        <w:rPr>
          <w:szCs w:val="22"/>
          <w:lang w:val="es-ES"/>
        </w:rPr>
      </w:pPr>
    </w:p>
    <w:p w:rsidR="001B758D" w:rsidRPr="001B758D" w:rsidRDefault="001B758D" w:rsidP="001B758D">
      <w:pPr>
        <w:tabs>
          <w:tab w:val="left" w:pos="0"/>
          <w:tab w:val="left" w:pos="567"/>
          <w:tab w:val="left" w:pos="1134"/>
          <w:tab w:val="left" w:pos="1701"/>
          <w:tab w:val="left" w:pos="2268"/>
          <w:tab w:val="left" w:pos="2835"/>
          <w:tab w:val="left" w:pos="3402"/>
        </w:tabs>
        <w:jc w:val="both"/>
        <w:rPr>
          <w:szCs w:val="22"/>
          <w:lang w:val="es-ES"/>
        </w:rPr>
      </w:pPr>
    </w:p>
    <w:p w:rsidR="001B758D" w:rsidRPr="00965ADD" w:rsidRDefault="001B758D" w:rsidP="001B758D">
      <w:pPr>
        <w:pStyle w:val="Endofdocument-Annex"/>
        <w:rPr>
          <w:lang w:val="es-ES"/>
        </w:rPr>
      </w:pPr>
      <w:r w:rsidRPr="00965ADD">
        <w:rPr>
          <w:lang w:val="es-ES"/>
        </w:rPr>
        <w:t>[</w:t>
      </w:r>
      <w:r w:rsidRPr="009B6CAB">
        <w:rPr>
          <w:lang w:val="es-ES"/>
        </w:rPr>
        <w:t>Sigue el Anexo</w:t>
      </w:r>
      <w:r w:rsidRPr="00965ADD">
        <w:rPr>
          <w:lang w:val="es-ES"/>
        </w:rPr>
        <w:t xml:space="preserve"> I</w:t>
      </w:r>
      <w:r>
        <w:rPr>
          <w:lang w:val="es-ES"/>
        </w:rPr>
        <w:t>I</w:t>
      </w:r>
      <w:r w:rsidRPr="00965ADD">
        <w:rPr>
          <w:lang w:val="es-ES"/>
        </w:rPr>
        <w:t>]</w:t>
      </w:r>
    </w:p>
    <w:p w:rsidR="001B758D" w:rsidRDefault="001B758D" w:rsidP="00C86DC7">
      <w:pPr>
        <w:pStyle w:val="Endofdocument-Annex"/>
        <w:rPr>
          <w:szCs w:val="22"/>
          <w:lang w:val="es-ES"/>
        </w:rPr>
        <w:sectPr w:rsidR="001B758D" w:rsidSect="00B42077">
          <w:headerReference w:type="first" r:id="rId13"/>
          <w:endnotePr>
            <w:numFmt w:val="decimal"/>
          </w:endnotePr>
          <w:pgSz w:w="11907" w:h="16840" w:code="9"/>
          <w:pgMar w:top="567" w:right="1134" w:bottom="851" w:left="1418" w:header="510" w:footer="1021" w:gutter="0"/>
          <w:cols w:space="720"/>
          <w:titlePg/>
        </w:sectPr>
      </w:pPr>
    </w:p>
    <w:p w:rsidR="001B758D" w:rsidRDefault="001B758D" w:rsidP="00C86DC7">
      <w:pPr>
        <w:pStyle w:val="Endofdocument-Annex"/>
        <w:rPr>
          <w:szCs w:val="22"/>
          <w:lang w:val="es-ES"/>
        </w:rPr>
        <w:sectPr w:rsidR="001B758D" w:rsidSect="00B42077">
          <w:headerReference w:type="first" r:id="rId14"/>
          <w:endnotePr>
            <w:numFmt w:val="decimal"/>
          </w:endnotePr>
          <w:pgSz w:w="11907" w:h="16840" w:code="9"/>
          <w:pgMar w:top="567" w:right="1134" w:bottom="851" w:left="1418" w:header="510" w:footer="1021" w:gutter="0"/>
          <w:cols w:space="720"/>
          <w:titlePg/>
        </w:sectPr>
      </w:pPr>
      <w:r w:rsidRPr="001B758D">
        <w:rPr>
          <w:noProof/>
          <w:lang w:eastAsia="en-US"/>
        </w:rPr>
        <w:drawing>
          <wp:anchor distT="0" distB="0" distL="114300" distR="114300" simplePos="0" relativeHeight="251658240" behindDoc="0" locked="0" layoutInCell="1" allowOverlap="1" wp14:anchorId="62057245" wp14:editId="05FDADB7">
            <wp:simplePos x="4413250" y="647700"/>
            <wp:positionH relativeFrom="margin">
              <wp:align>center</wp:align>
            </wp:positionH>
            <wp:positionV relativeFrom="margin">
              <wp:align>top</wp:align>
            </wp:positionV>
            <wp:extent cx="6502400" cy="91706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8950" cy="91799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2"/>
          <w:lang w:val="es-ES"/>
        </w:rPr>
        <w:tab/>
      </w:r>
      <w:r>
        <w:rPr>
          <w:szCs w:val="22"/>
          <w:lang w:val="es-ES"/>
        </w:rPr>
        <w:tab/>
      </w:r>
    </w:p>
    <w:p w:rsidR="001B758D" w:rsidRDefault="001B758D" w:rsidP="00C86DC7">
      <w:pPr>
        <w:pStyle w:val="Endofdocument-Annex"/>
        <w:rPr>
          <w:szCs w:val="22"/>
          <w:lang w:val="es-ES"/>
        </w:rPr>
      </w:pPr>
    </w:p>
    <w:p w:rsidR="001B758D" w:rsidRDefault="001B758D" w:rsidP="001B758D">
      <w:pPr>
        <w:pStyle w:val="Endofdocument-Annex"/>
        <w:tabs>
          <w:tab w:val="left" w:pos="6610"/>
        </w:tabs>
        <w:rPr>
          <w:szCs w:val="22"/>
          <w:lang w:val="es-ES"/>
        </w:rPr>
        <w:sectPr w:rsidR="001B758D" w:rsidSect="00B42077">
          <w:headerReference w:type="first" r:id="rId16"/>
          <w:endnotePr>
            <w:numFmt w:val="decimal"/>
          </w:endnotePr>
          <w:pgSz w:w="11907" w:h="16840" w:code="9"/>
          <w:pgMar w:top="567" w:right="1134" w:bottom="851" w:left="1418" w:header="510" w:footer="1021" w:gutter="0"/>
          <w:cols w:space="720"/>
          <w:titlePg/>
        </w:sectPr>
      </w:pPr>
      <w:r>
        <w:rPr>
          <w:noProof/>
          <w:szCs w:val="22"/>
          <w:lang w:eastAsia="en-US"/>
        </w:rPr>
        <w:drawing>
          <wp:anchor distT="0" distB="0" distL="114300" distR="114300" simplePos="0" relativeHeight="251659264" behindDoc="0" locked="0" layoutInCell="1" allowOverlap="1" wp14:anchorId="7311B54E" wp14:editId="09656BD9">
            <wp:simplePos x="4413250" y="647700"/>
            <wp:positionH relativeFrom="margin">
              <wp:align>center</wp:align>
            </wp:positionH>
            <wp:positionV relativeFrom="margin">
              <wp:align>top</wp:align>
            </wp:positionV>
            <wp:extent cx="6190615" cy="8759190"/>
            <wp:effectExtent l="0" t="0" r="63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61" cy="8759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2"/>
          <w:lang w:val="es-ES"/>
        </w:rPr>
        <w:tab/>
      </w:r>
    </w:p>
    <w:p w:rsidR="001B758D" w:rsidRDefault="001B758D" w:rsidP="001B758D">
      <w:pPr>
        <w:pStyle w:val="Endofdocument-Annex"/>
        <w:tabs>
          <w:tab w:val="left" w:pos="6610"/>
        </w:tabs>
        <w:rPr>
          <w:szCs w:val="22"/>
          <w:lang w:val="es-ES"/>
        </w:rPr>
        <w:sectPr w:rsidR="001B758D" w:rsidSect="00B42077">
          <w:headerReference w:type="first" r:id="rId18"/>
          <w:endnotePr>
            <w:numFmt w:val="decimal"/>
          </w:endnotePr>
          <w:pgSz w:w="11907" w:h="16840" w:code="9"/>
          <w:pgMar w:top="567" w:right="1134" w:bottom="851" w:left="1418" w:header="510" w:footer="1021" w:gutter="0"/>
          <w:cols w:space="720"/>
          <w:titlePg/>
        </w:sectPr>
      </w:pPr>
      <w:r>
        <w:rPr>
          <w:noProof/>
          <w:szCs w:val="22"/>
          <w:lang w:eastAsia="en-US"/>
        </w:rPr>
        <w:drawing>
          <wp:anchor distT="0" distB="0" distL="114300" distR="114300" simplePos="0" relativeHeight="251660288" behindDoc="0" locked="0" layoutInCell="1" allowOverlap="1" wp14:anchorId="5F799DE4" wp14:editId="57AB153C">
            <wp:simplePos x="4413250" y="647700"/>
            <wp:positionH relativeFrom="margin">
              <wp:align>center</wp:align>
            </wp:positionH>
            <wp:positionV relativeFrom="margin">
              <wp:align>top</wp:align>
            </wp:positionV>
            <wp:extent cx="6256020" cy="88519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9624" cy="88567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2"/>
          <w:lang w:val="es-ES"/>
        </w:rPr>
        <w:tab/>
      </w:r>
    </w:p>
    <w:p w:rsidR="001B758D" w:rsidRDefault="001B758D" w:rsidP="001B758D">
      <w:pPr>
        <w:pStyle w:val="Endofdocument-Annex"/>
        <w:tabs>
          <w:tab w:val="left" w:pos="6610"/>
        </w:tabs>
        <w:rPr>
          <w:szCs w:val="22"/>
          <w:lang w:val="es-ES"/>
        </w:rPr>
      </w:pPr>
    </w:p>
    <w:p w:rsidR="001B758D" w:rsidRDefault="001B758D" w:rsidP="001B758D">
      <w:pPr>
        <w:pStyle w:val="Endofdocument-Annex"/>
        <w:tabs>
          <w:tab w:val="left" w:pos="6610"/>
        </w:tabs>
        <w:rPr>
          <w:szCs w:val="22"/>
          <w:lang w:val="es-ES"/>
        </w:rPr>
      </w:pPr>
      <w:r>
        <w:rPr>
          <w:noProof/>
          <w:szCs w:val="22"/>
          <w:lang w:eastAsia="en-US"/>
        </w:rPr>
        <w:drawing>
          <wp:anchor distT="0" distB="0" distL="114300" distR="114300" simplePos="0" relativeHeight="251661312" behindDoc="0" locked="0" layoutInCell="1" allowOverlap="1" wp14:anchorId="187BBDD0" wp14:editId="5E2D88DC">
            <wp:simplePos x="4413250" y="647700"/>
            <wp:positionH relativeFrom="margin">
              <wp:align>center</wp:align>
            </wp:positionH>
            <wp:positionV relativeFrom="margin">
              <wp:align>top</wp:align>
            </wp:positionV>
            <wp:extent cx="5973445" cy="8451850"/>
            <wp:effectExtent l="0" t="0" r="8255"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3488" cy="8451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758D" w:rsidRDefault="001B758D" w:rsidP="001B758D">
      <w:pPr>
        <w:tabs>
          <w:tab w:val="left" w:pos="6610"/>
        </w:tabs>
        <w:rPr>
          <w:lang w:val="es-ES"/>
        </w:rPr>
        <w:sectPr w:rsidR="001B758D" w:rsidSect="00B42077">
          <w:headerReference w:type="first" r:id="rId21"/>
          <w:endnotePr>
            <w:numFmt w:val="decimal"/>
          </w:endnotePr>
          <w:pgSz w:w="11907" w:h="16840" w:code="9"/>
          <w:pgMar w:top="567" w:right="1134" w:bottom="851" w:left="1418" w:header="510" w:footer="1021" w:gutter="0"/>
          <w:cols w:space="720"/>
          <w:titlePg/>
        </w:sectPr>
      </w:pPr>
      <w:r>
        <w:rPr>
          <w:lang w:val="es-ES"/>
        </w:rPr>
        <w:tab/>
      </w:r>
    </w:p>
    <w:p w:rsidR="001B758D" w:rsidRDefault="001B758D" w:rsidP="001B758D">
      <w:pPr>
        <w:tabs>
          <w:tab w:val="left" w:pos="6610"/>
        </w:tabs>
        <w:rPr>
          <w:lang w:val="es-ES"/>
        </w:rPr>
      </w:pPr>
    </w:p>
    <w:p w:rsidR="001B758D" w:rsidRDefault="001B758D" w:rsidP="001B758D">
      <w:pPr>
        <w:tabs>
          <w:tab w:val="left" w:pos="6610"/>
        </w:tabs>
        <w:rPr>
          <w:lang w:val="es-ES"/>
        </w:rPr>
      </w:pPr>
    </w:p>
    <w:p w:rsidR="001B758D" w:rsidRDefault="001B758D" w:rsidP="001B758D">
      <w:pPr>
        <w:tabs>
          <w:tab w:val="left" w:pos="6610"/>
        </w:tabs>
        <w:rPr>
          <w:lang w:val="es-ES"/>
        </w:rPr>
      </w:pPr>
    </w:p>
    <w:p w:rsidR="004936FC" w:rsidRPr="001B758D" w:rsidRDefault="001B758D" w:rsidP="001B758D">
      <w:pPr>
        <w:pStyle w:val="Endofdocument-Annex"/>
        <w:rPr>
          <w:lang w:val="es-ES"/>
        </w:rPr>
      </w:pPr>
      <w:r>
        <w:rPr>
          <w:lang w:val="es-ES"/>
        </w:rPr>
        <w:t>[Fin del Anexo II]</w:t>
      </w:r>
      <w:r>
        <w:rPr>
          <w:noProof/>
          <w:lang w:eastAsia="en-US"/>
        </w:rPr>
        <w:drawing>
          <wp:anchor distT="0" distB="0" distL="114300" distR="114300" simplePos="0" relativeHeight="251662336" behindDoc="0" locked="0" layoutInCell="1" allowOverlap="1" wp14:anchorId="5B95043D" wp14:editId="7ED07106">
            <wp:simplePos x="901700" y="647700"/>
            <wp:positionH relativeFrom="margin">
              <wp:align>center</wp:align>
            </wp:positionH>
            <wp:positionV relativeFrom="margin">
              <wp:align>top</wp:align>
            </wp:positionV>
            <wp:extent cx="6049645" cy="8559800"/>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49645" cy="8559800"/>
                    </a:xfrm>
                    <a:prstGeom prst="rect">
                      <a:avLst/>
                    </a:prstGeom>
                    <a:noFill/>
                    <a:ln>
                      <a:noFill/>
                    </a:ln>
                  </pic:spPr>
                </pic:pic>
              </a:graphicData>
            </a:graphic>
          </wp:anchor>
        </w:drawing>
      </w:r>
    </w:p>
    <w:sectPr w:rsidR="004936FC" w:rsidRPr="001B758D" w:rsidSect="00B42077">
      <w:headerReference w:type="first" r:id="rId23"/>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024" w:rsidRDefault="00DE7024">
      <w:r>
        <w:separator/>
      </w:r>
    </w:p>
  </w:endnote>
  <w:endnote w:type="continuationSeparator" w:id="0">
    <w:p w:rsidR="00DE7024" w:rsidRDefault="00DE7024" w:rsidP="003B38C1">
      <w:r>
        <w:separator/>
      </w:r>
    </w:p>
    <w:p w:rsidR="00DE7024" w:rsidRPr="003B38C1" w:rsidRDefault="00DE7024" w:rsidP="003B38C1">
      <w:pPr>
        <w:spacing w:after="60"/>
        <w:rPr>
          <w:sz w:val="17"/>
        </w:rPr>
      </w:pPr>
      <w:r>
        <w:rPr>
          <w:sz w:val="17"/>
        </w:rPr>
        <w:t>[Endnote continued from previous page]</w:t>
      </w:r>
    </w:p>
  </w:endnote>
  <w:endnote w:type="continuationNotice" w:id="1">
    <w:p w:rsidR="00DE7024" w:rsidRPr="003B38C1" w:rsidRDefault="00DE70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024" w:rsidRDefault="00DE7024">
      <w:r>
        <w:separator/>
      </w:r>
    </w:p>
  </w:footnote>
  <w:footnote w:type="continuationSeparator" w:id="0">
    <w:p w:rsidR="00DE7024" w:rsidRDefault="00DE7024" w:rsidP="008B60B2">
      <w:r>
        <w:separator/>
      </w:r>
    </w:p>
    <w:p w:rsidR="00DE7024" w:rsidRPr="00ED77FB" w:rsidRDefault="00DE7024" w:rsidP="008B60B2">
      <w:pPr>
        <w:spacing w:after="60"/>
        <w:rPr>
          <w:sz w:val="17"/>
          <w:szCs w:val="17"/>
        </w:rPr>
      </w:pPr>
      <w:r w:rsidRPr="00ED77FB">
        <w:rPr>
          <w:sz w:val="17"/>
          <w:szCs w:val="17"/>
        </w:rPr>
        <w:t>[Footnote continued from previous page]</w:t>
      </w:r>
    </w:p>
  </w:footnote>
  <w:footnote w:type="continuationNotice" w:id="1">
    <w:p w:rsidR="00DE7024" w:rsidRPr="00ED77FB" w:rsidRDefault="00DE70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BA" w:rsidRDefault="00773E7A" w:rsidP="00477D6B">
    <w:pPr>
      <w:jc w:val="right"/>
    </w:pPr>
    <w:r>
      <w:t>página</w:t>
    </w:r>
    <w:r w:rsidR="001174BA">
      <w:t xml:space="preserve"> </w:t>
    </w:r>
    <w:r w:rsidR="001174BA">
      <w:fldChar w:fldCharType="begin"/>
    </w:r>
    <w:r w:rsidR="001174BA">
      <w:instrText xml:space="preserve"> PAGE  \* MERGEFORMAT </w:instrText>
    </w:r>
    <w:r w:rsidR="001174BA">
      <w:fldChar w:fldCharType="separate"/>
    </w:r>
    <w:r w:rsidR="007E3316">
      <w:rPr>
        <w:noProof/>
      </w:rPr>
      <w:t>2</w:t>
    </w:r>
    <w:r w:rsidR="001174BA">
      <w:fldChar w:fldCharType="end"/>
    </w:r>
  </w:p>
  <w:p w:rsidR="001174BA" w:rsidRDefault="001174B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8D" w:rsidRDefault="001B758D" w:rsidP="001B758D">
    <w:pPr>
      <w:pStyle w:val="Header"/>
      <w:jc w:val="right"/>
    </w:pPr>
    <w:r>
      <w:t>ANEXO I</w:t>
    </w:r>
  </w:p>
  <w:p w:rsidR="001B758D" w:rsidRPr="001B758D" w:rsidRDefault="001B758D" w:rsidP="001B758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8D" w:rsidRDefault="001B758D" w:rsidP="001B758D">
    <w:pPr>
      <w:pStyle w:val="Header"/>
      <w:jc w:val="right"/>
    </w:pPr>
    <w:proofErr w:type="spellStart"/>
    <w:r>
      <w:t>Anexo</w:t>
    </w:r>
    <w:proofErr w:type="spellEnd"/>
    <w:r>
      <w:t xml:space="preserve"> I, </w:t>
    </w:r>
    <w:proofErr w:type="spellStart"/>
    <w:r>
      <w:t>página</w:t>
    </w:r>
    <w:proofErr w:type="spellEnd"/>
    <w:r>
      <w:t xml:space="preserve"> 2</w:t>
    </w:r>
  </w:p>
  <w:p w:rsidR="001B758D" w:rsidRPr="001B758D" w:rsidRDefault="001B758D" w:rsidP="001B758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8D" w:rsidRDefault="001B758D" w:rsidP="001B758D">
    <w:pPr>
      <w:pStyle w:val="Header"/>
      <w:jc w:val="right"/>
    </w:pPr>
    <w:r>
      <w:t>ANEXO II</w:t>
    </w:r>
  </w:p>
  <w:p w:rsidR="001B758D" w:rsidRPr="001B758D" w:rsidRDefault="001B758D" w:rsidP="001B758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8D" w:rsidRDefault="001B758D" w:rsidP="001B758D">
    <w:pPr>
      <w:pStyle w:val="Header"/>
      <w:jc w:val="right"/>
    </w:pPr>
    <w:proofErr w:type="spellStart"/>
    <w:r>
      <w:t>Anexo</w:t>
    </w:r>
    <w:proofErr w:type="spellEnd"/>
    <w:r>
      <w:t xml:space="preserve"> II, </w:t>
    </w:r>
    <w:proofErr w:type="spellStart"/>
    <w:r>
      <w:t>página</w:t>
    </w:r>
    <w:proofErr w:type="spellEnd"/>
    <w:r>
      <w:t xml:space="preserve"> 2</w:t>
    </w:r>
  </w:p>
  <w:p w:rsidR="001B758D" w:rsidRPr="001B758D" w:rsidRDefault="001B758D" w:rsidP="001B758D">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8D" w:rsidRDefault="001B758D" w:rsidP="001B758D">
    <w:pPr>
      <w:pStyle w:val="Header"/>
      <w:jc w:val="right"/>
    </w:pPr>
    <w:proofErr w:type="spellStart"/>
    <w:r>
      <w:t>Anexo</w:t>
    </w:r>
    <w:proofErr w:type="spellEnd"/>
    <w:r>
      <w:t xml:space="preserve"> II, </w:t>
    </w:r>
    <w:proofErr w:type="spellStart"/>
    <w:r>
      <w:t>página</w:t>
    </w:r>
    <w:proofErr w:type="spellEnd"/>
    <w:r>
      <w:t xml:space="preserve"> 3</w:t>
    </w:r>
  </w:p>
  <w:p w:rsidR="001B758D" w:rsidRPr="001B758D" w:rsidRDefault="001B758D" w:rsidP="001B758D">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8D" w:rsidRDefault="001B758D" w:rsidP="001B758D">
    <w:pPr>
      <w:pStyle w:val="Header"/>
      <w:jc w:val="right"/>
    </w:pPr>
    <w:proofErr w:type="spellStart"/>
    <w:r>
      <w:t>Anexo</w:t>
    </w:r>
    <w:proofErr w:type="spellEnd"/>
    <w:r>
      <w:t xml:space="preserve"> II, </w:t>
    </w:r>
    <w:proofErr w:type="spellStart"/>
    <w:r>
      <w:t>página</w:t>
    </w:r>
    <w:proofErr w:type="spellEnd"/>
    <w:r>
      <w:t xml:space="preserve"> 4</w:t>
    </w:r>
  </w:p>
  <w:p w:rsidR="001B758D" w:rsidRPr="001B758D" w:rsidRDefault="001B758D" w:rsidP="001B758D">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8D" w:rsidRDefault="001B758D" w:rsidP="001B758D">
    <w:pPr>
      <w:pStyle w:val="Header"/>
      <w:jc w:val="right"/>
    </w:pPr>
    <w:proofErr w:type="spellStart"/>
    <w:r>
      <w:t>Anexo</w:t>
    </w:r>
    <w:proofErr w:type="spellEnd"/>
    <w:r>
      <w:t xml:space="preserve"> II, </w:t>
    </w:r>
    <w:proofErr w:type="spellStart"/>
    <w:r>
      <w:t>página</w:t>
    </w:r>
    <w:proofErr w:type="spellEnd"/>
    <w:r>
      <w:t xml:space="preserve"> 5</w:t>
    </w:r>
  </w:p>
  <w:p w:rsidR="001B758D" w:rsidRPr="001B758D" w:rsidRDefault="001B758D" w:rsidP="001B758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BD5468"/>
    <w:multiLevelType w:val="hybridMultilevel"/>
    <w:tmpl w:val="A2205552"/>
    <w:lvl w:ilvl="0" w:tplc="73AAE19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43313"/>
    <w:rsid w:val="00043CAA"/>
    <w:rsid w:val="00056B3E"/>
    <w:rsid w:val="00070E50"/>
    <w:rsid w:val="00075432"/>
    <w:rsid w:val="00090828"/>
    <w:rsid w:val="000968ED"/>
    <w:rsid w:val="000A6094"/>
    <w:rsid w:val="000B034A"/>
    <w:rsid w:val="000B6CA7"/>
    <w:rsid w:val="000B6FC9"/>
    <w:rsid w:val="000F5E56"/>
    <w:rsid w:val="000F6065"/>
    <w:rsid w:val="001157A7"/>
    <w:rsid w:val="001174BA"/>
    <w:rsid w:val="001246C9"/>
    <w:rsid w:val="001256B0"/>
    <w:rsid w:val="001362EE"/>
    <w:rsid w:val="00137592"/>
    <w:rsid w:val="00144449"/>
    <w:rsid w:val="001464DA"/>
    <w:rsid w:val="0015037D"/>
    <w:rsid w:val="0017543F"/>
    <w:rsid w:val="001832A6"/>
    <w:rsid w:val="00183C6F"/>
    <w:rsid w:val="001B3BEE"/>
    <w:rsid w:val="001B758D"/>
    <w:rsid w:val="001C0371"/>
    <w:rsid w:val="001C20B8"/>
    <w:rsid w:val="001D3B44"/>
    <w:rsid w:val="001E3850"/>
    <w:rsid w:val="001E703D"/>
    <w:rsid w:val="001F1B95"/>
    <w:rsid w:val="001F7609"/>
    <w:rsid w:val="0020354F"/>
    <w:rsid w:val="0022493E"/>
    <w:rsid w:val="002507C1"/>
    <w:rsid w:val="00251890"/>
    <w:rsid w:val="0025278E"/>
    <w:rsid w:val="00261EF3"/>
    <w:rsid w:val="002634C4"/>
    <w:rsid w:val="00264C11"/>
    <w:rsid w:val="002928D3"/>
    <w:rsid w:val="00293793"/>
    <w:rsid w:val="002962CF"/>
    <w:rsid w:val="002A2958"/>
    <w:rsid w:val="002B0E92"/>
    <w:rsid w:val="002C0D64"/>
    <w:rsid w:val="002F1FE6"/>
    <w:rsid w:val="002F4851"/>
    <w:rsid w:val="002F4E68"/>
    <w:rsid w:val="00307BA1"/>
    <w:rsid w:val="00310B1C"/>
    <w:rsid w:val="00312F7F"/>
    <w:rsid w:val="00314C69"/>
    <w:rsid w:val="003431B2"/>
    <w:rsid w:val="00343B35"/>
    <w:rsid w:val="00347330"/>
    <w:rsid w:val="00361450"/>
    <w:rsid w:val="003673CF"/>
    <w:rsid w:val="0037592F"/>
    <w:rsid w:val="003845C1"/>
    <w:rsid w:val="00393B0C"/>
    <w:rsid w:val="003A6F89"/>
    <w:rsid w:val="003B38C1"/>
    <w:rsid w:val="003B555E"/>
    <w:rsid w:val="003E708D"/>
    <w:rsid w:val="003F1BCA"/>
    <w:rsid w:val="00400E90"/>
    <w:rsid w:val="00417B91"/>
    <w:rsid w:val="00423835"/>
    <w:rsid w:val="00423E3E"/>
    <w:rsid w:val="00427AF4"/>
    <w:rsid w:val="00440258"/>
    <w:rsid w:val="004431D1"/>
    <w:rsid w:val="00450CAC"/>
    <w:rsid w:val="004513DC"/>
    <w:rsid w:val="004550AF"/>
    <w:rsid w:val="00456FDA"/>
    <w:rsid w:val="00462475"/>
    <w:rsid w:val="004630B4"/>
    <w:rsid w:val="004647DA"/>
    <w:rsid w:val="00474062"/>
    <w:rsid w:val="00477D6B"/>
    <w:rsid w:val="004833EC"/>
    <w:rsid w:val="004936FC"/>
    <w:rsid w:val="004B5614"/>
    <w:rsid w:val="004C0AD9"/>
    <w:rsid w:val="004D1C5A"/>
    <w:rsid w:val="004F5A30"/>
    <w:rsid w:val="005019FF"/>
    <w:rsid w:val="0050560F"/>
    <w:rsid w:val="00517BA5"/>
    <w:rsid w:val="0053057A"/>
    <w:rsid w:val="005348DF"/>
    <w:rsid w:val="00542239"/>
    <w:rsid w:val="00551671"/>
    <w:rsid w:val="00560A29"/>
    <w:rsid w:val="00560AE5"/>
    <w:rsid w:val="00570AF0"/>
    <w:rsid w:val="00576EBB"/>
    <w:rsid w:val="00594A74"/>
    <w:rsid w:val="005A2427"/>
    <w:rsid w:val="005A4A02"/>
    <w:rsid w:val="005B73D4"/>
    <w:rsid w:val="005B7553"/>
    <w:rsid w:val="005C6649"/>
    <w:rsid w:val="005D0284"/>
    <w:rsid w:val="005D55B9"/>
    <w:rsid w:val="005D62EC"/>
    <w:rsid w:val="00605827"/>
    <w:rsid w:val="00620E16"/>
    <w:rsid w:val="006271F7"/>
    <w:rsid w:val="00644AA2"/>
    <w:rsid w:val="00646050"/>
    <w:rsid w:val="00654AE9"/>
    <w:rsid w:val="00660AB7"/>
    <w:rsid w:val="006632AE"/>
    <w:rsid w:val="006713CA"/>
    <w:rsid w:val="00676C5C"/>
    <w:rsid w:val="006840AD"/>
    <w:rsid w:val="006902EB"/>
    <w:rsid w:val="00695FEA"/>
    <w:rsid w:val="006A39D6"/>
    <w:rsid w:val="006A746E"/>
    <w:rsid w:val="006B763E"/>
    <w:rsid w:val="006D7300"/>
    <w:rsid w:val="006E00E7"/>
    <w:rsid w:val="007070FF"/>
    <w:rsid w:val="0072168A"/>
    <w:rsid w:val="00730892"/>
    <w:rsid w:val="00744CF9"/>
    <w:rsid w:val="00744E7C"/>
    <w:rsid w:val="00767C4D"/>
    <w:rsid w:val="00773E7A"/>
    <w:rsid w:val="00790A94"/>
    <w:rsid w:val="007B01DE"/>
    <w:rsid w:val="007B5840"/>
    <w:rsid w:val="007C3E9B"/>
    <w:rsid w:val="007D1613"/>
    <w:rsid w:val="007E3316"/>
    <w:rsid w:val="007E728D"/>
    <w:rsid w:val="007F4D09"/>
    <w:rsid w:val="00800FB4"/>
    <w:rsid w:val="0080116E"/>
    <w:rsid w:val="008147A8"/>
    <w:rsid w:val="00831DF9"/>
    <w:rsid w:val="00840917"/>
    <w:rsid w:val="00846E0B"/>
    <w:rsid w:val="008640BB"/>
    <w:rsid w:val="00870382"/>
    <w:rsid w:val="00871AC3"/>
    <w:rsid w:val="00880A56"/>
    <w:rsid w:val="00885618"/>
    <w:rsid w:val="008937CE"/>
    <w:rsid w:val="008B2CC1"/>
    <w:rsid w:val="008B60B2"/>
    <w:rsid w:val="008C2D2F"/>
    <w:rsid w:val="008D1ED4"/>
    <w:rsid w:val="008D2A60"/>
    <w:rsid w:val="008D352E"/>
    <w:rsid w:val="008D4F77"/>
    <w:rsid w:val="008D796F"/>
    <w:rsid w:val="008F1A57"/>
    <w:rsid w:val="00904111"/>
    <w:rsid w:val="009041CB"/>
    <w:rsid w:val="0090731E"/>
    <w:rsid w:val="00916EE2"/>
    <w:rsid w:val="0092128F"/>
    <w:rsid w:val="0093667D"/>
    <w:rsid w:val="00953334"/>
    <w:rsid w:val="00955BA5"/>
    <w:rsid w:val="00960234"/>
    <w:rsid w:val="00966A22"/>
    <w:rsid w:val="0096722F"/>
    <w:rsid w:val="00980843"/>
    <w:rsid w:val="00986348"/>
    <w:rsid w:val="009A7AD1"/>
    <w:rsid w:val="009C11FA"/>
    <w:rsid w:val="009E2791"/>
    <w:rsid w:val="009E3F6F"/>
    <w:rsid w:val="009E5634"/>
    <w:rsid w:val="009E5F9F"/>
    <w:rsid w:val="009F2A14"/>
    <w:rsid w:val="009F499F"/>
    <w:rsid w:val="009F5AC9"/>
    <w:rsid w:val="00A04BB1"/>
    <w:rsid w:val="00A21684"/>
    <w:rsid w:val="00A21ABE"/>
    <w:rsid w:val="00A3626F"/>
    <w:rsid w:val="00A42DAF"/>
    <w:rsid w:val="00A45BD8"/>
    <w:rsid w:val="00A67A0D"/>
    <w:rsid w:val="00A701A8"/>
    <w:rsid w:val="00A869B7"/>
    <w:rsid w:val="00A9469F"/>
    <w:rsid w:val="00A94F37"/>
    <w:rsid w:val="00A97A51"/>
    <w:rsid w:val="00AA1D22"/>
    <w:rsid w:val="00AB308E"/>
    <w:rsid w:val="00AB50BA"/>
    <w:rsid w:val="00AB5650"/>
    <w:rsid w:val="00AC205C"/>
    <w:rsid w:val="00AD2926"/>
    <w:rsid w:val="00AE22E3"/>
    <w:rsid w:val="00AE4556"/>
    <w:rsid w:val="00AF0A6B"/>
    <w:rsid w:val="00AF5452"/>
    <w:rsid w:val="00B05A69"/>
    <w:rsid w:val="00B10376"/>
    <w:rsid w:val="00B35406"/>
    <w:rsid w:val="00B36DF7"/>
    <w:rsid w:val="00B42077"/>
    <w:rsid w:val="00B43A11"/>
    <w:rsid w:val="00B43B05"/>
    <w:rsid w:val="00B46D7E"/>
    <w:rsid w:val="00B55A78"/>
    <w:rsid w:val="00B72750"/>
    <w:rsid w:val="00B819CE"/>
    <w:rsid w:val="00B83157"/>
    <w:rsid w:val="00B8749C"/>
    <w:rsid w:val="00B9734B"/>
    <w:rsid w:val="00BA59F8"/>
    <w:rsid w:val="00BB12B3"/>
    <w:rsid w:val="00BC1194"/>
    <w:rsid w:val="00BD7FCB"/>
    <w:rsid w:val="00BF0CA8"/>
    <w:rsid w:val="00BF2F07"/>
    <w:rsid w:val="00C05DD6"/>
    <w:rsid w:val="00C06A44"/>
    <w:rsid w:val="00C11BFE"/>
    <w:rsid w:val="00C15A06"/>
    <w:rsid w:val="00C40381"/>
    <w:rsid w:val="00C47491"/>
    <w:rsid w:val="00C523BC"/>
    <w:rsid w:val="00C556FE"/>
    <w:rsid w:val="00C62CF3"/>
    <w:rsid w:val="00C65B3F"/>
    <w:rsid w:val="00C762FA"/>
    <w:rsid w:val="00C7669D"/>
    <w:rsid w:val="00C86DC7"/>
    <w:rsid w:val="00C931BD"/>
    <w:rsid w:val="00C951A6"/>
    <w:rsid w:val="00CC4F2C"/>
    <w:rsid w:val="00CC5016"/>
    <w:rsid w:val="00CD1D60"/>
    <w:rsid w:val="00CD5752"/>
    <w:rsid w:val="00CE3E34"/>
    <w:rsid w:val="00CE5BF7"/>
    <w:rsid w:val="00CF1F7B"/>
    <w:rsid w:val="00CF3F3D"/>
    <w:rsid w:val="00D37129"/>
    <w:rsid w:val="00D45252"/>
    <w:rsid w:val="00D50276"/>
    <w:rsid w:val="00D55F09"/>
    <w:rsid w:val="00D6671A"/>
    <w:rsid w:val="00D71B4D"/>
    <w:rsid w:val="00D74909"/>
    <w:rsid w:val="00D804EF"/>
    <w:rsid w:val="00D93D55"/>
    <w:rsid w:val="00DB2BFC"/>
    <w:rsid w:val="00DB3BF3"/>
    <w:rsid w:val="00DC3F8A"/>
    <w:rsid w:val="00DD00AF"/>
    <w:rsid w:val="00DE0123"/>
    <w:rsid w:val="00DE7024"/>
    <w:rsid w:val="00DF1A8A"/>
    <w:rsid w:val="00E05C90"/>
    <w:rsid w:val="00E120E2"/>
    <w:rsid w:val="00E15196"/>
    <w:rsid w:val="00E17A47"/>
    <w:rsid w:val="00E335FE"/>
    <w:rsid w:val="00E3743C"/>
    <w:rsid w:val="00E45D0B"/>
    <w:rsid w:val="00E77BFD"/>
    <w:rsid w:val="00E865D5"/>
    <w:rsid w:val="00E970E0"/>
    <w:rsid w:val="00E97F26"/>
    <w:rsid w:val="00EB53A4"/>
    <w:rsid w:val="00EB7273"/>
    <w:rsid w:val="00EC11DB"/>
    <w:rsid w:val="00EC4E49"/>
    <w:rsid w:val="00ED77FB"/>
    <w:rsid w:val="00EE0C2F"/>
    <w:rsid w:val="00EE2B59"/>
    <w:rsid w:val="00EE45FA"/>
    <w:rsid w:val="00EE5D89"/>
    <w:rsid w:val="00EF1CB2"/>
    <w:rsid w:val="00EF308E"/>
    <w:rsid w:val="00EF5D29"/>
    <w:rsid w:val="00F10804"/>
    <w:rsid w:val="00F121F9"/>
    <w:rsid w:val="00F25354"/>
    <w:rsid w:val="00F4487F"/>
    <w:rsid w:val="00F55187"/>
    <w:rsid w:val="00F55536"/>
    <w:rsid w:val="00F66152"/>
    <w:rsid w:val="00F7538F"/>
    <w:rsid w:val="00F7618C"/>
    <w:rsid w:val="00FA74FB"/>
    <w:rsid w:val="00FB1B3B"/>
    <w:rsid w:val="00FB1C01"/>
    <w:rsid w:val="00FB5A0D"/>
    <w:rsid w:val="00FC45C2"/>
    <w:rsid w:val="00FD4248"/>
    <w:rsid w:val="00FE58F7"/>
    <w:rsid w:val="00FF1898"/>
    <w:rsid w:val="00FF3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4444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44449"/>
    <w:rPr>
      <w:rFonts w:ascii="Tahoma" w:eastAsia="SimSun" w:hAnsi="Tahoma" w:cs="Tahoma"/>
      <w:sz w:val="16"/>
      <w:szCs w:val="16"/>
      <w:lang w:eastAsia="zh-CN"/>
    </w:rPr>
  </w:style>
  <w:style w:type="paragraph" w:styleId="ListParagraph">
    <w:name w:val="List Paragraph"/>
    <w:basedOn w:val="Normal"/>
    <w:uiPriority w:val="34"/>
    <w:qFormat/>
    <w:rsid w:val="00953334"/>
    <w:pPr>
      <w:ind w:left="720"/>
      <w:contextualSpacing/>
    </w:pPr>
  </w:style>
  <w:style w:type="character" w:styleId="Hyperlink">
    <w:name w:val="Hyperlink"/>
    <w:basedOn w:val="DefaultParagraphFont"/>
    <w:rsid w:val="0037592F"/>
    <w:rPr>
      <w:color w:val="0000FF" w:themeColor="hyperlink"/>
      <w:u w:val="single"/>
    </w:rPr>
  </w:style>
  <w:style w:type="character" w:customStyle="1" w:styleId="HeaderChar">
    <w:name w:val="Header Char"/>
    <w:basedOn w:val="DefaultParagraphFont"/>
    <w:link w:val="Header"/>
    <w:uiPriority w:val="99"/>
    <w:rsid w:val="007B01DE"/>
    <w:rPr>
      <w:rFonts w:ascii="Arial" w:eastAsia="SimSun" w:hAnsi="Arial" w:cs="Arial"/>
      <w:sz w:val="22"/>
      <w:lang w:eastAsia="zh-CN"/>
    </w:rPr>
  </w:style>
  <w:style w:type="paragraph" w:styleId="BodyText2">
    <w:name w:val="Body Text 2"/>
    <w:basedOn w:val="Normal"/>
    <w:link w:val="BodyText2Char"/>
    <w:rsid w:val="00F4487F"/>
    <w:pPr>
      <w:spacing w:after="120" w:line="480" w:lineRule="auto"/>
    </w:pPr>
  </w:style>
  <w:style w:type="character" w:customStyle="1" w:styleId="BodyText2Char">
    <w:name w:val="Body Text 2 Char"/>
    <w:basedOn w:val="DefaultParagraphFont"/>
    <w:link w:val="BodyText2"/>
    <w:rsid w:val="00F4487F"/>
    <w:rPr>
      <w:rFonts w:ascii="Arial" w:eastAsia="SimSun" w:hAnsi="Arial" w:cs="Arial"/>
      <w:sz w:val="22"/>
      <w:lang w:eastAsia="zh-CN"/>
    </w:rPr>
  </w:style>
  <w:style w:type="paragraph" w:styleId="BodyTextIndent2">
    <w:name w:val="Body Text Indent 2"/>
    <w:basedOn w:val="Normal"/>
    <w:link w:val="BodyTextIndent2Char"/>
    <w:rsid w:val="00F4487F"/>
    <w:pPr>
      <w:spacing w:after="120" w:line="480" w:lineRule="auto"/>
      <w:ind w:left="360"/>
    </w:pPr>
  </w:style>
  <w:style w:type="character" w:customStyle="1" w:styleId="BodyTextIndent2Char">
    <w:name w:val="Body Text Indent 2 Char"/>
    <w:basedOn w:val="DefaultParagraphFont"/>
    <w:link w:val="BodyTextIndent2"/>
    <w:rsid w:val="00F4487F"/>
    <w:rPr>
      <w:rFonts w:ascii="Arial" w:eastAsia="SimSun" w:hAnsi="Arial" w:cs="Arial"/>
      <w:sz w:val="22"/>
      <w:lang w:eastAsia="zh-CN"/>
    </w:rPr>
  </w:style>
  <w:style w:type="character" w:customStyle="1" w:styleId="Endofdocument-AnnexChar">
    <w:name w:val="[End of document - Annex] Char"/>
    <w:link w:val="Endofdocument-Annex"/>
    <w:rsid w:val="004C0AD9"/>
    <w:rPr>
      <w:rFonts w:ascii="Arial" w:eastAsia="SimSun" w:hAnsi="Arial" w:cs="Arial"/>
      <w:sz w:val="22"/>
      <w:lang w:eastAsia="zh-CN"/>
    </w:rPr>
  </w:style>
  <w:style w:type="table" w:styleId="TableGrid">
    <w:name w:val="Table Grid"/>
    <w:basedOn w:val="TableNormal"/>
    <w:rsid w:val="00627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4444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44449"/>
    <w:rPr>
      <w:rFonts w:ascii="Tahoma" w:eastAsia="SimSun" w:hAnsi="Tahoma" w:cs="Tahoma"/>
      <w:sz w:val="16"/>
      <w:szCs w:val="16"/>
      <w:lang w:eastAsia="zh-CN"/>
    </w:rPr>
  </w:style>
  <w:style w:type="paragraph" w:styleId="ListParagraph">
    <w:name w:val="List Paragraph"/>
    <w:basedOn w:val="Normal"/>
    <w:uiPriority w:val="34"/>
    <w:qFormat/>
    <w:rsid w:val="00953334"/>
    <w:pPr>
      <w:ind w:left="720"/>
      <w:contextualSpacing/>
    </w:pPr>
  </w:style>
  <w:style w:type="character" w:styleId="Hyperlink">
    <w:name w:val="Hyperlink"/>
    <w:basedOn w:val="DefaultParagraphFont"/>
    <w:rsid w:val="0037592F"/>
    <w:rPr>
      <w:color w:val="0000FF" w:themeColor="hyperlink"/>
      <w:u w:val="single"/>
    </w:rPr>
  </w:style>
  <w:style w:type="character" w:customStyle="1" w:styleId="HeaderChar">
    <w:name w:val="Header Char"/>
    <w:basedOn w:val="DefaultParagraphFont"/>
    <w:link w:val="Header"/>
    <w:uiPriority w:val="99"/>
    <w:rsid w:val="007B01DE"/>
    <w:rPr>
      <w:rFonts w:ascii="Arial" w:eastAsia="SimSun" w:hAnsi="Arial" w:cs="Arial"/>
      <w:sz w:val="22"/>
      <w:lang w:eastAsia="zh-CN"/>
    </w:rPr>
  </w:style>
  <w:style w:type="paragraph" w:styleId="BodyText2">
    <w:name w:val="Body Text 2"/>
    <w:basedOn w:val="Normal"/>
    <w:link w:val="BodyText2Char"/>
    <w:rsid w:val="00F4487F"/>
    <w:pPr>
      <w:spacing w:after="120" w:line="480" w:lineRule="auto"/>
    </w:pPr>
  </w:style>
  <w:style w:type="character" w:customStyle="1" w:styleId="BodyText2Char">
    <w:name w:val="Body Text 2 Char"/>
    <w:basedOn w:val="DefaultParagraphFont"/>
    <w:link w:val="BodyText2"/>
    <w:rsid w:val="00F4487F"/>
    <w:rPr>
      <w:rFonts w:ascii="Arial" w:eastAsia="SimSun" w:hAnsi="Arial" w:cs="Arial"/>
      <w:sz w:val="22"/>
      <w:lang w:eastAsia="zh-CN"/>
    </w:rPr>
  </w:style>
  <w:style w:type="paragraph" w:styleId="BodyTextIndent2">
    <w:name w:val="Body Text Indent 2"/>
    <w:basedOn w:val="Normal"/>
    <w:link w:val="BodyTextIndent2Char"/>
    <w:rsid w:val="00F4487F"/>
    <w:pPr>
      <w:spacing w:after="120" w:line="480" w:lineRule="auto"/>
      <w:ind w:left="360"/>
    </w:pPr>
  </w:style>
  <w:style w:type="character" w:customStyle="1" w:styleId="BodyTextIndent2Char">
    <w:name w:val="Body Text Indent 2 Char"/>
    <w:basedOn w:val="DefaultParagraphFont"/>
    <w:link w:val="BodyTextIndent2"/>
    <w:rsid w:val="00F4487F"/>
    <w:rPr>
      <w:rFonts w:ascii="Arial" w:eastAsia="SimSun" w:hAnsi="Arial" w:cs="Arial"/>
      <w:sz w:val="22"/>
      <w:lang w:eastAsia="zh-CN"/>
    </w:rPr>
  </w:style>
  <w:style w:type="character" w:customStyle="1" w:styleId="Endofdocument-AnnexChar">
    <w:name w:val="[End of document - Annex] Char"/>
    <w:link w:val="Endofdocument-Annex"/>
    <w:rsid w:val="004C0AD9"/>
    <w:rPr>
      <w:rFonts w:ascii="Arial" w:eastAsia="SimSun" w:hAnsi="Arial" w:cs="Arial"/>
      <w:sz w:val="22"/>
      <w:lang w:eastAsia="zh-CN"/>
    </w:rPr>
  </w:style>
  <w:style w:type="table" w:styleId="TableGrid">
    <w:name w:val="Table Grid"/>
    <w:basedOn w:val="TableNormal"/>
    <w:rsid w:val="00627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8.xml"/><Relationship Id="rId10" Type="http://schemas.openxmlformats.org/officeDocument/2006/relationships/hyperlink" Target="mailto:intreg@wipo.int" TargetMode="Externa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0E3B-8836-4E7F-8881-4E45500C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1467</Words>
  <Characters>8251</Characters>
  <Application>Microsoft Office Word</Application>
  <DocSecurity>0</DocSecurity>
  <Lines>196</Lines>
  <Paragraphs>74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6</cp:revision>
  <cp:lastPrinted>2016-03-18T15:28:00Z</cp:lastPrinted>
  <dcterms:created xsi:type="dcterms:W3CDTF">2016-03-24T11:12:00Z</dcterms:created>
  <dcterms:modified xsi:type="dcterms:W3CDTF">2016-03-29T13:49:00Z</dcterms:modified>
</cp:coreProperties>
</file>