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6622AC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6622AC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622AC" w:rsidRDefault="006622AC" w:rsidP="00916EE2">
            <w:pPr>
              <w:rPr>
                <w:lang w:val="es-ES"/>
              </w:rPr>
            </w:pPr>
            <w:r w:rsidRPr="00995F06">
              <w:rPr>
                <w:noProof/>
                <w:lang w:eastAsia="en-US"/>
              </w:rPr>
              <w:drawing>
                <wp:inline distT="0" distB="0" distL="0" distR="0" wp14:anchorId="6EF8C0D5" wp14:editId="580A9806">
                  <wp:extent cx="1852295" cy="1330325"/>
                  <wp:effectExtent l="0" t="0" r="0" b="317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622AC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8B2CC1" w:rsidRPr="006622AC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622AC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Original"/>
            <w:bookmarkEnd w:id="0"/>
          </w:p>
        </w:tc>
      </w:tr>
      <w:tr w:rsidR="008B2CC1" w:rsidRPr="006622AC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622AC" w:rsidRDefault="00FC6152" w:rsidP="0032511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6622AC">
              <w:rPr>
                <w:rFonts w:ascii="Arial Black" w:hAnsi="Arial Black"/>
                <w:caps/>
                <w:sz w:val="15"/>
                <w:lang w:val="es-ES"/>
              </w:rPr>
              <w:t>AVISO</w:t>
            </w:r>
            <w:r w:rsidR="00CC5016" w:rsidRPr="006622AC">
              <w:rPr>
                <w:rFonts w:ascii="Arial Black" w:hAnsi="Arial Black"/>
                <w:caps/>
                <w:sz w:val="15"/>
                <w:lang w:val="es-ES"/>
              </w:rPr>
              <w:t xml:space="preserve"> NO. </w:t>
            </w:r>
            <w:r w:rsidR="0032511E">
              <w:rPr>
                <w:rFonts w:ascii="Arial Black" w:hAnsi="Arial Black"/>
                <w:caps/>
                <w:sz w:val="15"/>
                <w:lang w:val="es-ES"/>
              </w:rPr>
              <w:t>16</w:t>
            </w:r>
            <w:r w:rsidR="00CC5016" w:rsidRPr="006622AC">
              <w:rPr>
                <w:rFonts w:ascii="Arial Black" w:hAnsi="Arial Black"/>
                <w:caps/>
                <w:sz w:val="15"/>
                <w:lang w:val="es-ES"/>
              </w:rPr>
              <w:t>/201</w:t>
            </w:r>
            <w:r w:rsidR="006F3270" w:rsidRPr="006622AC">
              <w:rPr>
                <w:rFonts w:ascii="Arial Black" w:hAnsi="Arial Black"/>
                <w:caps/>
                <w:sz w:val="15"/>
                <w:lang w:val="es-ES"/>
              </w:rPr>
              <w:t>6</w:t>
            </w:r>
            <w:r w:rsidR="00A42DAF" w:rsidRPr="006622AC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6622AC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6622AC" w:rsidRDefault="008B2CC1" w:rsidP="008B2CC1">
      <w:pPr>
        <w:rPr>
          <w:lang w:val="es-ES"/>
        </w:rPr>
      </w:pPr>
    </w:p>
    <w:p w:rsidR="008B2CC1" w:rsidRPr="006622AC" w:rsidRDefault="008B2CC1" w:rsidP="008B2CC1">
      <w:pPr>
        <w:rPr>
          <w:lang w:val="es-ES"/>
        </w:rPr>
      </w:pPr>
    </w:p>
    <w:p w:rsidR="008B2CC1" w:rsidRPr="006622AC" w:rsidRDefault="008B2CC1" w:rsidP="008B2CC1">
      <w:pPr>
        <w:rPr>
          <w:lang w:val="es-ES"/>
        </w:rPr>
      </w:pPr>
    </w:p>
    <w:p w:rsidR="00CC5016" w:rsidRPr="006622AC" w:rsidRDefault="00CC5016" w:rsidP="00CC5016">
      <w:pPr>
        <w:rPr>
          <w:lang w:val="es-ES"/>
        </w:rPr>
      </w:pPr>
    </w:p>
    <w:p w:rsidR="00CC5016" w:rsidRPr="006622AC" w:rsidRDefault="00CC5016" w:rsidP="00CC5016">
      <w:pPr>
        <w:rPr>
          <w:lang w:val="es-ES"/>
        </w:rPr>
      </w:pPr>
    </w:p>
    <w:p w:rsidR="00CC5016" w:rsidRPr="006622AC" w:rsidRDefault="00FC6152" w:rsidP="00CC5016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6622AC">
        <w:rPr>
          <w:b/>
          <w:bCs/>
          <w:sz w:val="28"/>
          <w:szCs w:val="28"/>
          <w:lang w:val="es-ES"/>
        </w:rPr>
        <w:t>Arreglo de Madrid relativo al Registro Internacional de Marcas y Protocolo concerniente a ese Arreglo</w:t>
      </w:r>
    </w:p>
    <w:p w:rsidR="00CC5016" w:rsidRPr="006622AC" w:rsidRDefault="00CC5016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CC5016" w:rsidRPr="006622AC" w:rsidRDefault="00CC5016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CC5016" w:rsidRPr="006622AC" w:rsidRDefault="00CC5016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2070AB" w:rsidRPr="006622AC" w:rsidRDefault="00DF5186" w:rsidP="002070AB">
      <w:pPr>
        <w:rPr>
          <w:b/>
          <w:sz w:val="24"/>
          <w:szCs w:val="24"/>
          <w:lang w:val="es-ES"/>
        </w:rPr>
      </w:pPr>
      <w:r w:rsidRPr="006622AC">
        <w:rPr>
          <w:b/>
          <w:sz w:val="24"/>
          <w:szCs w:val="24"/>
          <w:lang w:val="es-ES"/>
        </w:rPr>
        <w:t>Nueva versión del Gestor de Productos y Servicios de Madrid (MSG)</w:t>
      </w:r>
    </w:p>
    <w:p w:rsidR="002D0CCE" w:rsidRPr="006622AC" w:rsidRDefault="002D0CCE" w:rsidP="00CC5016">
      <w:pPr>
        <w:rPr>
          <w:szCs w:val="22"/>
          <w:lang w:val="es-ES"/>
        </w:rPr>
      </w:pPr>
    </w:p>
    <w:p w:rsidR="00CE763A" w:rsidRPr="006622AC" w:rsidRDefault="00C66F71" w:rsidP="00F55FB2">
      <w:pPr>
        <w:rPr>
          <w:lang w:val="es-ES"/>
        </w:rPr>
      </w:pPr>
      <w:r w:rsidRPr="006622AC">
        <w:rPr>
          <w:lang w:val="es-ES"/>
        </w:rPr>
        <w:fldChar w:fldCharType="begin"/>
      </w:r>
      <w:r w:rsidRPr="006622AC">
        <w:rPr>
          <w:lang w:val="es-ES"/>
        </w:rPr>
        <w:instrText xml:space="preserve"> AUTONUM  </w:instrText>
      </w:r>
      <w:r w:rsidRPr="006622AC">
        <w:rPr>
          <w:lang w:val="es-ES"/>
        </w:rPr>
        <w:fldChar w:fldCharType="end"/>
      </w:r>
      <w:r w:rsidRPr="006622AC">
        <w:rPr>
          <w:lang w:val="es-ES"/>
        </w:rPr>
        <w:tab/>
      </w:r>
      <w:r w:rsidR="009C5774" w:rsidRPr="006622AC">
        <w:rPr>
          <w:lang w:val="es-ES"/>
        </w:rPr>
        <w:t>E</w:t>
      </w:r>
      <w:r w:rsidR="002070AB" w:rsidRPr="006622AC">
        <w:rPr>
          <w:lang w:val="es-ES"/>
        </w:rPr>
        <w:t xml:space="preserve">n </w:t>
      </w:r>
      <w:r w:rsidR="009C5774" w:rsidRPr="006622AC">
        <w:rPr>
          <w:lang w:val="es-ES"/>
        </w:rPr>
        <w:t>marzo de</w:t>
      </w:r>
      <w:r w:rsidR="002070AB" w:rsidRPr="006622AC">
        <w:rPr>
          <w:lang w:val="es-ES"/>
        </w:rPr>
        <w:t> </w:t>
      </w:r>
      <w:r w:rsidR="009C5774" w:rsidRPr="006622AC">
        <w:rPr>
          <w:lang w:val="es-ES"/>
        </w:rPr>
        <w:t xml:space="preserve">2016 se puso a disposición en el sitio web de la Organización Mundial de la Propiedad Intelectual (OMPI) una nueva versión del </w:t>
      </w:r>
      <w:r w:rsidR="002070AB" w:rsidRPr="006622AC">
        <w:rPr>
          <w:lang w:val="es-ES"/>
        </w:rPr>
        <w:t xml:space="preserve">MGS.  </w:t>
      </w:r>
      <w:r w:rsidR="009C5774" w:rsidRPr="006622AC">
        <w:rPr>
          <w:lang w:val="es-ES"/>
        </w:rPr>
        <w:t xml:space="preserve">Con ella se han introducido mejoras y nuevas </w:t>
      </w:r>
      <w:r w:rsidR="00F31485">
        <w:rPr>
          <w:lang w:val="es-ES"/>
        </w:rPr>
        <w:t>características</w:t>
      </w:r>
      <w:r w:rsidR="009C5774" w:rsidRPr="006622AC">
        <w:rPr>
          <w:lang w:val="es-ES"/>
        </w:rPr>
        <w:t xml:space="preserve"> para aumentar la utilidad de la aplicación MGS y perfeccionar la accesibilidad a información en materia de clasificación</w:t>
      </w:r>
      <w:r w:rsidR="002070AB" w:rsidRPr="006622AC">
        <w:rPr>
          <w:lang w:val="es-ES"/>
        </w:rPr>
        <w:t xml:space="preserve">.  </w:t>
      </w:r>
    </w:p>
    <w:p w:rsidR="002070AB" w:rsidRPr="006622AC" w:rsidRDefault="002070AB" w:rsidP="00F55FB2">
      <w:pPr>
        <w:rPr>
          <w:lang w:val="es-ES"/>
        </w:rPr>
      </w:pPr>
    </w:p>
    <w:p w:rsidR="002070AB" w:rsidRPr="006622AC" w:rsidRDefault="00990A89" w:rsidP="002070AB">
      <w:pPr>
        <w:rPr>
          <w:u w:val="single"/>
          <w:lang w:val="es-ES"/>
        </w:rPr>
      </w:pPr>
      <w:r w:rsidRPr="006622AC">
        <w:rPr>
          <w:u w:val="single"/>
          <w:lang w:val="es-ES"/>
        </w:rPr>
        <w:t>Notas explicativas de la Clasificación de Niza en los</w:t>
      </w:r>
      <w:r w:rsidR="002070AB" w:rsidRPr="006622AC">
        <w:rPr>
          <w:u w:val="single"/>
          <w:lang w:val="es-ES"/>
        </w:rPr>
        <w:t xml:space="preserve"> 17 </w:t>
      </w:r>
      <w:r w:rsidRPr="006622AC">
        <w:rPr>
          <w:u w:val="single"/>
          <w:lang w:val="es-ES"/>
        </w:rPr>
        <w:t>idioma</w:t>
      </w:r>
      <w:r w:rsidR="00C37406">
        <w:rPr>
          <w:u w:val="single"/>
          <w:lang w:val="es-ES"/>
        </w:rPr>
        <w:t>s actualmente disponibles en el </w:t>
      </w:r>
      <w:r w:rsidRPr="006622AC">
        <w:rPr>
          <w:u w:val="single"/>
          <w:lang w:val="es-ES"/>
        </w:rPr>
        <w:t>MGS</w:t>
      </w:r>
    </w:p>
    <w:p w:rsidR="002070AB" w:rsidRPr="006622AC" w:rsidRDefault="002070AB" w:rsidP="002070AB">
      <w:pPr>
        <w:rPr>
          <w:u w:val="single"/>
          <w:lang w:val="es-ES"/>
        </w:rPr>
      </w:pPr>
    </w:p>
    <w:p w:rsidR="002070AB" w:rsidRPr="006622AC" w:rsidRDefault="002070AB" w:rsidP="002070AB">
      <w:pPr>
        <w:rPr>
          <w:lang w:val="es-ES"/>
        </w:rPr>
      </w:pPr>
      <w:r w:rsidRPr="006622AC">
        <w:rPr>
          <w:lang w:val="es-ES"/>
        </w:rPr>
        <w:fldChar w:fldCharType="begin"/>
      </w:r>
      <w:r w:rsidRPr="006622AC">
        <w:rPr>
          <w:lang w:val="es-ES"/>
        </w:rPr>
        <w:instrText xml:space="preserve"> AUTONUM  </w:instrText>
      </w:r>
      <w:r w:rsidRPr="006622AC">
        <w:rPr>
          <w:lang w:val="es-ES"/>
        </w:rPr>
        <w:fldChar w:fldCharType="end"/>
      </w:r>
      <w:r w:rsidRPr="006622AC">
        <w:rPr>
          <w:lang w:val="es-ES"/>
        </w:rPr>
        <w:tab/>
      </w:r>
      <w:r w:rsidR="00990A89" w:rsidRPr="006622AC">
        <w:rPr>
          <w:lang w:val="es-ES"/>
        </w:rPr>
        <w:t>Las notas explicativas de la versión de</w:t>
      </w:r>
      <w:r w:rsidRPr="006622AC">
        <w:rPr>
          <w:lang w:val="es-ES"/>
        </w:rPr>
        <w:t> 2016</w:t>
      </w:r>
      <w:r w:rsidR="00990A89" w:rsidRPr="006622AC">
        <w:rPr>
          <w:lang w:val="es-ES"/>
        </w:rPr>
        <w:t xml:space="preserve"> de la décima edición de la</w:t>
      </w:r>
      <w:r w:rsidRPr="006622AC">
        <w:rPr>
          <w:lang w:val="es-ES"/>
        </w:rPr>
        <w:t xml:space="preserve"> </w:t>
      </w:r>
      <w:r w:rsidR="00990A89" w:rsidRPr="006622AC">
        <w:rPr>
          <w:lang w:val="es-ES"/>
        </w:rPr>
        <w:t xml:space="preserve">Clasificación Internacional de Productos y Servicios para el Registro de las Marcas </w:t>
      </w:r>
      <w:r w:rsidRPr="006622AC">
        <w:rPr>
          <w:lang w:val="es-ES"/>
        </w:rPr>
        <w:t>(</w:t>
      </w:r>
      <w:r w:rsidR="00990A89" w:rsidRPr="006622AC">
        <w:rPr>
          <w:lang w:val="es-ES"/>
        </w:rPr>
        <w:t>Clasificación de Niza</w:t>
      </w:r>
      <w:r w:rsidRPr="006622AC">
        <w:rPr>
          <w:lang w:val="es-ES"/>
        </w:rPr>
        <w:t xml:space="preserve">) </w:t>
      </w:r>
      <w:r w:rsidR="00990A89" w:rsidRPr="006622AC">
        <w:rPr>
          <w:lang w:val="es-ES"/>
        </w:rPr>
        <w:t>ya están accesibles en todas las interfaces lingüísticas del MGS</w:t>
      </w:r>
      <w:r w:rsidRPr="006622AC">
        <w:rPr>
          <w:lang w:val="es-ES"/>
        </w:rPr>
        <w:t xml:space="preserve">, </w:t>
      </w:r>
      <w:r w:rsidR="00990A89" w:rsidRPr="006622AC">
        <w:rPr>
          <w:lang w:val="es-ES"/>
        </w:rPr>
        <w:t>junto con los correspondientes títulos de clases</w:t>
      </w:r>
      <w:r w:rsidRPr="006622AC">
        <w:rPr>
          <w:lang w:val="es-ES"/>
        </w:rPr>
        <w:t xml:space="preserve">. </w:t>
      </w:r>
      <w:r w:rsidR="00317F1C">
        <w:rPr>
          <w:lang w:val="es-ES"/>
        </w:rPr>
        <w:t xml:space="preserve"> </w:t>
      </w:r>
    </w:p>
    <w:p w:rsidR="002070AB" w:rsidRPr="006622AC" w:rsidRDefault="002070AB" w:rsidP="002070AB">
      <w:pPr>
        <w:rPr>
          <w:lang w:val="es-ES"/>
        </w:rPr>
      </w:pPr>
    </w:p>
    <w:p w:rsidR="002070AB" w:rsidRPr="006622AC" w:rsidRDefault="002070AB" w:rsidP="002070AB">
      <w:pPr>
        <w:rPr>
          <w:lang w:val="es-ES"/>
        </w:rPr>
      </w:pPr>
      <w:r w:rsidRPr="006622AC">
        <w:rPr>
          <w:lang w:val="es-ES"/>
        </w:rPr>
        <w:fldChar w:fldCharType="begin"/>
      </w:r>
      <w:r w:rsidRPr="006622AC">
        <w:rPr>
          <w:lang w:val="es-ES"/>
        </w:rPr>
        <w:instrText xml:space="preserve"> AUTONUM  </w:instrText>
      </w:r>
      <w:r w:rsidRPr="006622AC">
        <w:rPr>
          <w:lang w:val="es-ES"/>
        </w:rPr>
        <w:fldChar w:fldCharType="end"/>
      </w:r>
      <w:r w:rsidRPr="006622AC">
        <w:rPr>
          <w:lang w:val="es-ES"/>
        </w:rPr>
        <w:tab/>
      </w:r>
      <w:r w:rsidR="006B6163" w:rsidRPr="006622AC">
        <w:rPr>
          <w:lang w:val="es-ES"/>
        </w:rPr>
        <w:t>Eso significa que, además de su publicación oficial por la OMPI en los tres idiomas de trabajo del Sistema de Madrid</w:t>
      </w:r>
      <w:r w:rsidRPr="006622AC">
        <w:rPr>
          <w:lang w:val="es-ES"/>
        </w:rPr>
        <w:t xml:space="preserve"> (</w:t>
      </w:r>
      <w:r w:rsidR="006B6163" w:rsidRPr="006622AC">
        <w:rPr>
          <w:lang w:val="es-ES"/>
        </w:rPr>
        <w:t>español, francés e inglés</w:t>
      </w:r>
      <w:r w:rsidRPr="006622AC">
        <w:rPr>
          <w:lang w:val="es-ES"/>
        </w:rPr>
        <w:t xml:space="preserve">), </w:t>
      </w:r>
      <w:r w:rsidR="006B6163" w:rsidRPr="006622AC">
        <w:rPr>
          <w:lang w:val="es-ES"/>
        </w:rPr>
        <w:t>las notas explicativas también están disponibles en los demás idiomas del MGS</w:t>
      </w:r>
      <w:r w:rsidRPr="006622AC">
        <w:rPr>
          <w:lang w:val="es-ES"/>
        </w:rPr>
        <w:t>,</w:t>
      </w:r>
      <w:r w:rsidR="006B6163" w:rsidRPr="006622AC">
        <w:rPr>
          <w:lang w:val="es-ES"/>
        </w:rPr>
        <w:t xml:space="preserve"> mejorando así la orientación que se da a los solicitantes de registros de marcas</w:t>
      </w:r>
      <w:r w:rsidRPr="006622AC">
        <w:rPr>
          <w:lang w:val="es-ES"/>
        </w:rPr>
        <w:t>.</w:t>
      </w:r>
      <w:r w:rsidR="006956D1" w:rsidRPr="006622AC">
        <w:rPr>
          <w:lang w:val="es-ES"/>
        </w:rPr>
        <w:t xml:space="preserve">  </w:t>
      </w:r>
    </w:p>
    <w:p w:rsidR="002070AB" w:rsidRPr="006622AC" w:rsidRDefault="002070AB" w:rsidP="002070AB">
      <w:pPr>
        <w:rPr>
          <w:lang w:val="es-ES"/>
        </w:rPr>
      </w:pPr>
    </w:p>
    <w:p w:rsidR="002070AB" w:rsidRPr="006622AC" w:rsidRDefault="002070AB" w:rsidP="002070AB">
      <w:pPr>
        <w:rPr>
          <w:lang w:val="es-ES"/>
        </w:rPr>
      </w:pPr>
      <w:r w:rsidRPr="006622AC">
        <w:rPr>
          <w:lang w:val="es-ES"/>
        </w:rPr>
        <w:fldChar w:fldCharType="begin"/>
      </w:r>
      <w:r w:rsidRPr="006622AC">
        <w:rPr>
          <w:lang w:val="es-ES"/>
        </w:rPr>
        <w:instrText xml:space="preserve"> AUTONUM  </w:instrText>
      </w:r>
      <w:r w:rsidRPr="006622AC">
        <w:rPr>
          <w:lang w:val="es-ES"/>
        </w:rPr>
        <w:fldChar w:fldCharType="end"/>
      </w:r>
      <w:r w:rsidRPr="006622AC">
        <w:rPr>
          <w:lang w:val="es-ES"/>
        </w:rPr>
        <w:tab/>
      </w:r>
      <w:r w:rsidR="006B6163" w:rsidRPr="006622AC">
        <w:rPr>
          <w:lang w:val="es-ES"/>
        </w:rPr>
        <w:t>Cabe recordar que las notas explicativas en relación con las clases ofrecen información muy útil para clasificar adecuadamente un producto o servicio que no figura en la lista alfabética de productos y servicios</w:t>
      </w:r>
      <w:r w:rsidRPr="006622AC">
        <w:rPr>
          <w:lang w:val="es-ES"/>
        </w:rPr>
        <w:t xml:space="preserve">. </w:t>
      </w:r>
      <w:r w:rsidR="006956D1" w:rsidRPr="006622AC">
        <w:rPr>
          <w:lang w:val="es-ES"/>
        </w:rPr>
        <w:t xml:space="preserve"> </w:t>
      </w:r>
      <w:r w:rsidR="006B6163" w:rsidRPr="006622AC">
        <w:rPr>
          <w:lang w:val="es-ES"/>
        </w:rPr>
        <w:t xml:space="preserve">Las notas explicativas complementan </w:t>
      </w:r>
      <w:r w:rsidR="00BE127D" w:rsidRPr="006622AC">
        <w:rPr>
          <w:lang w:val="es-ES"/>
        </w:rPr>
        <w:t>la información que ofrecen las indicaciones generales de los títulos de las clases de la Clasificación de Niza</w:t>
      </w:r>
      <w:r w:rsidRPr="006622AC">
        <w:rPr>
          <w:lang w:val="es-ES"/>
        </w:rPr>
        <w:t>.</w:t>
      </w:r>
    </w:p>
    <w:p w:rsidR="002070AB" w:rsidRPr="006622AC" w:rsidRDefault="002070AB" w:rsidP="002070AB">
      <w:pPr>
        <w:rPr>
          <w:lang w:val="es-ES"/>
        </w:rPr>
      </w:pPr>
    </w:p>
    <w:p w:rsidR="002070AB" w:rsidRPr="006622AC" w:rsidRDefault="00A4013B" w:rsidP="002070AB">
      <w:pPr>
        <w:rPr>
          <w:u w:val="single"/>
          <w:lang w:val="es-ES"/>
        </w:rPr>
      </w:pPr>
      <w:r w:rsidRPr="006622AC">
        <w:rPr>
          <w:u w:val="single"/>
          <w:lang w:val="es-ES"/>
        </w:rPr>
        <w:t>Visualización y búsqueda por códigos de grupos similares</w:t>
      </w:r>
    </w:p>
    <w:p w:rsidR="002070AB" w:rsidRPr="006622AC" w:rsidRDefault="002070AB" w:rsidP="002070AB">
      <w:pPr>
        <w:rPr>
          <w:lang w:val="es-ES"/>
        </w:rPr>
      </w:pPr>
    </w:p>
    <w:p w:rsidR="002070AB" w:rsidRPr="006622AC" w:rsidRDefault="002070AB" w:rsidP="002070AB">
      <w:pPr>
        <w:rPr>
          <w:lang w:val="es-ES"/>
        </w:rPr>
      </w:pPr>
      <w:r w:rsidRPr="006622AC">
        <w:rPr>
          <w:lang w:val="es-ES"/>
        </w:rPr>
        <w:fldChar w:fldCharType="begin"/>
      </w:r>
      <w:r w:rsidRPr="006622AC">
        <w:rPr>
          <w:lang w:val="es-ES"/>
        </w:rPr>
        <w:instrText xml:space="preserve"> AUTONUM  </w:instrText>
      </w:r>
      <w:r w:rsidRPr="006622AC">
        <w:rPr>
          <w:lang w:val="es-ES"/>
        </w:rPr>
        <w:fldChar w:fldCharType="end"/>
      </w:r>
      <w:r w:rsidRPr="006622AC">
        <w:rPr>
          <w:lang w:val="es-ES"/>
        </w:rPr>
        <w:tab/>
      </w:r>
      <w:r w:rsidR="00821C00" w:rsidRPr="006622AC">
        <w:rPr>
          <w:lang w:val="es-ES"/>
        </w:rPr>
        <w:t>Las Oficinas de algunos países han desarrollado sistemas taxonómicos a fin de agrupar las indicaciones de productos y servicios que se consideran “similares”.  Los grupos resultantes se codifican de  una manera específica a cada sistema taxonómico nacional.  A</w:t>
      </w:r>
      <w:r w:rsidR="005A5F05" w:rsidRPr="006622AC">
        <w:rPr>
          <w:lang w:val="es-ES"/>
        </w:rPr>
        <w:t xml:space="preserve">l llevar a cabo un examen de los </w:t>
      </w:r>
      <w:r w:rsidR="00821C00" w:rsidRPr="006622AC">
        <w:rPr>
          <w:lang w:val="es-ES"/>
        </w:rPr>
        <w:t>motivos relativos</w:t>
      </w:r>
      <w:r w:rsidR="005A5F05" w:rsidRPr="006622AC">
        <w:rPr>
          <w:lang w:val="es-ES"/>
        </w:rPr>
        <w:t xml:space="preserve">, los examinadores de marcas pueden remitirse a esos códigos, conocidos como “códigos de grupos similares” para llevar a cabo búsquedas de </w:t>
      </w:r>
      <w:r w:rsidR="00821C00" w:rsidRPr="006622AC">
        <w:rPr>
          <w:lang w:val="es-ES"/>
        </w:rPr>
        <w:t xml:space="preserve"> </w:t>
      </w:r>
      <w:r w:rsidR="005A5F05" w:rsidRPr="006622AC">
        <w:rPr>
          <w:lang w:val="es-ES"/>
        </w:rPr>
        <w:t>similitud en sus Registros de marcas nacionales.</w:t>
      </w:r>
      <w:r w:rsidR="006956D1" w:rsidRPr="006622AC">
        <w:rPr>
          <w:lang w:val="es-ES"/>
        </w:rPr>
        <w:t xml:space="preserve">  </w:t>
      </w:r>
    </w:p>
    <w:p w:rsidR="002070AB" w:rsidRPr="006622AC" w:rsidRDefault="002070AB" w:rsidP="002070AB">
      <w:pPr>
        <w:rPr>
          <w:lang w:val="es-ES"/>
        </w:rPr>
      </w:pPr>
    </w:p>
    <w:p w:rsidR="006956D1" w:rsidRPr="006622AC" w:rsidRDefault="002070AB" w:rsidP="002070AB">
      <w:pPr>
        <w:rPr>
          <w:lang w:val="es-ES"/>
        </w:rPr>
      </w:pPr>
      <w:r w:rsidRPr="006622AC">
        <w:rPr>
          <w:lang w:val="es-ES"/>
        </w:rPr>
        <w:fldChar w:fldCharType="begin"/>
      </w:r>
      <w:r w:rsidRPr="006622AC">
        <w:rPr>
          <w:lang w:val="es-ES"/>
        </w:rPr>
        <w:instrText xml:space="preserve"> AUTONUM  </w:instrText>
      </w:r>
      <w:r w:rsidRPr="006622AC">
        <w:rPr>
          <w:lang w:val="es-ES"/>
        </w:rPr>
        <w:fldChar w:fldCharType="end"/>
      </w:r>
      <w:r w:rsidRPr="006622AC">
        <w:rPr>
          <w:lang w:val="es-ES"/>
        </w:rPr>
        <w:tab/>
      </w:r>
      <w:r w:rsidR="003D19D8" w:rsidRPr="006622AC">
        <w:rPr>
          <w:lang w:val="es-ES"/>
        </w:rPr>
        <w:t>Con la nueva versión del MGS, los usuarios podrán beneficiarse del acceso a códigos nacionales de grupos similares, lo que, por ejemplo, puede facilitar la búsqueda de similitud con marcas anteriores antes de presentar una solicitud de registro</w:t>
      </w:r>
      <w:r w:rsidR="00715B9B">
        <w:rPr>
          <w:lang w:val="es-ES"/>
        </w:rPr>
        <w:t>.</w:t>
      </w:r>
      <w:r w:rsidR="006956D1" w:rsidRPr="006622AC">
        <w:rPr>
          <w:lang w:val="es-ES"/>
        </w:rPr>
        <w:t xml:space="preserve"> </w:t>
      </w:r>
    </w:p>
    <w:p w:rsidR="002070AB" w:rsidRPr="006622AC" w:rsidRDefault="002070AB" w:rsidP="002070AB">
      <w:pPr>
        <w:rPr>
          <w:lang w:val="es-ES"/>
        </w:rPr>
      </w:pPr>
      <w:r w:rsidRPr="006622AC">
        <w:rPr>
          <w:lang w:val="es-ES"/>
        </w:rPr>
        <w:lastRenderedPageBreak/>
        <w:fldChar w:fldCharType="begin"/>
      </w:r>
      <w:r w:rsidRPr="006622AC">
        <w:rPr>
          <w:lang w:val="es-ES"/>
        </w:rPr>
        <w:instrText xml:space="preserve"> AUTONUM  </w:instrText>
      </w:r>
      <w:r w:rsidRPr="006622AC">
        <w:rPr>
          <w:lang w:val="es-ES"/>
        </w:rPr>
        <w:fldChar w:fldCharType="end"/>
      </w:r>
      <w:r w:rsidR="00AD58D2" w:rsidRPr="006622AC">
        <w:rPr>
          <w:lang w:val="es-ES"/>
        </w:rPr>
        <w:tab/>
        <w:t>La Oficina Japonesa de Patentes</w:t>
      </w:r>
      <w:r w:rsidR="006956D1" w:rsidRPr="006622AC">
        <w:rPr>
          <w:lang w:val="es-ES"/>
        </w:rPr>
        <w:t xml:space="preserve"> </w:t>
      </w:r>
      <w:r w:rsidRPr="006622AC">
        <w:rPr>
          <w:lang w:val="es-ES"/>
        </w:rPr>
        <w:t>(JPO)</w:t>
      </w:r>
      <w:r w:rsidR="00AD58D2" w:rsidRPr="006622AC">
        <w:rPr>
          <w:lang w:val="es-ES"/>
        </w:rPr>
        <w:t xml:space="preserve"> y la Oficina Surcoreana de Propiedad Intelectual</w:t>
      </w:r>
      <w:r w:rsidR="006956D1" w:rsidRPr="006622AC">
        <w:rPr>
          <w:bCs/>
          <w:lang w:val="es-ES"/>
        </w:rPr>
        <w:t xml:space="preserve"> (KIPO)</w:t>
      </w:r>
      <w:r w:rsidRPr="006622AC">
        <w:rPr>
          <w:lang w:val="es-ES"/>
        </w:rPr>
        <w:t xml:space="preserve"> ha</w:t>
      </w:r>
      <w:r w:rsidR="00AD58D2" w:rsidRPr="006622AC">
        <w:rPr>
          <w:lang w:val="es-ES"/>
        </w:rPr>
        <w:t>n comunicado a la OMPI sus códigos de grupos similares para indicaciones que se consideran aceptables por una y otra Oficina;  en particular, para las indicaciones contenidas en la lista alfabética de la Clasificación de Niza, así como para las indicaciones generales extraídas de varios títulos de clases de la Clasificación de Niza.</w:t>
      </w:r>
    </w:p>
    <w:p w:rsidR="002070AB" w:rsidRPr="006622AC" w:rsidRDefault="002070AB" w:rsidP="002070AB">
      <w:pPr>
        <w:rPr>
          <w:lang w:val="es-ES"/>
        </w:rPr>
      </w:pPr>
    </w:p>
    <w:p w:rsidR="002070AB" w:rsidRPr="006622AC" w:rsidRDefault="002070AB" w:rsidP="002070AB">
      <w:pPr>
        <w:rPr>
          <w:lang w:val="es-ES"/>
        </w:rPr>
      </w:pPr>
      <w:r w:rsidRPr="006622AC">
        <w:rPr>
          <w:lang w:val="es-ES"/>
        </w:rPr>
        <w:fldChar w:fldCharType="begin"/>
      </w:r>
      <w:r w:rsidRPr="006622AC">
        <w:rPr>
          <w:lang w:val="es-ES"/>
        </w:rPr>
        <w:instrText xml:space="preserve"> AUTONUM  </w:instrText>
      </w:r>
      <w:r w:rsidRPr="006622AC">
        <w:rPr>
          <w:lang w:val="es-ES"/>
        </w:rPr>
        <w:fldChar w:fldCharType="end"/>
      </w:r>
      <w:r w:rsidR="00AD58D2" w:rsidRPr="006622AC">
        <w:rPr>
          <w:lang w:val="es-ES"/>
        </w:rPr>
        <w:tab/>
        <w:t xml:space="preserve">Los usuarios </w:t>
      </w:r>
      <w:r w:rsidR="00D949AE" w:rsidRPr="006622AC">
        <w:rPr>
          <w:lang w:val="es-ES"/>
        </w:rPr>
        <w:t>tienen</w:t>
      </w:r>
      <w:r w:rsidR="00AD58D2" w:rsidRPr="006622AC">
        <w:rPr>
          <w:lang w:val="es-ES"/>
        </w:rPr>
        <w:t xml:space="preserve"> ahora la posibilidad de </w:t>
      </w:r>
      <w:r w:rsidR="00D949AE" w:rsidRPr="006622AC">
        <w:rPr>
          <w:lang w:val="es-ES"/>
        </w:rPr>
        <w:t>visualizar</w:t>
      </w:r>
      <w:r w:rsidR="00AD58D2" w:rsidRPr="006622AC">
        <w:rPr>
          <w:lang w:val="es-ES"/>
        </w:rPr>
        <w:t xml:space="preserve"> el código de grupo similar utiliza</w:t>
      </w:r>
      <w:r w:rsidR="0002018E" w:rsidRPr="006622AC">
        <w:rPr>
          <w:lang w:val="es-ES"/>
        </w:rPr>
        <w:t>do</w:t>
      </w:r>
      <w:r w:rsidR="00AD58D2" w:rsidRPr="006622AC">
        <w:rPr>
          <w:lang w:val="es-ES"/>
        </w:rPr>
        <w:t xml:space="preserve"> por la JPO o la KIPO junto con las i</w:t>
      </w:r>
      <w:r w:rsidR="0002018E" w:rsidRPr="006622AC">
        <w:rPr>
          <w:lang w:val="es-ES"/>
        </w:rPr>
        <w:t>n</w:t>
      </w:r>
      <w:r w:rsidR="00AD58D2" w:rsidRPr="006622AC">
        <w:rPr>
          <w:lang w:val="es-ES"/>
        </w:rPr>
        <w:t>dicac</w:t>
      </w:r>
      <w:r w:rsidR="0002018E" w:rsidRPr="006622AC">
        <w:rPr>
          <w:lang w:val="es-ES"/>
        </w:rPr>
        <w:t>iones</w:t>
      </w:r>
      <w:r w:rsidR="00AD58D2" w:rsidRPr="006622AC">
        <w:rPr>
          <w:lang w:val="es-ES"/>
        </w:rPr>
        <w:t xml:space="preserve"> de productos y servicios que hayan seleccionado en el MGS.  Se mostrará así el código de grupo correspondiente utilizado por cada Oficina</w:t>
      </w:r>
      <w:r w:rsidR="0002018E" w:rsidRPr="006622AC">
        <w:rPr>
          <w:lang w:val="es-ES"/>
        </w:rPr>
        <w:t>, a condición que haya sido comunicado respecto de las indicaciones que se han seleccionado.</w:t>
      </w:r>
    </w:p>
    <w:p w:rsidR="002070AB" w:rsidRPr="006622AC" w:rsidRDefault="002070AB" w:rsidP="002070AB">
      <w:pPr>
        <w:rPr>
          <w:lang w:val="es-ES"/>
        </w:rPr>
      </w:pPr>
    </w:p>
    <w:p w:rsidR="002070AB" w:rsidRPr="006622AC" w:rsidRDefault="002070AB" w:rsidP="002070AB">
      <w:pPr>
        <w:rPr>
          <w:lang w:val="es-ES"/>
        </w:rPr>
      </w:pPr>
      <w:r w:rsidRPr="006622AC">
        <w:rPr>
          <w:lang w:val="es-ES"/>
        </w:rPr>
        <w:fldChar w:fldCharType="begin"/>
      </w:r>
      <w:r w:rsidRPr="006622AC">
        <w:rPr>
          <w:lang w:val="es-ES"/>
        </w:rPr>
        <w:instrText xml:space="preserve"> AUTONUM  </w:instrText>
      </w:r>
      <w:r w:rsidRPr="006622AC">
        <w:rPr>
          <w:lang w:val="es-ES"/>
        </w:rPr>
        <w:fldChar w:fldCharType="end"/>
      </w:r>
      <w:r w:rsidRPr="006622AC">
        <w:rPr>
          <w:lang w:val="es-ES"/>
        </w:rPr>
        <w:tab/>
      </w:r>
      <w:r w:rsidR="0002018E" w:rsidRPr="006622AC">
        <w:rPr>
          <w:lang w:val="es-ES"/>
        </w:rPr>
        <w:t xml:space="preserve">Los códigos de grupos similares también pueden utilizarse para encontrar indicaciones de productos y servicios, introduciendo un código en </w:t>
      </w:r>
      <w:r w:rsidR="00D949AE" w:rsidRPr="006622AC">
        <w:rPr>
          <w:lang w:val="es-ES"/>
        </w:rPr>
        <w:t>el campo</w:t>
      </w:r>
      <w:r w:rsidR="0002018E" w:rsidRPr="006622AC">
        <w:rPr>
          <w:lang w:val="es-ES"/>
        </w:rPr>
        <w:t xml:space="preserve"> de búsqueda del MGS. </w:t>
      </w:r>
      <w:r w:rsidRPr="006622AC">
        <w:rPr>
          <w:lang w:val="es-ES"/>
        </w:rPr>
        <w:t xml:space="preserve"> </w:t>
      </w:r>
      <w:r w:rsidR="0002018E" w:rsidRPr="006622AC">
        <w:rPr>
          <w:lang w:val="es-ES"/>
        </w:rPr>
        <w:t>Eso permite extra</w:t>
      </w:r>
      <w:r w:rsidR="00840F05" w:rsidRPr="006622AC">
        <w:rPr>
          <w:lang w:val="es-ES"/>
        </w:rPr>
        <w:t>er</w:t>
      </w:r>
      <w:r w:rsidR="0002018E" w:rsidRPr="006622AC">
        <w:rPr>
          <w:lang w:val="es-ES"/>
        </w:rPr>
        <w:t xml:space="preserve"> de la base de datos </w:t>
      </w:r>
      <w:r w:rsidR="00840F05" w:rsidRPr="006622AC">
        <w:rPr>
          <w:lang w:val="es-ES"/>
        </w:rPr>
        <w:t>indicaciones de productos y servicios que la JPO o la KIPO consideran “similares”.  Cabe señalar que la “similitud” puede vincular de forma horizontal los productos y servicios de clases distintas bajo un códi</w:t>
      </w:r>
      <w:r w:rsidR="00E72095" w:rsidRPr="006622AC">
        <w:rPr>
          <w:lang w:val="es-ES"/>
        </w:rPr>
        <w:t>go de grupo similar.</w:t>
      </w:r>
      <w:r w:rsidRPr="006622AC">
        <w:rPr>
          <w:lang w:val="es-ES"/>
        </w:rPr>
        <w:t xml:space="preserve"> </w:t>
      </w:r>
      <w:r w:rsidR="006956D1" w:rsidRPr="006622AC">
        <w:rPr>
          <w:lang w:val="es-ES"/>
        </w:rPr>
        <w:t xml:space="preserve"> </w:t>
      </w:r>
      <w:r w:rsidRPr="006622AC">
        <w:rPr>
          <w:lang w:val="es-ES"/>
        </w:rPr>
        <w:t>No</w:t>
      </w:r>
      <w:r w:rsidR="00E72095" w:rsidRPr="006622AC">
        <w:rPr>
          <w:lang w:val="es-ES"/>
        </w:rPr>
        <w:t xml:space="preserve"> obstante,</w:t>
      </w:r>
      <w:r w:rsidRPr="006622AC">
        <w:rPr>
          <w:lang w:val="es-ES"/>
        </w:rPr>
        <w:t xml:space="preserve"> </w:t>
      </w:r>
      <w:r w:rsidR="00E72095" w:rsidRPr="006622AC">
        <w:rPr>
          <w:lang w:val="es-ES"/>
        </w:rPr>
        <w:t xml:space="preserve">los usuarios </w:t>
      </w:r>
      <w:r w:rsidR="00D949AE" w:rsidRPr="006622AC">
        <w:rPr>
          <w:lang w:val="es-ES"/>
        </w:rPr>
        <w:t xml:space="preserve">pueden restringir </w:t>
      </w:r>
      <w:r w:rsidR="00E72095" w:rsidRPr="006622AC">
        <w:rPr>
          <w:lang w:val="es-ES"/>
        </w:rPr>
        <w:t>a una clase específica los resultados de la búsqueda, ya sea que guarden relación con una búsqueda basada en palabras clave o con códigos de grupos similares.</w:t>
      </w:r>
    </w:p>
    <w:p w:rsidR="00E72095" w:rsidRPr="006622AC" w:rsidRDefault="00E72095" w:rsidP="002070AB">
      <w:pPr>
        <w:rPr>
          <w:lang w:val="es-ES"/>
        </w:rPr>
      </w:pPr>
    </w:p>
    <w:p w:rsidR="002070AB" w:rsidRPr="006622AC" w:rsidRDefault="006822BF" w:rsidP="002070AB">
      <w:pPr>
        <w:rPr>
          <w:u w:val="single"/>
          <w:lang w:val="es-ES"/>
        </w:rPr>
      </w:pPr>
      <w:r w:rsidRPr="006622AC">
        <w:rPr>
          <w:u w:val="single"/>
          <w:lang w:val="es-ES"/>
        </w:rPr>
        <w:t>Búsqueda por número de base de indicaciones en la lista alfabética de la Clasificación de Niza</w:t>
      </w:r>
    </w:p>
    <w:p w:rsidR="002070AB" w:rsidRPr="006622AC" w:rsidRDefault="002070AB" w:rsidP="002070AB">
      <w:pPr>
        <w:rPr>
          <w:lang w:val="es-ES"/>
        </w:rPr>
      </w:pPr>
    </w:p>
    <w:p w:rsidR="002070AB" w:rsidRPr="006622AC" w:rsidRDefault="002070AB" w:rsidP="002070AB">
      <w:pPr>
        <w:rPr>
          <w:lang w:val="es-ES"/>
        </w:rPr>
      </w:pPr>
      <w:r w:rsidRPr="006622AC">
        <w:rPr>
          <w:lang w:val="es-ES"/>
        </w:rPr>
        <w:fldChar w:fldCharType="begin"/>
      </w:r>
      <w:r w:rsidRPr="006622AC">
        <w:rPr>
          <w:lang w:val="es-ES"/>
        </w:rPr>
        <w:instrText xml:space="preserve"> AUTONUM  </w:instrText>
      </w:r>
      <w:r w:rsidRPr="006622AC">
        <w:rPr>
          <w:lang w:val="es-ES"/>
        </w:rPr>
        <w:fldChar w:fldCharType="end"/>
      </w:r>
      <w:r w:rsidRPr="006622AC">
        <w:rPr>
          <w:lang w:val="es-ES"/>
        </w:rPr>
        <w:tab/>
      </w:r>
      <w:r w:rsidR="003D6936" w:rsidRPr="006622AC">
        <w:rPr>
          <w:lang w:val="es-ES"/>
        </w:rPr>
        <w:t>A los fines de ayudar a los usuarios a gestionar mejor sus listas de productos y servicios, el MGS muestra el “número de base” asociado a las indicaciones de la lista alfabética de la Clasificación de Niza.</w:t>
      </w:r>
    </w:p>
    <w:p w:rsidR="003D6936" w:rsidRPr="006622AC" w:rsidRDefault="003D6936" w:rsidP="002070AB">
      <w:pPr>
        <w:rPr>
          <w:lang w:val="es-ES"/>
        </w:rPr>
      </w:pPr>
    </w:p>
    <w:p w:rsidR="002070AB" w:rsidRPr="006622AC" w:rsidRDefault="002070AB" w:rsidP="002070AB">
      <w:pPr>
        <w:rPr>
          <w:lang w:val="es-ES"/>
        </w:rPr>
      </w:pPr>
      <w:r w:rsidRPr="006622AC">
        <w:rPr>
          <w:lang w:val="es-ES"/>
        </w:rPr>
        <w:fldChar w:fldCharType="begin"/>
      </w:r>
      <w:r w:rsidRPr="006622AC">
        <w:rPr>
          <w:lang w:val="es-ES"/>
        </w:rPr>
        <w:instrText xml:space="preserve"> AUTONUM  </w:instrText>
      </w:r>
      <w:r w:rsidRPr="006622AC">
        <w:rPr>
          <w:lang w:val="es-ES"/>
        </w:rPr>
        <w:fldChar w:fldCharType="end"/>
      </w:r>
      <w:r w:rsidRPr="006622AC">
        <w:rPr>
          <w:lang w:val="es-ES"/>
        </w:rPr>
        <w:tab/>
      </w:r>
      <w:r w:rsidR="003D6936" w:rsidRPr="006622AC">
        <w:rPr>
          <w:lang w:val="es-ES"/>
        </w:rPr>
        <w:t>La nueva versión del MGS permite tambi</w:t>
      </w:r>
      <w:r w:rsidR="00D949AE" w:rsidRPr="006622AC">
        <w:rPr>
          <w:lang w:val="es-ES"/>
        </w:rPr>
        <w:t>én buscar indicaciones de la C</w:t>
      </w:r>
      <w:r w:rsidR="003D6936" w:rsidRPr="006622AC">
        <w:rPr>
          <w:lang w:val="es-ES"/>
        </w:rPr>
        <w:t xml:space="preserve">lasificación de Niza por el número de base.  Al introducir un número de base de la Clasificación de Niza en el campo de búsqueda se obtiene </w:t>
      </w:r>
      <w:r w:rsidR="00E77122">
        <w:rPr>
          <w:lang w:val="es-ES"/>
        </w:rPr>
        <w:t>u</w:t>
      </w:r>
      <w:r w:rsidR="003D6936" w:rsidRPr="006622AC">
        <w:rPr>
          <w:lang w:val="es-ES"/>
        </w:rPr>
        <w:t>na lista de resultados que contiene todas las indicaciones sinónimas guardadas con un determinado número de base.</w:t>
      </w:r>
      <w:r w:rsidR="006956D1" w:rsidRPr="006622AC">
        <w:rPr>
          <w:lang w:val="es-ES"/>
        </w:rPr>
        <w:t xml:space="preserve">  </w:t>
      </w:r>
    </w:p>
    <w:p w:rsidR="002070AB" w:rsidRPr="006622AC" w:rsidRDefault="002070AB" w:rsidP="002070AB">
      <w:pPr>
        <w:rPr>
          <w:lang w:val="es-ES"/>
        </w:rPr>
      </w:pPr>
    </w:p>
    <w:p w:rsidR="002070AB" w:rsidRPr="006622AC" w:rsidRDefault="002070AB" w:rsidP="002070AB">
      <w:pPr>
        <w:rPr>
          <w:lang w:val="es-ES"/>
        </w:rPr>
      </w:pPr>
      <w:r w:rsidRPr="006622AC">
        <w:rPr>
          <w:lang w:val="es-ES"/>
        </w:rPr>
        <w:fldChar w:fldCharType="begin"/>
      </w:r>
      <w:r w:rsidRPr="006622AC">
        <w:rPr>
          <w:lang w:val="es-ES"/>
        </w:rPr>
        <w:instrText xml:space="preserve"> AUTONUM  </w:instrText>
      </w:r>
      <w:r w:rsidRPr="006622AC">
        <w:rPr>
          <w:lang w:val="es-ES"/>
        </w:rPr>
        <w:fldChar w:fldCharType="end"/>
      </w:r>
      <w:r w:rsidR="003D6936" w:rsidRPr="006622AC">
        <w:rPr>
          <w:lang w:val="es-ES"/>
        </w:rPr>
        <w:tab/>
        <w:t>P</w:t>
      </w:r>
      <w:r w:rsidRPr="006622AC">
        <w:rPr>
          <w:lang w:val="es-ES"/>
        </w:rPr>
        <w:t>or</w:t>
      </w:r>
      <w:r w:rsidR="003D6936" w:rsidRPr="006622AC">
        <w:rPr>
          <w:lang w:val="es-ES"/>
        </w:rPr>
        <w:t xml:space="preserve"> ejemplo</w:t>
      </w:r>
      <w:r w:rsidRPr="006622AC">
        <w:rPr>
          <w:lang w:val="es-ES"/>
        </w:rPr>
        <w:t>,</w:t>
      </w:r>
      <w:r w:rsidR="003D6936" w:rsidRPr="006622AC">
        <w:rPr>
          <w:lang w:val="es-ES"/>
        </w:rPr>
        <w:t xml:space="preserve"> introduciendo el número de base</w:t>
      </w:r>
      <w:r w:rsidRPr="006622AC">
        <w:rPr>
          <w:lang w:val="es-ES"/>
        </w:rPr>
        <w:t xml:space="preserve"> </w:t>
      </w:r>
      <w:r w:rsidR="006956D1" w:rsidRPr="006622AC">
        <w:rPr>
          <w:lang w:val="es-ES"/>
        </w:rPr>
        <w:t>“300059”</w:t>
      </w:r>
      <w:r w:rsidRPr="006622AC">
        <w:rPr>
          <w:lang w:val="es-ES"/>
        </w:rPr>
        <w:t xml:space="preserve"> </w:t>
      </w:r>
      <w:r w:rsidR="003D6936" w:rsidRPr="006622AC">
        <w:rPr>
          <w:lang w:val="es-ES"/>
        </w:rPr>
        <w:t xml:space="preserve">en el </w:t>
      </w:r>
      <w:r w:rsidR="00D949AE" w:rsidRPr="006622AC">
        <w:rPr>
          <w:lang w:val="es-ES"/>
        </w:rPr>
        <w:t>campo</w:t>
      </w:r>
      <w:r w:rsidR="003D6936" w:rsidRPr="006622AC">
        <w:rPr>
          <w:lang w:val="es-ES"/>
        </w:rPr>
        <w:t xml:space="preserve"> de búsqueda</w:t>
      </w:r>
      <w:r w:rsidR="00587E47" w:rsidRPr="006622AC">
        <w:rPr>
          <w:lang w:val="es-ES"/>
        </w:rPr>
        <w:t xml:space="preserve"> en inglés</w:t>
      </w:r>
      <w:r w:rsidR="003D6936" w:rsidRPr="006622AC">
        <w:rPr>
          <w:lang w:val="es-ES"/>
        </w:rPr>
        <w:t xml:space="preserve"> se obtiene </w:t>
      </w:r>
      <w:r w:rsidR="00587E47" w:rsidRPr="006622AC">
        <w:rPr>
          <w:lang w:val="es-ES"/>
        </w:rPr>
        <w:t>el</w:t>
      </w:r>
      <w:r w:rsidR="003D6936" w:rsidRPr="006622AC">
        <w:rPr>
          <w:lang w:val="es-ES"/>
        </w:rPr>
        <w:t xml:space="preserve"> siguiente resultado</w:t>
      </w:r>
      <w:r w:rsidR="00587E47" w:rsidRPr="006622AC">
        <w:rPr>
          <w:lang w:val="es-ES"/>
        </w:rPr>
        <w:t xml:space="preserve"> (Nota del traductor:  en español, </w:t>
      </w:r>
      <w:r w:rsidR="00FE0979" w:rsidRPr="006622AC">
        <w:rPr>
          <w:lang w:val="es-ES"/>
        </w:rPr>
        <w:t xml:space="preserve">cada una de </w:t>
      </w:r>
      <w:r w:rsidR="00587E47" w:rsidRPr="006622AC">
        <w:rPr>
          <w:lang w:val="es-ES"/>
        </w:rPr>
        <w:t xml:space="preserve">las cuatro expresiones se traduce por “harina de maíz”) </w:t>
      </w:r>
      <w:r w:rsidRPr="006622AC">
        <w:rPr>
          <w:lang w:val="es-ES"/>
        </w:rPr>
        <w:t>:</w:t>
      </w:r>
      <w:r w:rsidR="006956D1" w:rsidRPr="006622AC">
        <w:rPr>
          <w:lang w:val="es-ES"/>
        </w:rPr>
        <w:t xml:space="preserve">  </w:t>
      </w:r>
    </w:p>
    <w:p w:rsidR="002070AB" w:rsidRPr="006622AC" w:rsidRDefault="002070AB" w:rsidP="002070AB">
      <w:pPr>
        <w:rPr>
          <w:lang w:val="es-ES"/>
        </w:rPr>
      </w:pPr>
    </w:p>
    <w:p w:rsidR="002070AB" w:rsidRPr="00EB7A3F" w:rsidRDefault="002070AB" w:rsidP="006956D1">
      <w:pPr>
        <w:numPr>
          <w:ilvl w:val="0"/>
          <w:numId w:val="7"/>
        </w:numPr>
        <w:ind w:left="1134" w:hanging="567"/>
        <w:rPr>
          <w:i/>
          <w:lang w:val="es-ES"/>
        </w:rPr>
      </w:pPr>
      <w:r w:rsidRPr="00EB7A3F">
        <w:rPr>
          <w:i/>
          <w:lang w:val="es-ES"/>
        </w:rPr>
        <w:t>corn flour</w:t>
      </w:r>
    </w:p>
    <w:p w:rsidR="002070AB" w:rsidRPr="00EB7A3F" w:rsidRDefault="002070AB" w:rsidP="006956D1">
      <w:pPr>
        <w:numPr>
          <w:ilvl w:val="0"/>
          <w:numId w:val="7"/>
        </w:numPr>
        <w:ind w:left="1134" w:hanging="567"/>
        <w:rPr>
          <w:i/>
          <w:lang w:val="es-ES"/>
        </w:rPr>
      </w:pPr>
      <w:r w:rsidRPr="00EB7A3F">
        <w:rPr>
          <w:i/>
          <w:lang w:val="es-ES"/>
        </w:rPr>
        <w:t>corn meal</w:t>
      </w:r>
    </w:p>
    <w:p w:rsidR="002070AB" w:rsidRPr="00EB7A3F" w:rsidRDefault="002070AB" w:rsidP="006956D1">
      <w:pPr>
        <w:numPr>
          <w:ilvl w:val="0"/>
          <w:numId w:val="7"/>
        </w:numPr>
        <w:ind w:left="1134" w:hanging="567"/>
        <w:rPr>
          <w:i/>
          <w:lang w:val="es-ES"/>
        </w:rPr>
      </w:pPr>
      <w:r w:rsidRPr="00EB7A3F">
        <w:rPr>
          <w:i/>
          <w:lang w:val="es-ES"/>
        </w:rPr>
        <w:t xml:space="preserve">maize flour </w:t>
      </w:r>
    </w:p>
    <w:p w:rsidR="002070AB" w:rsidRPr="00EB7A3F" w:rsidRDefault="002070AB" w:rsidP="006956D1">
      <w:pPr>
        <w:numPr>
          <w:ilvl w:val="0"/>
          <w:numId w:val="7"/>
        </w:numPr>
        <w:ind w:left="1134" w:hanging="567"/>
        <w:rPr>
          <w:i/>
          <w:lang w:val="es-ES"/>
        </w:rPr>
      </w:pPr>
      <w:r w:rsidRPr="00EB7A3F">
        <w:rPr>
          <w:i/>
          <w:lang w:val="es-ES"/>
        </w:rPr>
        <w:t>maize meal</w:t>
      </w:r>
    </w:p>
    <w:p w:rsidR="002070AB" w:rsidRPr="006622AC" w:rsidRDefault="002070AB" w:rsidP="002070AB">
      <w:pPr>
        <w:rPr>
          <w:u w:val="single"/>
          <w:lang w:val="es-ES"/>
        </w:rPr>
      </w:pPr>
    </w:p>
    <w:p w:rsidR="002070AB" w:rsidRPr="006622AC" w:rsidRDefault="00FE0979" w:rsidP="002070AB">
      <w:pPr>
        <w:rPr>
          <w:u w:val="single"/>
          <w:lang w:val="es-ES"/>
        </w:rPr>
      </w:pPr>
      <w:r w:rsidRPr="006622AC">
        <w:rPr>
          <w:u w:val="single"/>
          <w:lang w:val="es-ES"/>
        </w:rPr>
        <w:t>Actualización de los módulos AYUDA/</w:t>
      </w:r>
      <w:r w:rsidR="002070AB" w:rsidRPr="006622AC">
        <w:rPr>
          <w:u w:val="single"/>
          <w:lang w:val="es-ES"/>
        </w:rPr>
        <w:t xml:space="preserve"> FAQ </w:t>
      </w:r>
    </w:p>
    <w:p w:rsidR="002070AB" w:rsidRPr="006622AC" w:rsidRDefault="002070AB" w:rsidP="002070AB">
      <w:pPr>
        <w:rPr>
          <w:lang w:val="es-ES"/>
        </w:rPr>
      </w:pPr>
    </w:p>
    <w:p w:rsidR="002070AB" w:rsidRPr="006622AC" w:rsidRDefault="002070AB" w:rsidP="002070AB">
      <w:pPr>
        <w:rPr>
          <w:lang w:val="es-ES"/>
        </w:rPr>
      </w:pPr>
      <w:r w:rsidRPr="006622AC">
        <w:rPr>
          <w:lang w:val="es-ES"/>
        </w:rPr>
        <w:fldChar w:fldCharType="begin"/>
      </w:r>
      <w:r w:rsidRPr="006622AC">
        <w:rPr>
          <w:lang w:val="es-ES"/>
        </w:rPr>
        <w:instrText xml:space="preserve"> AUTONUM  </w:instrText>
      </w:r>
      <w:r w:rsidRPr="006622AC">
        <w:rPr>
          <w:lang w:val="es-ES"/>
        </w:rPr>
        <w:fldChar w:fldCharType="end"/>
      </w:r>
      <w:r w:rsidRPr="006622AC">
        <w:rPr>
          <w:lang w:val="es-ES"/>
        </w:rPr>
        <w:tab/>
      </w:r>
      <w:r w:rsidR="00FE0979" w:rsidRPr="006622AC">
        <w:rPr>
          <w:lang w:val="es-ES"/>
        </w:rPr>
        <w:t xml:space="preserve">Dada la introducción de mejoras y nuevas </w:t>
      </w:r>
      <w:r w:rsidR="00F31485">
        <w:rPr>
          <w:lang w:val="es-ES"/>
        </w:rPr>
        <w:t>características</w:t>
      </w:r>
      <w:r w:rsidR="00FE0979" w:rsidRPr="006622AC">
        <w:rPr>
          <w:lang w:val="es-ES"/>
        </w:rPr>
        <w:t xml:space="preserve"> en la nueva versión del MGS, en colaboración con las Oficinas interesadas, se han actualizado los módulos de AYUDA y FAQ en todos los idiomas que emplea el MGS en la actualidad, aumentando así la posibilidad de acceso a la información correspondiente por parte de todos los usuarios del MGS.</w:t>
      </w:r>
      <w:r w:rsidR="006956D1" w:rsidRPr="006622AC">
        <w:rPr>
          <w:lang w:val="es-ES"/>
        </w:rPr>
        <w:t xml:space="preserve">  </w:t>
      </w:r>
    </w:p>
    <w:p w:rsidR="002070AB" w:rsidRPr="006622AC" w:rsidRDefault="002070AB" w:rsidP="002070AB">
      <w:pPr>
        <w:rPr>
          <w:lang w:val="es-ES"/>
        </w:rPr>
      </w:pPr>
    </w:p>
    <w:p w:rsidR="002070AB" w:rsidRPr="006622AC" w:rsidRDefault="005E2A3C" w:rsidP="002070AB">
      <w:pPr>
        <w:rPr>
          <w:u w:val="single"/>
          <w:lang w:val="es-ES"/>
        </w:rPr>
      </w:pPr>
      <w:r w:rsidRPr="006622AC">
        <w:rPr>
          <w:u w:val="single"/>
          <w:lang w:val="es-ES"/>
        </w:rPr>
        <w:t xml:space="preserve">Lista ampliada de </w:t>
      </w:r>
      <w:r w:rsidR="004C034C">
        <w:rPr>
          <w:u w:val="single"/>
          <w:lang w:val="es-ES"/>
        </w:rPr>
        <w:t xml:space="preserve">las </w:t>
      </w:r>
      <w:r w:rsidR="004C034C" w:rsidRPr="004C034C">
        <w:rPr>
          <w:u w:val="single"/>
          <w:lang w:val="es-ES"/>
        </w:rPr>
        <w:t xml:space="preserve">Partes Contratantes </w:t>
      </w:r>
      <w:r w:rsidRPr="006622AC">
        <w:rPr>
          <w:u w:val="single"/>
          <w:lang w:val="es-ES"/>
        </w:rPr>
        <w:t xml:space="preserve">participantes en el </w:t>
      </w:r>
      <w:r w:rsidR="002070AB" w:rsidRPr="006622AC">
        <w:rPr>
          <w:u w:val="single"/>
          <w:lang w:val="es-ES"/>
        </w:rPr>
        <w:t>MGS</w:t>
      </w:r>
    </w:p>
    <w:p w:rsidR="002070AB" w:rsidRPr="006622AC" w:rsidRDefault="002070AB" w:rsidP="002070AB">
      <w:pPr>
        <w:rPr>
          <w:lang w:val="es-ES"/>
        </w:rPr>
      </w:pPr>
    </w:p>
    <w:p w:rsidR="002070AB" w:rsidRPr="006622AC" w:rsidRDefault="002070AB" w:rsidP="002070AB">
      <w:pPr>
        <w:rPr>
          <w:lang w:val="es-ES"/>
        </w:rPr>
      </w:pPr>
      <w:r w:rsidRPr="006622AC">
        <w:rPr>
          <w:lang w:val="es-ES"/>
        </w:rPr>
        <w:fldChar w:fldCharType="begin"/>
      </w:r>
      <w:r w:rsidRPr="006622AC">
        <w:rPr>
          <w:lang w:val="es-ES"/>
        </w:rPr>
        <w:instrText xml:space="preserve"> AUTONUM  </w:instrText>
      </w:r>
      <w:r w:rsidRPr="006622AC">
        <w:rPr>
          <w:lang w:val="es-ES"/>
        </w:rPr>
        <w:fldChar w:fldCharType="end"/>
      </w:r>
      <w:r w:rsidR="005E2A3C" w:rsidRPr="006622AC">
        <w:rPr>
          <w:lang w:val="es-ES"/>
        </w:rPr>
        <w:tab/>
        <w:t>El número de Partes Contratantes del Sistema de Madrid cuyas oficinas intercambian información relativa a la aceptación co</w:t>
      </w:r>
      <w:r w:rsidR="00411900" w:rsidRPr="006622AC">
        <w:rPr>
          <w:lang w:val="es-ES"/>
        </w:rPr>
        <w:t>n la OMPI</w:t>
      </w:r>
      <w:r w:rsidR="005E2A3C" w:rsidRPr="006622AC">
        <w:rPr>
          <w:lang w:val="es-ES"/>
        </w:rPr>
        <w:t xml:space="preserve"> a los fines del MGS, ha aumentado a 26</w:t>
      </w:r>
      <w:r w:rsidR="004C034C">
        <w:rPr>
          <w:lang w:val="es-ES"/>
        </w:rPr>
        <w:t> </w:t>
      </w:r>
      <w:r w:rsidR="005E2A3C" w:rsidRPr="006622AC">
        <w:rPr>
          <w:lang w:val="es-ES"/>
        </w:rPr>
        <w:t>Partes Contratantes.</w:t>
      </w:r>
    </w:p>
    <w:p w:rsidR="004C034C" w:rsidRDefault="004C034C" w:rsidP="002070AB">
      <w:pPr>
        <w:rPr>
          <w:lang w:val="es-ES"/>
        </w:rPr>
      </w:pPr>
      <w:r>
        <w:rPr>
          <w:lang w:val="es-ES"/>
        </w:rPr>
        <w:br w:type="page"/>
      </w:r>
    </w:p>
    <w:p w:rsidR="002070AB" w:rsidRPr="006622AC" w:rsidRDefault="002070AB" w:rsidP="002070AB">
      <w:pPr>
        <w:rPr>
          <w:lang w:val="es-ES"/>
        </w:rPr>
      </w:pPr>
      <w:r w:rsidRPr="006622AC">
        <w:rPr>
          <w:lang w:val="es-ES"/>
        </w:rPr>
        <w:lastRenderedPageBreak/>
        <w:fldChar w:fldCharType="begin"/>
      </w:r>
      <w:r w:rsidRPr="006622AC">
        <w:rPr>
          <w:lang w:val="es-ES"/>
        </w:rPr>
        <w:instrText xml:space="preserve"> AUTONUM  </w:instrText>
      </w:r>
      <w:r w:rsidRPr="006622AC">
        <w:rPr>
          <w:lang w:val="es-ES"/>
        </w:rPr>
        <w:fldChar w:fldCharType="end"/>
      </w:r>
      <w:r w:rsidR="00411900" w:rsidRPr="006622AC">
        <w:rPr>
          <w:lang w:val="es-ES"/>
        </w:rPr>
        <w:tab/>
        <w:t>La información relativa a la aceptación comunicada por la oficina de una Parte Contratante se utiliza en la función exclusiva del MGS “Verificar la aceptación de la Parte Contratante designada”</w:t>
      </w:r>
      <w:r w:rsidRPr="006622AC">
        <w:rPr>
          <w:lang w:val="es-ES"/>
        </w:rPr>
        <w:t xml:space="preserve">.  </w:t>
      </w:r>
      <w:r w:rsidR="00411900" w:rsidRPr="006622AC">
        <w:rPr>
          <w:lang w:val="es-ES"/>
        </w:rPr>
        <w:t>Esa función tiene por finalidad específica ayudar a los solicitantes de registros de marcas a evitar denegaciones provisionales por las oficinas de las Partes Contratantes designadas en las solicitudes internacionales.</w:t>
      </w:r>
      <w:r w:rsidR="007E1FCB" w:rsidRPr="006622AC">
        <w:rPr>
          <w:lang w:val="es-ES"/>
        </w:rPr>
        <w:t xml:space="preserve"> </w:t>
      </w:r>
    </w:p>
    <w:p w:rsidR="007E1FCB" w:rsidRPr="006622AC" w:rsidRDefault="007E1FCB" w:rsidP="002070AB">
      <w:pPr>
        <w:rPr>
          <w:lang w:val="es-ES"/>
        </w:rPr>
      </w:pPr>
    </w:p>
    <w:p w:rsidR="002070AB" w:rsidRPr="006622AC" w:rsidRDefault="007E1FCB" w:rsidP="002070AB">
      <w:pPr>
        <w:rPr>
          <w:lang w:val="es-ES"/>
        </w:rPr>
      </w:pPr>
      <w:r w:rsidRPr="006622AC">
        <w:rPr>
          <w:lang w:val="es-ES"/>
        </w:rPr>
        <w:fldChar w:fldCharType="begin"/>
      </w:r>
      <w:r w:rsidRPr="006622AC">
        <w:rPr>
          <w:lang w:val="es-ES"/>
        </w:rPr>
        <w:instrText xml:space="preserve"> AUTONUM  </w:instrText>
      </w:r>
      <w:r w:rsidRPr="006622AC">
        <w:rPr>
          <w:lang w:val="es-ES"/>
        </w:rPr>
        <w:fldChar w:fldCharType="end"/>
      </w:r>
      <w:r w:rsidRPr="006622AC">
        <w:rPr>
          <w:lang w:val="es-ES"/>
        </w:rPr>
        <w:tab/>
      </w:r>
      <w:r w:rsidR="00765CB8" w:rsidRPr="006622AC">
        <w:rPr>
          <w:lang w:val="es-ES"/>
        </w:rPr>
        <w:t>La función</w:t>
      </w:r>
      <w:r w:rsidR="002070AB" w:rsidRPr="006622AC">
        <w:rPr>
          <w:lang w:val="es-ES"/>
        </w:rPr>
        <w:t xml:space="preserve"> </w:t>
      </w:r>
      <w:r w:rsidRPr="006622AC">
        <w:rPr>
          <w:lang w:val="es-ES"/>
        </w:rPr>
        <w:t>“</w:t>
      </w:r>
      <w:r w:rsidR="00765CB8" w:rsidRPr="006622AC">
        <w:rPr>
          <w:lang w:val="es-ES"/>
        </w:rPr>
        <w:t>Verificar la aceptación de la Parte Contratante designada</w:t>
      </w:r>
      <w:r w:rsidRPr="006622AC">
        <w:rPr>
          <w:lang w:val="es-ES"/>
        </w:rPr>
        <w:t>”</w:t>
      </w:r>
      <w:r w:rsidR="002070AB" w:rsidRPr="006622AC">
        <w:rPr>
          <w:lang w:val="es-ES"/>
        </w:rPr>
        <w:t xml:space="preserve"> </w:t>
      </w:r>
      <w:r w:rsidR="00765CB8" w:rsidRPr="006622AC">
        <w:rPr>
          <w:lang w:val="es-ES"/>
        </w:rPr>
        <w:t>no solo proporcionar información acerca de si las indicaciones propuestas en el MGS serían aceptadas en las Partes Contratantes, antes bien, y lo que es más importante, permite saber qué indicaciones serían rechazadas en dichas Partes.  La oficina de una Parte Contratante puede rechazar indicaciones de productos o servicios por razones diversas, como por ejemplo, un alto grado de especificidad exigido</w:t>
      </w:r>
      <w:r w:rsidR="002070AB" w:rsidRPr="006622AC">
        <w:rPr>
          <w:lang w:val="es-ES"/>
        </w:rPr>
        <w:t xml:space="preserve">, </w:t>
      </w:r>
      <w:r w:rsidR="00765CB8" w:rsidRPr="006622AC">
        <w:rPr>
          <w:lang w:val="es-ES"/>
        </w:rPr>
        <w:t xml:space="preserve"> leyes o prácticas nacionales específicas o acuerdos bilaterales sobre indicaciones geográficas</w:t>
      </w:r>
      <w:r w:rsidR="002070AB" w:rsidRPr="006622AC">
        <w:rPr>
          <w:lang w:val="es-ES"/>
        </w:rPr>
        <w:t>.</w:t>
      </w:r>
      <w:r w:rsidRPr="006622AC">
        <w:rPr>
          <w:lang w:val="es-ES"/>
        </w:rPr>
        <w:t xml:space="preserve">  </w:t>
      </w:r>
    </w:p>
    <w:p w:rsidR="002070AB" w:rsidRPr="006622AC" w:rsidRDefault="002070AB" w:rsidP="002070AB">
      <w:pPr>
        <w:rPr>
          <w:i/>
          <w:lang w:val="es-ES"/>
        </w:rPr>
      </w:pPr>
    </w:p>
    <w:p w:rsidR="002070AB" w:rsidRPr="006622AC" w:rsidRDefault="002070AB" w:rsidP="002070AB">
      <w:pPr>
        <w:rPr>
          <w:lang w:val="es-ES"/>
        </w:rPr>
      </w:pPr>
      <w:r w:rsidRPr="006622AC">
        <w:rPr>
          <w:lang w:val="es-ES"/>
        </w:rPr>
        <w:fldChar w:fldCharType="begin"/>
      </w:r>
      <w:r w:rsidRPr="006622AC">
        <w:rPr>
          <w:lang w:val="es-ES"/>
        </w:rPr>
        <w:instrText xml:space="preserve"> AUTONUM  </w:instrText>
      </w:r>
      <w:r w:rsidRPr="006622AC">
        <w:rPr>
          <w:lang w:val="es-ES"/>
        </w:rPr>
        <w:fldChar w:fldCharType="end"/>
      </w:r>
      <w:r w:rsidRPr="006622AC">
        <w:rPr>
          <w:lang w:val="es-ES"/>
        </w:rPr>
        <w:tab/>
      </w:r>
      <w:r w:rsidR="00765CB8" w:rsidRPr="006622AC">
        <w:rPr>
          <w:lang w:val="es-ES"/>
        </w:rPr>
        <w:t>Al mes de enero de</w:t>
      </w:r>
      <w:r w:rsidR="007E1FCB" w:rsidRPr="006622AC">
        <w:rPr>
          <w:lang w:val="es-ES"/>
        </w:rPr>
        <w:t> </w:t>
      </w:r>
      <w:r w:rsidRPr="006622AC">
        <w:rPr>
          <w:lang w:val="es-ES"/>
        </w:rPr>
        <w:t>2016,</w:t>
      </w:r>
      <w:r w:rsidR="00765CB8" w:rsidRPr="006622AC">
        <w:rPr>
          <w:lang w:val="es-ES"/>
        </w:rPr>
        <w:t xml:space="preserve"> ésta es la lista de Partes Contratantes </w:t>
      </w:r>
      <w:r w:rsidR="00E77122">
        <w:rPr>
          <w:lang w:val="es-ES"/>
        </w:rPr>
        <w:t xml:space="preserve">participando </w:t>
      </w:r>
      <w:r w:rsidR="00765CB8" w:rsidRPr="006622AC">
        <w:rPr>
          <w:lang w:val="es-ES"/>
        </w:rPr>
        <w:t xml:space="preserve">en el </w:t>
      </w:r>
      <w:r w:rsidRPr="006622AC">
        <w:rPr>
          <w:lang w:val="es-ES"/>
        </w:rPr>
        <w:t>MGS:</w:t>
      </w:r>
    </w:p>
    <w:p w:rsidR="002070AB" w:rsidRPr="006622AC" w:rsidRDefault="002070AB" w:rsidP="002070AB">
      <w:pPr>
        <w:rPr>
          <w:lang w:val="es-ES"/>
        </w:rPr>
      </w:pPr>
    </w:p>
    <w:tbl>
      <w:tblPr>
        <w:tblW w:w="9319" w:type="dxa"/>
        <w:tblInd w:w="93" w:type="dxa"/>
        <w:tblLook w:val="04A0" w:firstRow="1" w:lastRow="0" w:firstColumn="1" w:lastColumn="0" w:noHBand="0" w:noVBand="1"/>
      </w:tblPr>
      <w:tblGrid>
        <w:gridCol w:w="3134"/>
        <w:gridCol w:w="567"/>
        <w:gridCol w:w="1093"/>
        <w:gridCol w:w="3476"/>
        <w:gridCol w:w="1049"/>
      </w:tblGrid>
      <w:tr w:rsidR="00936730" w:rsidRPr="006622AC" w:rsidTr="00663961">
        <w:trPr>
          <w:trHeight w:val="36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936730">
            <w:pPr>
              <w:rPr>
                <w:lang w:val="es-ES"/>
              </w:rPr>
            </w:pPr>
            <w:r w:rsidRPr="006622AC">
              <w:rPr>
                <w:lang w:val="es-ES"/>
              </w:rPr>
              <w:t>Alemania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EF0B67">
            <w:pPr>
              <w:rPr>
                <w:lang w:val="es-ES"/>
              </w:rPr>
            </w:pPr>
            <w:r w:rsidRPr="006622AC">
              <w:rPr>
                <w:lang w:val="es-ES"/>
              </w:rPr>
              <w:t>DE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2070AB">
            <w:pPr>
              <w:rPr>
                <w:lang w:val="es-ES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Japón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JP</w:t>
            </w:r>
          </w:p>
        </w:tc>
      </w:tr>
      <w:tr w:rsidR="00936730" w:rsidRPr="006622AC" w:rsidTr="00663961">
        <w:trPr>
          <w:trHeight w:val="36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Austria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AT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2070AB">
            <w:pPr>
              <w:rPr>
                <w:lang w:val="es-ES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FC6152">
            <w:pPr>
              <w:rPr>
                <w:lang w:val="es-ES"/>
              </w:rPr>
            </w:pPr>
            <w:r w:rsidRPr="006622AC">
              <w:rPr>
                <w:lang w:val="es-ES"/>
              </w:rPr>
              <w:t>México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MX</w:t>
            </w:r>
          </w:p>
        </w:tc>
      </w:tr>
      <w:tr w:rsidR="00936730" w:rsidRPr="006622AC" w:rsidTr="00663961">
        <w:trPr>
          <w:trHeight w:val="36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Belarús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936730">
            <w:pPr>
              <w:rPr>
                <w:lang w:val="es-ES"/>
              </w:rPr>
            </w:pPr>
            <w:r w:rsidRPr="006622AC">
              <w:rPr>
                <w:lang w:val="es-ES"/>
              </w:rPr>
              <w:t>BY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2070AB">
            <w:pPr>
              <w:rPr>
                <w:lang w:val="es-ES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Noruega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NO</w:t>
            </w:r>
          </w:p>
        </w:tc>
      </w:tr>
      <w:tr w:rsidR="00936730" w:rsidRPr="006622AC" w:rsidTr="00663961">
        <w:trPr>
          <w:trHeight w:val="36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Benelux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BX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2070AB">
            <w:pPr>
              <w:rPr>
                <w:lang w:val="es-ES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FC6152">
            <w:pPr>
              <w:rPr>
                <w:lang w:val="es-ES"/>
              </w:rPr>
            </w:pPr>
            <w:r w:rsidRPr="006622AC">
              <w:rPr>
                <w:lang w:val="es-ES"/>
              </w:rPr>
              <w:t>Portugal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PT</w:t>
            </w:r>
          </w:p>
        </w:tc>
      </w:tr>
      <w:tr w:rsidR="00936730" w:rsidRPr="006622AC" w:rsidTr="00663961">
        <w:trPr>
          <w:trHeight w:val="36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China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CN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2070AB">
            <w:pPr>
              <w:rPr>
                <w:lang w:val="es-ES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FC6152">
            <w:pPr>
              <w:rPr>
                <w:lang w:val="es-ES"/>
              </w:rPr>
            </w:pPr>
            <w:r w:rsidRPr="006622AC">
              <w:rPr>
                <w:lang w:val="es-ES"/>
              </w:rPr>
              <w:t>Reino Unido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GB</w:t>
            </w:r>
          </w:p>
        </w:tc>
      </w:tr>
      <w:tr w:rsidR="00936730" w:rsidRPr="006622AC" w:rsidTr="00663961">
        <w:trPr>
          <w:trHeight w:val="36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FC6152">
            <w:pPr>
              <w:rPr>
                <w:lang w:val="es-ES"/>
              </w:rPr>
            </w:pPr>
            <w:r w:rsidRPr="006622AC">
              <w:rPr>
                <w:lang w:val="es-ES"/>
              </w:rPr>
              <w:t>Colombia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CO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2070AB">
            <w:pPr>
              <w:rPr>
                <w:lang w:val="es-ES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FC6152">
            <w:pPr>
              <w:rPr>
                <w:lang w:val="es-ES"/>
              </w:rPr>
            </w:pPr>
            <w:r w:rsidRPr="006622AC">
              <w:rPr>
                <w:lang w:val="es-ES"/>
              </w:rPr>
              <w:t>República de Corea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KR</w:t>
            </w:r>
          </w:p>
        </w:tc>
      </w:tr>
      <w:tr w:rsidR="00936730" w:rsidRPr="006622AC" w:rsidTr="00663961">
        <w:trPr>
          <w:trHeight w:val="36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Dinamarca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936730">
            <w:pPr>
              <w:rPr>
                <w:lang w:val="es-ES"/>
              </w:rPr>
            </w:pPr>
            <w:r w:rsidRPr="006622AC">
              <w:rPr>
                <w:lang w:val="es-ES"/>
              </w:rPr>
              <w:t>DK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2070AB">
            <w:pPr>
              <w:rPr>
                <w:lang w:val="es-ES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663961">
            <w:pPr>
              <w:rPr>
                <w:lang w:val="es-ES"/>
              </w:rPr>
            </w:pPr>
            <w:r w:rsidRPr="006622AC">
              <w:rPr>
                <w:lang w:val="es-ES"/>
              </w:rPr>
              <w:t>Serbia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RS</w:t>
            </w:r>
          </w:p>
        </w:tc>
      </w:tr>
      <w:tr w:rsidR="00936730" w:rsidRPr="006622AC" w:rsidTr="00663961">
        <w:trPr>
          <w:trHeight w:val="36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936730">
            <w:pPr>
              <w:rPr>
                <w:lang w:val="es-ES"/>
              </w:rPr>
            </w:pPr>
            <w:r w:rsidRPr="006622AC">
              <w:rPr>
                <w:lang w:val="es-ES"/>
              </w:rPr>
              <w:t>Estados Unidos de América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US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2070AB">
            <w:pPr>
              <w:rPr>
                <w:lang w:val="es-ES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FC6152">
            <w:pPr>
              <w:rPr>
                <w:lang w:val="es-ES"/>
              </w:rPr>
            </w:pPr>
            <w:r w:rsidRPr="006622AC">
              <w:rPr>
                <w:lang w:val="es-ES"/>
              </w:rPr>
              <w:t>Singapur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SG</w:t>
            </w:r>
          </w:p>
        </w:tc>
      </w:tr>
      <w:tr w:rsidR="00936730" w:rsidRPr="006622AC" w:rsidTr="00663961">
        <w:trPr>
          <w:trHeight w:val="36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Eston</w:t>
            </w:r>
            <w:r w:rsidR="00936730" w:rsidRPr="006622AC">
              <w:rPr>
                <w:lang w:val="es-ES"/>
              </w:rPr>
              <w:t>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EE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2070AB">
            <w:pPr>
              <w:rPr>
                <w:lang w:val="es-ES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FC6152">
            <w:pPr>
              <w:rPr>
                <w:lang w:val="es-ES"/>
              </w:rPr>
            </w:pPr>
            <w:r w:rsidRPr="006622AC">
              <w:rPr>
                <w:lang w:val="es-ES"/>
              </w:rPr>
              <w:t>S</w:t>
            </w:r>
            <w:r w:rsidR="00663961" w:rsidRPr="006622AC">
              <w:rPr>
                <w:lang w:val="es-ES"/>
              </w:rPr>
              <w:t>ueci</w:t>
            </w:r>
            <w:r w:rsidRPr="006622AC">
              <w:rPr>
                <w:lang w:val="es-ES"/>
              </w:rPr>
              <w:t>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SE</w:t>
            </w:r>
          </w:p>
        </w:tc>
      </w:tr>
      <w:tr w:rsidR="00936730" w:rsidRPr="006622AC" w:rsidTr="00663961">
        <w:trPr>
          <w:trHeight w:val="36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FC6152">
            <w:pPr>
              <w:rPr>
                <w:lang w:val="es-ES"/>
              </w:rPr>
            </w:pPr>
            <w:r w:rsidRPr="006622AC">
              <w:rPr>
                <w:snapToGrid w:val="0"/>
                <w:lang w:val="es-ES"/>
              </w:rPr>
              <w:t>Federación de Rusia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RU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2070AB">
            <w:pPr>
              <w:rPr>
                <w:lang w:val="es-ES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FC6152">
            <w:pPr>
              <w:rPr>
                <w:lang w:val="es-ES"/>
              </w:rPr>
            </w:pPr>
            <w:r w:rsidRPr="006622AC">
              <w:rPr>
                <w:lang w:val="es-ES"/>
              </w:rPr>
              <w:t>Suiza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CH</w:t>
            </w:r>
          </w:p>
        </w:tc>
      </w:tr>
      <w:tr w:rsidR="00936730" w:rsidRPr="006622AC" w:rsidTr="00663961">
        <w:trPr>
          <w:trHeight w:val="36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Finlandia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FI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936730" w:rsidP="002070AB">
            <w:pPr>
              <w:rPr>
                <w:lang w:val="es-ES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FC6152">
            <w:pPr>
              <w:rPr>
                <w:lang w:val="es-ES"/>
              </w:rPr>
            </w:pPr>
            <w:r w:rsidRPr="006622AC">
              <w:rPr>
                <w:lang w:val="es-ES"/>
              </w:rPr>
              <w:t>Turquía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730" w:rsidRPr="006622AC" w:rsidRDefault="00663961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TR</w:t>
            </w:r>
          </w:p>
        </w:tc>
      </w:tr>
      <w:tr w:rsidR="00663961" w:rsidRPr="006622AC" w:rsidTr="00663961">
        <w:trPr>
          <w:trHeight w:val="36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3961" w:rsidRPr="006622AC" w:rsidRDefault="00663961" w:rsidP="00FC6152">
            <w:pPr>
              <w:rPr>
                <w:lang w:val="es-ES"/>
              </w:rPr>
            </w:pPr>
            <w:r w:rsidRPr="006622AC">
              <w:rPr>
                <w:lang w:val="es-ES"/>
              </w:rPr>
              <w:t>Israel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3961" w:rsidRPr="006622AC" w:rsidRDefault="00663961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IL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3961" w:rsidRPr="006622AC" w:rsidRDefault="00663961" w:rsidP="002070AB">
            <w:pPr>
              <w:rPr>
                <w:lang w:val="es-ES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3961" w:rsidRPr="006622AC" w:rsidRDefault="00663961" w:rsidP="00EF0B67">
            <w:pPr>
              <w:rPr>
                <w:lang w:val="es-ES"/>
              </w:rPr>
            </w:pPr>
            <w:r w:rsidRPr="006622AC">
              <w:rPr>
                <w:lang w:val="es-ES"/>
              </w:rPr>
              <w:t>Ucrania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3961" w:rsidRPr="006622AC" w:rsidRDefault="00663961" w:rsidP="00EF0B67">
            <w:pPr>
              <w:rPr>
                <w:lang w:val="es-ES"/>
              </w:rPr>
            </w:pPr>
            <w:r w:rsidRPr="006622AC">
              <w:rPr>
                <w:lang w:val="es-ES"/>
              </w:rPr>
              <w:t>UA</w:t>
            </w:r>
          </w:p>
        </w:tc>
      </w:tr>
      <w:tr w:rsidR="00663961" w:rsidRPr="006622AC" w:rsidTr="00663961">
        <w:trPr>
          <w:trHeight w:val="366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3961" w:rsidRPr="006622AC" w:rsidRDefault="00663961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Italia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3961" w:rsidRPr="006622AC" w:rsidRDefault="00663961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IT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3961" w:rsidRPr="006622AC" w:rsidRDefault="00663961" w:rsidP="002070AB">
            <w:pPr>
              <w:rPr>
                <w:lang w:val="es-ES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3961" w:rsidRPr="006622AC" w:rsidRDefault="00663961" w:rsidP="00FC6152">
            <w:pPr>
              <w:rPr>
                <w:lang w:val="es-ES"/>
              </w:rPr>
            </w:pPr>
            <w:r w:rsidRPr="006622AC">
              <w:rPr>
                <w:lang w:val="es-ES"/>
              </w:rPr>
              <w:t>Unión Europea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3961" w:rsidRPr="006622AC" w:rsidRDefault="00663961" w:rsidP="002070AB">
            <w:pPr>
              <w:rPr>
                <w:lang w:val="es-ES"/>
              </w:rPr>
            </w:pPr>
            <w:r w:rsidRPr="006622AC">
              <w:rPr>
                <w:lang w:val="es-ES"/>
              </w:rPr>
              <w:t>EM</w:t>
            </w:r>
          </w:p>
        </w:tc>
      </w:tr>
    </w:tbl>
    <w:p w:rsidR="004478C3" w:rsidRPr="006622AC" w:rsidRDefault="004478C3" w:rsidP="00CE763A">
      <w:pPr>
        <w:rPr>
          <w:lang w:val="es-ES"/>
        </w:rPr>
      </w:pPr>
    </w:p>
    <w:p w:rsidR="00473CFB" w:rsidRPr="006622AC" w:rsidRDefault="00473CFB" w:rsidP="00F55FB2">
      <w:pPr>
        <w:rPr>
          <w:lang w:val="es-ES"/>
        </w:rPr>
      </w:pPr>
    </w:p>
    <w:p w:rsidR="00473CFB" w:rsidRPr="006622AC" w:rsidRDefault="00473CFB" w:rsidP="00F55FB2">
      <w:pPr>
        <w:rPr>
          <w:lang w:val="es-ES"/>
        </w:rPr>
      </w:pPr>
    </w:p>
    <w:p w:rsidR="003E1EF5" w:rsidRPr="006622AC" w:rsidRDefault="0032511E" w:rsidP="00473CFB">
      <w:pPr>
        <w:pStyle w:val="Endofdocument-Annex"/>
        <w:rPr>
          <w:lang w:val="es-ES"/>
        </w:rPr>
      </w:pPr>
      <w:r>
        <w:rPr>
          <w:lang w:val="es-ES"/>
        </w:rPr>
        <w:t>22</w:t>
      </w:r>
      <w:bookmarkStart w:id="2" w:name="_GoBack"/>
      <w:bookmarkEnd w:id="2"/>
      <w:r w:rsidR="00FC6152" w:rsidRPr="006622AC">
        <w:rPr>
          <w:lang w:val="es-ES"/>
        </w:rPr>
        <w:t xml:space="preserve"> de marzo de </w:t>
      </w:r>
      <w:r w:rsidR="006F3270" w:rsidRPr="006622AC">
        <w:rPr>
          <w:lang w:val="es-ES"/>
        </w:rPr>
        <w:t>2016</w:t>
      </w:r>
    </w:p>
    <w:p w:rsidR="00663961" w:rsidRPr="006622AC" w:rsidRDefault="00663961" w:rsidP="00663961">
      <w:pPr>
        <w:pStyle w:val="Endofdocument-Annex"/>
        <w:ind w:left="0"/>
        <w:rPr>
          <w:lang w:val="es-ES"/>
        </w:rPr>
      </w:pPr>
    </w:p>
    <w:sectPr w:rsidR="00663961" w:rsidRPr="006622AC" w:rsidSect="00605827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A8" w:rsidRDefault="00853FA8">
      <w:r>
        <w:separator/>
      </w:r>
    </w:p>
  </w:endnote>
  <w:endnote w:type="continuationSeparator" w:id="0">
    <w:p w:rsidR="00853FA8" w:rsidRDefault="00853FA8" w:rsidP="003B38C1">
      <w:r>
        <w:separator/>
      </w:r>
    </w:p>
    <w:p w:rsidR="00853FA8" w:rsidRPr="003B38C1" w:rsidRDefault="00853FA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53FA8" w:rsidRPr="003B38C1" w:rsidRDefault="00853FA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A8" w:rsidRDefault="00853FA8">
      <w:r>
        <w:separator/>
      </w:r>
    </w:p>
  </w:footnote>
  <w:footnote w:type="continuationSeparator" w:id="0">
    <w:p w:rsidR="00853FA8" w:rsidRDefault="00853FA8" w:rsidP="008B60B2">
      <w:r>
        <w:separator/>
      </w:r>
    </w:p>
    <w:p w:rsidR="00853FA8" w:rsidRPr="00ED77FB" w:rsidRDefault="00853FA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53FA8" w:rsidRPr="00ED77FB" w:rsidRDefault="00853FA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A3F" w:rsidRDefault="00EB7A3F" w:rsidP="00477D6B">
    <w:pPr>
      <w:jc w:val="right"/>
    </w:pPr>
  </w:p>
  <w:p w:rsidR="002A2E4F" w:rsidRDefault="006622AC" w:rsidP="00477D6B">
    <w:pPr>
      <w:jc w:val="right"/>
    </w:pPr>
    <w:proofErr w:type="spellStart"/>
    <w:proofErr w:type="gramStart"/>
    <w:r>
      <w:t>página</w:t>
    </w:r>
    <w:proofErr w:type="spellEnd"/>
    <w:proofErr w:type="gramEnd"/>
    <w:r w:rsidR="002A2E4F">
      <w:t xml:space="preserve"> </w:t>
    </w:r>
    <w:r w:rsidR="002A2E4F">
      <w:fldChar w:fldCharType="begin"/>
    </w:r>
    <w:r w:rsidR="002A2E4F">
      <w:instrText xml:space="preserve"> PAGE  \* MERGEFORMAT </w:instrText>
    </w:r>
    <w:r w:rsidR="002A2E4F">
      <w:fldChar w:fldCharType="separate"/>
    </w:r>
    <w:r w:rsidR="0032511E">
      <w:rPr>
        <w:noProof/>
      </w:rPr>
      <w:t>3</w:t>
    </w:r>
    <w:r w:rsidR="002A2E4F"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56723D"/>
    <w:multiLevelType w:val="hybridMultilevel"/>
    <w:tmpl w:val="0C046C72"/>
    <w:lvl w:ilvl="0" w:tplc="EF7885A4">
      <w:start w:val="2"/>
      <w:numFmt w:val="bullet"/>
      <w:lvlText w:val="̶"/>
      <w:lvlJc w:val="left"/>
      <w:pPr>
        <w:ind w:left="1287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52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4D9"/>
    <w:rsid w:val="00005CFF"/>
    <w:rsid w:val="000123A6"/>
    <w:rsid w:val="0002018E"/>
    <w:rsid w:val="00021CC8"/>
    <w:rsid w:val="00043313"/>
    <w:rsid w:val="00043892"/>
    <w:rsid w:val="00043CAA"/>
    <w:rsid w:val="00047E41"/>
    <w:rsid w:val="000728FF"/>
    <w:rsid w:val="00075432"/>
    <w:rsid w:val="000968ED"/>
    <w:rsid w:val="000A525D"/>
    <w:rsid w:val="000B3533"/>
    <w:rsid w:val="000C09DC"/>
    <w:rsid w:val="000C45C4"/>
    <w:rsid w:val="000D3921"/>
    <w:rsid w:val="000F5E56"/>
    <w:rsid w:val="001272E3"/>
    <w:rsid w:val="00131BD8"/>
    <w:rsid w:val="00133F53"/>
    <w:rsid w:val="001362EE"/>
    <w:rsid w:val="0015037D"/>
    <w:rsid w:val="00166299"/>
    <w:rsid w:val="001832A6"/>
    <w:rsid w:val="00183A73"/>
    <w:rsid w:val="00184A75"/>
    <w:rsid w:val="00185E31"/>
    <w:rsid w:val="00186DE1"/>
    <w:rsid w:val="001A67A5"/>
    <w:rsid w:val="001C2D7E"/>
    <w:rsid w:val="001E3850"/>
    <w:rsid w:val="001F1B95"/>
    <w:rsid w:val="001F717F"/>
    <w:rsid w:val="0020551F"/>
    <w:rsid w:val="002070AB"/>
    <w:rsid w:val="0022493E"/>
    <w:rsid w:val="00251890"/>
    <w:rsid w:val="0025278E"/>
    <w:rsid w:val="002634C4"/>
    <w:rsid w:val="00266183"/>
    <w:rsid w:val="0028754B"/>
    <w:rsid w:val="002928D3"/>
    <w:rsid w:val="00293C86"/>
    <w:rsid w:val="00295560"/>
    <w:rsid w:val="002A2E4F"/>
    <w:rsid w:val="002B208D"/>
    <w:rsid w:val="002C1554"/>
    <w:rsid w:val="002C38D8"/>
    <w:rsid w:val="002C74EB"/>
    <w:rsid w:val="002D0CCE"/>
    <w:rsid w:val="002E2F76"/>
    <w:rsid w:val="002F1FE6"/>
    <w:rsid w:val="002F4E68"/>
    <w:rsid w:val="00312F7F"/>
    <w:rsid w:val="00317670"/>
    <w:rsid w:val="00317F1C"/>
    <w:rsid w:val="0032511E"/>
    <w:rsid w:val="00335EC1"/>
    <w:rsid w:val="00342677"/>
    <w:rsid w:val="00347330"/>
    <w:rsid w:val="00357985"/>
    <w:rsid w:val="00361450"/>
    <w:rsid w:val="003673CF"/>
    <w:rsid w:val="003845C1"/>
    <w:rsid w:val="003A6F89"/>
    <w:rsid w:val="003B19FC"/>
    <w:rsid w:val="003B38C1"/>
    <w:rsid w:val="003D19D8"/>
    <w:rsid w:val="003D6936"/>
    <w:rsid w:val="003E0D9F"/>
    <w:rsid w:val="003E1EF5"/>
    <w:rsid w:val="004052E1"/>
    <w:rsid w:val="004067BD"/>
    <w:rsid w:val="00411900"/>
    <w:rsid w:val="00411FB2"/>
    <w:rsid w:val="00414A9E"/>
    <w:rsid w:val="00423E3E"/>
    <w:rsid w:val="00427AF4"/>
    <w:rsid w:val="004478C3"/>
    <w:rsid w:val="004630B4"/>
    <w:rsid w:val="004647DA"/>
    <w:rsid w:val="00467CF6"/>
    <w:rsid w:val="0047006A"/>
    <w:rsid w:val="00473CFB"/>
    <w:rsid w:val="00474062"/>
    <w:rsid w:val="00477D6B"/>
    <w:rsid w:val="00477EF9"/>
    <w:rsid w:val="004936FC"/>
    <w:rsid w:val="004947C5"/>
    <w:rsid w:val="00496CCF"/>
    <w:rsid w:val="004A2ABE"/>
    <w:rsid w:val="004B0093"/>
    <w:rsid w:val="004B336C"/>
    <w:rsid w:val="004B6250"/>
    <w:rsid w:val="004C034C"/>
    <w:rsid w:val="004F5A30"/>
    <w:rsid w:val="005019FF"/>
    <w:rsid w:val="005243B1"/>
    <w:rsid w:val="0053057A"/>
    <w:rsid w:val="0054277A"/>
    <w:rsid w:val="00546473"/>
    <w:rsid w:val="00546A94"/>
    <w:rsid w:val="00560A29"/>
    <w:rsid w:val="005710ED"/>
    <w:rsid w:val="0057681E"/>
    <w:rsid w:val="0058570B"/>
    <w:rsid w:val="005868B8"/>
    <w:rsid w:val="00587E47"/>
    <w:rsid w:val="005A5F05"/>
    <w:rsid w:val="005C6649"/>
    <w:rsid w:val="005E2A3C"/>
    <w:rsid w:val="005F2F3B"/>
    <w:rsid w:val="00605827"/>
    <w:rsid w:val="00644AA2"/>
    <w:rsid w:val="00646050"/>
    <w:rsid w:val="00647B0C"/>
    <w:rsid w:val="00654AE9"/>
    <w:rsid w:val="006622AC"/>
    <w:rsid w:val="00663961"/>
    <w:rsid w:val="00663D91"/>
    <w:rsid w:val="006659A7"/>
    <w:rsid w:val="006713CA"/>
    <w:rsid w:val="00674ABA"/>
    <w:rsid w:val="00676C5C"/>
    <w:rsid w:val="006822BF"/>
    <w:rsid w:val="0068464E"/>
    <w:rsid w:val="00684699"/>
    <w:rsid w:val="006956D1"/>
    <w:rsid w:val="006B6163"/>
    <w:rsid w:val="006C15FB"/>
    <w:rsid w:val="006F3270"/>
    <w:rsid w:val="00715B9B"/>
    <w:rsid w:val="00725FF6"/>
    <w:rsid w:val="00740DC1"/>
    <w:rsid w:val="00765CB8"/>
    <w:rsid w:val="00767C4D"/>
    <w:rsid w:val="00773CE3"/>
    <w:rsid w:val="00775EBD"/>
    <w:rsid w:val="00790A94"/>
    <w:rsid w:val="007A3CCA"/>
    <w:rsid w:val="007B7F73"/>
    <w:rsid w:val="007C3E9B"/>
    <w:rsid w:val="007D1613"/>
    <w:rsid w:val="007D250A"/>
    <w:rsid w:val="007E1FCB"/>
    <w:rsid w:val="007F4D09"/>
    <w:rsid w:val="00804EC4"/>
    <w:rsid w:val="00821C00"/>
    <w:rsid w:val="00840826"/>
    <w:rsid w:val="00840F05"/>
    <w:rsid w:val="00853FA8"/>
    <w:rsid w:val="00854071"/>
    <w:rsid w:val="00875C15"/>
    <w:rsid w:val="00885618"/>
    <w:rsid w:val="008948BE"/>
    <w:rsid w:val="008977D0"/>
    <w:rsid w:val="008B2CC1"/>
    <w:rsid w:val="008B5502"/>
    <w:rsid w:val="008B60B2"/>
    <w:rsid w:val="008B707B"/>
    <w:rsid w:val="008C19D7"/>
    <w:rsid w:val="008C2D2F"/>
    <w:rsid w:val="008C2FE6"/>
    <w:rsid w:val="008C3C1D"/>
    <w:rsid w:val="008F1F70"/>
    <w:rsid w:val="008F7675"/>
    <w:rsid w:val="0090731E"/>
    <w:rsid w:val="0091220F"/>
    <w:rsid w:val="00916EE2"/>
    <w:rsid w:val="00922789"/>
    <w:rsid w:val="00936730"/>
    <w:rsid w:val="009378BE"/>
    <w:rsid w:val="00940793"/>
    <w:rsid w:val="00965EC2"/>
    <w:rsid w:val="00966A22"/>
    <w:rsid w:val="0096722F"/>
    <w:rsid w:val="00980843"/>
    <w:rsid w:val="009820CB"/>
    <w:rsid w:val="0098282D"/>
    <w:rsid w:val="00990A89"/>
    <w:rsid w:val="0099133C"/>
    <w:rsid w:val="00997AAD"/>
    <w:rsid w:val="009A591F"/>
    <w:rsid w:val="009B13ED"/>
    <w:rsid w:val="009B590E"/>
    <w:rsid w:val="009C0C04"/>
    <w:rsid w:val="009C5774"/>
    <w:rsid w:val="009D0249"/>
    <w:rsid w:val="009E2791"/>
    <w:rsid w:val="009E3F6F"/>
    <w:rsid w:val="009E5F9F"/>
    <w:rsid w:val="009F2A14"/>
    <w:rsid w:val="009F499F"/>
    <w:rsid w:val="009F7B95"/>
    <w:rsid w:val="00A21684"/>
    <w:rsid w:val="00A25430"/>
    <w:rsid w:val="00A353ED"/>
    <w:rsid w:val="00A3669C"/>
    <w:rsid w:val="00A4013B"/>
    <w:rsid w:val="00A42DAF"/>
    <w:rsid w:val="00A45BD8"/>
    <w:rsid w:val="00A869B7"/>
    <w:rsid w:val="00AA1EEF"/>
    <w:rsid w:val="00AC1FD1"/>
    <w:rsid w:val="00AC205C"/>
    <w:rsid w:val="00AC43F2"/>
    <w:rsid w:val="00AD38EE"/>
    <w:rsid w:val="00AD58D2"/>
    <w:rsid w:val="00AF0A6B"/>
    <w:rsid w:val="00AF5108"/>
    <w:rsid w:val="00B05A69"/>
    <w:rsid w:val="00B06900"/>
    <w:rsid w:val="00B21387"/>
    <w:rsid w:val="00B2247B"/>
    <w:rsid w:val="00B2488A"/>
    <w:rsid w:val="00B36ABA"/>
    <w:rsid w:val="00B46B7E"/>
    <w:rsid w:val="00B46D7E"/>
    <w:rsid w:val="00B54D7D"/>
    <w:rsid w:val="00B83157"/>
    <w:rsid w:val="00B83FD6"/>
    <w:rsid w:val="00B9734B"/>
    <w:rsid w:val="00B97A85"/>
    <w:rsid w:val="00BA59F8"/>
    <w:rsid w:val="00BA5E47"/>
    <w:rsid w:val="00BA63F6"/>
    <w:rsid w:val="00BA6DE5"/>
    <w:rsid w:val="00BB1430"/>
    <w:rsid w:val="00BB266C"/>
    <w:rsid w:val="00BB30F3"/>
    <w:rsid w:val="00BB78C7"/>
    <w:rsid w:val="00BD4190"/>
    <w:rsid w:val="00BE127D"/>
    <w:rsid w:val="00BE55D6"/>
    <w:rsid w:val="00BE5857"/>
    <w:rsid w:val="00C11BFE"/>
    <w:rsid w:val="00C1296A"/>
    <w:rsid w:val="00C21565"/>
    <w:rsid w:val="00C21EEC"/>
    <w:rsid w:val="00C32F61"/>
    <w:rsid w:val="00C37406"/>
    <w:rsid w:val="00C45642"/>
    <w:rsid w:val="00C46049"/>
    <w:rsid w:val="00C47421"/>
    <w:rsid w:val="00C53171"/>
    <w:rsid w:val="00C556FE"/>
    <w:rsid w:val="00C66F71"/>
    <w:rsid w:val="00C72A44"/>
    <w:rsid w:val="00C75303"/>
    <w:rsid w:val="00C977DB"/>
    <w:rsid w:val="00CB132F"/>
    <w:rsid w:val="00CB6962"/>
    <w:rsid w:val="00CC5016"/>
    <w:rsid w:val="00CE0A51"/>
    <w:rsid w:val="00CE0F4D"/>
    <w:rsid w:val="00CE6390"/>
    <w:rsid w:val="00CE763A"/>
    <w:rsid w:val="00CF4536"/>
    <w:rsid w:val="00D22BD4"/>
    <w:rsid w:val="00D2344D"/>
    <w:rsid w:val="00D30CC7"/>
    <w:rsid w:val="00D31C2F"/>
    <w:rsid w:val="00D40A98"/>
    <w:rsid w:val="00D424EC"/>
    <w:rsid w:val="00D45252"/>
    <w:rsid w:val="00D5076E"/>
    <w:rsid w:val="00D57F87"/>
    <w:rsid w:val="00D57F90"/>
    <w:rsid w:val="00D71B4D"/>
    <w:rsid w:val="00D76F38"/>
    <w:rsid w:val="00D90EE5"/>
    <w:rsid w:val="00D93D55"/>
    <w:rsid w:val="00D949AE"/>
    <w:rsid w:val="00DB072E"/>
    <w:rsid w:val="00DB42CB"/>
    <w:rsid w:val="00DC3E50"/>
    <w:rsid w:val="00DF5186"/>
    <w:rsid w:val="00E102D6"/>
    <w:rsid w:val="00E335FE"/>
    <w:rsid w:val="00E42572"/>
    <w:rsid w:val="00E42B9A"/>
    <w:rsid w:val="00E532DC"/>
    <w:rsid w:val="00E66C2C"/>
    <w:rsid w:val="00E72095"/>
    <w:rsid w:val="00E77122"/>
    <w:rsid w:val="00E9722E"/>
    <w:rsid w:val="00EA46DD"/>
    <w:rsid w:val="00EB7A3F"/>
    <w:rsid w:val="00EC23FC"/>
    <w:rsid w:val="00EC4E49"/>
    <w:rsid w:val="00ED4C4F"/>
    <w:rsid w:val="00ED77FB"/>
    <w:rsid w:val="00EE45FA"/>
    <w:rsid w:val="00EE5748"/>
    <w:rsid w:val="00EF0146"/>
    <w:rsid w:val="00F01E6E"/>
    <w:rsid w:val="00F0720F"/>
    <w:rsid w:val="00F17F84"/>
    <w:rsid w:val="00F201C4"/>
    <w:rsid w:val="00F31485"/>
    <w:rsid w:val="00F55FB2"/>
    <w:rsid w:val="00F561E7"/>
    <w:rsid w:val="00F66152"/>
    <w:rsid w:val="00F734CA"/>
    <w:rsid w:val="00F76ED7"/>
    <w:rsid w:val="00F7721F"/>
    <w:rsid w:val="00F906E8"/>
    <w:rsid w:val="00F94A0D"/>
    <w:rsid w:val="00FA2C4C"/>
    <w:rsid w:val="00FC3D36"/>
    <w:rsid w:val="00FC4C8A"/>
    <w:rsid w:val="00FC6152"/>
    <w:rsid w:val="00F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17F8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6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F17F84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6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7355-C16E-470C-ABF6-605882F6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1080</Words>
  <Characters>6032</Characters>
  <Application>Microsoft Office Word</Application>
  <DocSecurity>0</DocSecurity>
  <Lines>177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DIAZ Natacha</cp:lastModifiedBy>
  <cp:revision>7</cp:revision>
  <cp:lastPrinted>2016-03-17T16:49:00Z</cp:lastPrinted>
  <dcterms:created xsi:type="dcterms:W3CDTF">2016-03-17T17:13:00Z</dcterms:created>
  <dcterms:modified xsi:type="dcterms:W3CDTF">2016-03-22T14:52:00Z</dcterms:modified>
</cp:coreProperties>
</file>