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CC3C17" w:rsidTr="00563C83">
        <w:tc>
          <w:tcPr>
            <w:tcW w:w="4513" w:type="dxa"/>
            <w:tcBorders>
              <w:bottom w:val="single" w:sz="4" w:space="0" w:color="auto"/>
            </w:tcBorders>
            <w:tcMar>
              <w:bottom w:w="170" w:type="dxa"/>
            </w:tcMar>
          </w:tcPr>
          <w:p w:rsidR="00163F61" w:rsidRPr="00CC3C17"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CC3C17" w:rsidRDefault="00D11972" w:rsidP="003C2450">
            <w:pPr>
              <w:keepNext/>
              <w:keepLines/>
            </w:pPr>
            <w:r w:rsidRPr="009316F1">
              <w:rPr>
                <w:noProof/>
                <w:lang w:val="en-US" w:eastAsia="en-US"/>
              </w:rPr>
              <w:drawing>
                <wp:inline distT="0" distB="0" distL="0" distR="0" wp14:anchorId="2458D58A" wp14:editId="7F04E3B9">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CC3C17" w:rsidRDefault="00163F61" w:rsidP="003C2450">
            <w:pPr>
              <w:keepNext/>
              <w:keepLines/>
              <w:jc w:val="right"/>
            </w:pPr>
          </w:p>
        </w:tc>
      </w:tr>
      <w:tr w:rsidR="00163F61" w:rsidRPr="00CC3C17"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CC3C17" w:rsidRDefault="00163F61" w:rsidP="003C2450">
            <w:pPr>
              <w:keepNext/>
              <w:keepLines/>
              <w:jc w:val="right"/>
              <w:rPr>
                <w:rFonts w:ascii="Arial Black" w:hAnsi="Arial Black"/>
                <w:caps/>
                <w:sz w:val="15"/>
              </w:rPr>
            </w:pPr>
            <w:bookmarkStart w:id="0" w:name="Original"/>
            <w:bookmarkEnd w:id="0"/>
          </w:p>
        </w:tc>
      </w:tr>
      <w:tr w:rsidR="00163F61" w:rsidRPr="00CC3C17" w:rsidTr="00B27CB2">
        <w:trPr>
          <w:trHeight w:hRule="exact" w:val="198"/>
        </w:trPr>
        <w:tc>
          <w:tcPr>
            <w:tcW w:w="9356" w:type="dxa"/>
            <w:gridSpan w:val="3"/>
            <w:tcMar>
              <w:left w:w="0" w:type="dxa"/>
              <w:right w:w="0" w:type="dxa"/>
            </w:tcMar>
          </w:tcPr>
          <w:p w:rsidR="00163F61" w:rsidRPr="00CC3C17" w:rsidRDefault="000A58D1" w:rsidP="00AA5452">
            <w:pPr>
              <w:jc w:val="right"/>
            </w:pPr>
            <w:r w:rsidRPr="00CC3C17">
              <w:rPr>
                <w:rFonts w:ascii="Arial Black" w:hAnsi="Arial Black"/>
                <w:caps/>
                <w:sz w:val="15"/>
              </w:rPr>
              <w:t xml:space="preserve">Aviso Nº </w:t>
            </w:r>
            <w:r w:rsidR="00163F61" w:rsidRPr="00CC3C17">
              <w:rPr>
                <w:rFonts w:ascii="Arial Black" w:hAnsi="Arial Black"/>
                <w:caps/>
                <w:sz w:val="15"/>
              </w:rPr>
              <w:t xml:space="preserve"> </w:t>
            </w:r>
            <w:r w:rsidR="00AA5452">
              <w:rPr>
                <w:rFonts w:ascii="Arial Black" w:hAnsi="Arial Black"/>
                <w:caps/>
                <w:sz w:val="15"/>
              </w:rPr>
              <w:t>39</w:t>
            </w:r>
            <w:r w:rsidR="00163F61" w:rsidRPr="00CC3C17">
              <w:rPr>
                <w:rFonts w:ascii="Arial Black" w:hAnsi="Arial Black"/>
                <w:caps/>
                <w:sz w:val="15"/>
              </w:rPr>
              <w:t>/201</w:t>
            </w:r>
            <w:r w:rsidR="00992A2D" w:rsidRPr="00CC3C17">
              <w:rPr>
                <w:rFonts w:ascii="Arial Black" w:hAnsi="Arial Black"/>
                <w:caps/>
                <w:sz w:val="15"/>
              </w:rPr>
              <w:t>5</w:t>
            </w:r>
          </w:p>
        </w:tc>
      </w:tr>
    </w:tbl>
    <w:p w:rsidR="00163F61" w:rsidRPr="00CC3C17" w:rsidRDefault="00163F61" w:rsidP="008B2CC1"/>
    <w:p w:rsidR="00163F61" w:rsidRPr="00CC3C17" w:rsidRDefault="00163F61" w:rsidP="008B2CC1"/>
    <w:p w:rsidR="00163F61" w:rsidRPr="00CC3C17" w:rsidRDefault="00163F61" w:rsidP="008B2CC1"/>
    <w:p w:rsidR="00163F61" w:rsidRPr="00CC3C17" w:rsidRDefault="00163F61" w:rsidP="00CC5016"/>
    <w:p w:rsidR="00163F61" w:rsidRPr="00CC3C17" w:rsidRDefault="00163F61" w:rsidP="00CC5016"/>
    <w:p w:rsidR="00163F61" w:rsidRPr="00CC3C17" w:rsidRDefault="00F015EC" w:rsidP="00CC5016">
      <w:pPr>
        <w:autoSpaceDE w:val="0"/>
        <w:autoSpaceDN w:val="0"/>
        <w:adjustRightInd w:val="0"/>
        <w:rPr>
          <w:b/>
          <w:bCs/>
          <w:sz w:val="28"/>
          <w:szCs w:val="28"/>
        </w:rPr>
      </w:pPr>
      <w:r w:rsidRPr="00CC3C17">
        <w:rPr>
          <w:b/>
          <w:bCs/>
          <w:sz w:val="28"/>
          <w:szCs w:val="28"/>
        </w:rPr>
        <w:t>Protocolo Concerniente al Arreglo de Madrid relativo al Registro Internacional de Marcas</w:t>
      </w:r>
    </w:p>
    <w:p w:rsidR="00163F61" w:rsidRPr="00CC3C17" w:rsidRDefault="00163F61" w:rsidP="00CC5016">
      <w:pPr>
        <w:autoSpaceDE w:val="0"/>
        <w:autoSpaceDN w:val="0"/>
        <w:adjustRightInd w:val="0"/>
        <w:rPr>
          <w:bCs/>
          <w:szCs w:val="22"/>
        </w:rPr>
      </w:pPr>
    </w:p>
    <w:p w:rsidR="00163F61" w:rsidRPr="00CC3C17" w:rsidRDefault="00163F61" w:rsidP="00CC5016">
      <w:pPr>
        <w:autoSpaceDE w:val="0"/>
        <w:autoSpaceDN w:val="0"/>
        <w:adjustRightInd w:val="0"/>
        <w:rPr>
          <w:bCs/>
          <w:szCs w:val="22"/>
        </w:rPr>
      </w:pPr>
    </w:p>
    <w:p w:rsidR="00163F61" w:rsidRPr="00CC3C17" w:rsidRDefault="00163F61" w:rsidP="00CC5016">
      <w:pPr>
        <w:autoSpaceDE w:val="0"/>
        <w:autoSpaceDN w:val="0"/>
        <w:adjustRightInd w:val="0"/>
        <w:rPr>
          <w:bCs/>
          <w:szCs w:val="22"/>
        </w:rPr>
      </w:pPr>
    </w:p>
    <w:p w:rsidR="00DA1622" w:rsidRPr="00CC3C17" w:rsidRDefault="00F015EC" w:rsidP="00DA1622">
      <w:pPr>
        <w:autoSpaceDE w:val="0"/>
        <w:autoSpaceDN w:val="0"/>
        <w:adjustRightInd w:val="0"/>
        <w:rPr>
          <w:b/>
          <w:bCs/>
          <w:sz w:val="24"/>
          <w:szCs w:val="24"/>
        </w:rPr>
      </w:pPr>
      <w:r w:rsidRPr="00CC3C17">
        <w:rPr>
          <w:b/>
          <w:bCs/>
          <w:sz w:val="24"/>
          <w:szCs w:val="24"/>
        </w:rPr>
        <w:t xml:space="preserve">Consecuencias </w:t>
      </w:r>
      <w:r w:rsidR="00B45ED6" w:rsidRPr="00CC3C17">
        <w:rPr>
          <w:b/>
          <w:bCs/>
          <w:sz w:val="24"/>
          <w:szCs w:val="24"/>
        </w:rPr>
        <w:t>prácticas</w:t>
      </w:r>
      <w:r w:rsidRPr="00CC3C17">
        <w:rPr>
          <w:b/>
          <w:bCs/>
          <w:sz w:val="24"/>
          <w:szCs w:val="24"/>
        </w:rPr>
        <w:t xml:space="preserve"> de la adhesión de Argelia al Protocolo de Madrid</w:t>
      </w:r>
      <w:r w:rsidR="00DA1622" w:rsidRPr="00CC3C17">
        <w:rPr>
          <w:b/>
          <w:bCs/>
          <w:sz w:val="24"/>
          <w:szCs w:val="24"/>
        </w:rPr>
        <w:t xml:space="preserve"> </w:t>
      </w:r>
    </w:p>
    <w:p w:rsidR="006D1756" w:rsidRPr="00CC3C17" w:rsidRDefault="006D1756" w:rsidP="006D1756">
      <w:pPr>
        <w:rPr>
          <w:szCs w:val="22"/>
        </w:rPr>
      </w:pPr>
    </w:p>
    <w:p w:rsidR="00DA1622" w:rsidRPr="00CC3C17" w:rsidRDefault="00DA1622" w:rsidP="00DA1622">
      <w:r w:rsidRPr="00CC3C17">
        <w:fldChar w:fldCharType="begin"/>
      </w:r>
      <w:r w:rsidRPr="00CC3C17">
        <w:instrText xml:space="preserve"> AUTONUM  </w:instrText>
      </w:r>
      <w:r w:rsidRPr="00CC3C17">
        <w:fldChar w:fldCharType="end"/>
      </w:r>
      <w:r w:rsidR="000A58D1" w:rsidRPr="00CC3C17">
        <w:tab/>
        <w:t>El 31 de julio de 2015, el Gobierno de Argelia depositó ante el Director General de la Organización Mundial de la Propiedad Intelectual (OMPI) su instrumento de adhesión al Protocolo concerniente al Arreglo de Madrid relativo al Registro Internacional de Marcas (“el</w:t>
      </w:r>
      <w:r w:rsidR="0012549D">
        <w:t> </w:t>
      </w:r>
      <w:r w:rsidR="000A58D1" w:rsidRPr="00CC3C17">
        <w:t>Protocolo” y “el Arreglo”).  El Protocolo entrará en vi</w:t>
      </w:r>
      <w:r w:rsidR="0012549D">
        <w:t>gor, con respecto a Argelia, el </w:t>
      </w:r>
      <w:r w:rsidR="000A58D1" w:rsidRPr="00CC3C17">
        <w:t>31</w:t>
      </w:r>
      <w:r w:rsidR="0012549D">
        <w:t> </w:t>
      </w:r>
      <w:r w:rsidR="000A58D1" w:rsidRPr="00CC3C17">
        <w:t>de</w:t>
      </w:r>
      <w:r w:rsidR="0012549D">
        <w:t> </w:t>
      </w:r>
      <w:r w:rsidR="000A58D1" w:rsidRPr="00CC3C17">
        <w:t>octubre de 2015 (véase el Aviso Nº 35/2015).</w:t>
      </w:r>
    </w:p>
    <w:p w:rsidR="00DA1622" w:rsidRPr="00CC3C17" w:rsidRDefault="00DA1622" w:rsidP="00DA1622"/>
    <w:p w:rsidR="00E350BF" w:rsidRPr="00CC3C17" w:rsidRDefault="00DA1622" w:rsidP="00DA1622">
      <w:r w:rsidRPr="00CC3C17">
        <w:fldChar w:fldCharType="begin"/>
      </w:r>
      <w:r w:rsidRPr="00CC3C17">
        <w:instrText xml:space="preserve"> AUTONUM  </w:instrText>
      </w:r>
      <w:r w:rsidRPr="00CC3C17">
        <w:fldChar w:fldCharType="end"/>
      </w:r>
      <w:r w:rsidR="004900DE" w:rsidRPr="00CC3C17">
        <w:tab/>
      </w:r>
      <w:r w:rsidR="008D50B2">
        <w:t>Con la</w:t>
      </w:r>
      <w:r w:rsidR="004900DE" w:rsidRPr="00CC3C17">
        <w:t xml:space="preserve"> adhesión de Argelia al Protocolo</w:t>
      </w:r>
      <w:r w:rsidR="008D50B2">
        <w:t xml:space="preserve">, </w:t>
      </w:r>
      <w:r w:rsidR="004900DE" w:rsidRPr="00CC3C17">
        <w:t>el</w:t>
      </w:r>
      <w:r w:rsidR="00EE2DB0">
        <w:t xml:space="preserve"> número de Partes Contratantes d</w:t>
      </w:r>
      <w:r w:rsidR="004900DE" w:rsidRPr="00CC3C17">
        <w:t xml:space="preserve">el Tratado </w:t>
      </w:r>
      <w:r w:rsidR="008D50B2">
        <w:t xml:space="preserve">se elevó </w:t>
      </w:r>
      <w:r w:rsidR="004900DE" w:rsidRPr="00CC3C17">
        <w:t xml:space="preserve">a 95.  Argelia era la única Parte Contratante de la Unión de Madrid miembro del Arreglo únicamente.  </w:t>
      </w:r>
      <w:r w:rsidR="008D50B2">
        <w:t>Así, tras</w:t>
      </w:r>
      <w:r w:rsidR="004900DE" w:rsidRPr="00CC3C17">
        <w:t xml:space="preserve"> la adhesión de Argelia al Protocolo, todos los miembros de la Unión de Madrid serán, o bien Partes Contratantes </w:t>
      </w:r>
      <w:r w:rsidR="00EE2DB0">
        <w:t>d</w:t>
      </w:r>
      <w:r w:rsidR="004900DE" w:rsidRPr="00CC3C17">
        <w:t xml:space="preserve">el Protocolo únicamente, o bien Partes Contratantes </w:t>
      </w:r>
      <w:r w:rsidR="00EE2DB0">
        <w:t>del</w:t>
      </w:r>
      <w:r w:rsidR="004900DE" w:rsidRPr="00CC3C17">
        <w:t xml:space="preserve"> Arreglo y </w:t>
      </w:r>
      <w:r w:rsidR="00EE2DB0">
        <w:t>d</w:t>
      </w:r>
      <w:r w:rsidR="004900DE" w:rsidRPr="00CC3C17">
        <w:t xml:space="preserve">el Protocolo.  </w:t>
      </w:r>
    </w:p>
    <w:p w:rsidR="00DA1622" w:rsidRPr="00CC3C17" w:rsidRDefault="00DA1622" w:rsidP="00DA1622"/>
    <w:p w:rsidR="004900DE" w:rsidRPr="00CC3C17" w:rsidRDefault="00DA1622" w:rsidP="00DA1622">
      <w:r w:rsidRPr="00CC3C17">
        <w:fldChar w:fldCharType="begin"/>
      </w:r>
      <w:r w:rsidRPr="00CC3C17">
        <w:instrText xml:space="preserve"> AUTONUM  </w:instrText>
      </w:r>
      <w:r w:rsidRPr="00CC3C17">
        <w:fldChar w:fldCharType="end"/>
      </w:r>
      <w:r w:rsidR="009222BB" w:rsidRPr="00CC3C17">
        <w:tab/>
      </w:r>
      <w:r w:rsidR="004900DE" w:rsidRPr="00CC3C17">
        <w:t xml:space="preserve">Tras la entrada en vigor con respecto a Argelia, el Protocolo </w:t>
      </w:r>
      <w:r w:rsidR="009222BB" w:rsidRPr="00CC3C17">
        <w:t xml:space="preserve">será </w:t>
      </w:r>
      <w:r w:rsidR="000A2B1B" w:rsidRPr="00CC3C17">
        <w:t>a</w:t>
      </w:r>
      <w:r w:rsidR="009222BB" w:rsidRPr="00CC3C17">
        <w:t xml:space="preserve">plicable en las relaciones entre todas </w:t>
      </w:r>
      <w:r w:rsidR="000A2B1B" w:rsidRPr="00CC3C17">
        <w:t>las</w:t>
      </w:r>
      <w:r w:rsidR="009222BB" w:rsidRPr="00CC3C17">
        <w:t xml:space="preserve"> Partes Contratantes de la Unión de Madrid, ya porque el Protocolo sea el único tratado </w:t>
      </w:r>
      <w:r w:rsidR="00385FFD">
        <w:t xml:space="preserve">común </w:t>
      </w:r>
      <w:r w:rsidR="00EE2DB0">
        <w:t>a</w:t>
      </w:r>
      <w:r w:rsidR="00385FFD">
        <w:t xml:space="preserve"> todas las p</w:t>
      </w:r>
      <w:r w:rsidR="008D50B2">
        <w:t>artes</w:t>
      </w:r>
      <w:r w:rsidR="009222BB" w:rsidRPr="00CC3C17">
        <w:t xml:space="preserve"> o porque, conforme al </w:t>
      </w:r>
      <w:r w:rsidR="0002451F">
        <w:t>Artículo</w:t>
      </w:r>
      <w:r w:rsidR="0012549D">
        <w:t> </w:t>
      </w:r>
      <w:r w:rsidR="009222BB" w:rsidRPr="00CC3C17">
        <w:t>9</w:t>
      </w:r>
      <w:r w:rsidR="009222BB" w:rsidRPr="00CC3C17">
        <w:rPr>
          <w:i/>
        </w:rPr>
        <w:t>sexies</w:t>
      </w:r>
      <w:r w:rsidR="009222BB" w:rsidRPr="00CC3C17">
        <w:t xml:space="preserve">1)a) del Protocolo, en lo que respecta a las relaciones entre los Estados parte </w:t>
      </w:r>
      <w:r w:rsidR="00EE2DB0">
        <w:t>del</w:t>
      </w:r>
      <w:r w:rsidR="009222BB" w:rsidRPr="00CC3C17">
        <w:t xml:space="preserve"> Arreglo y </w:t>
      </w:r>
      <w:r w:rsidR="00EE2DB0">
        <w:t>d</w:t>
      </w:r>
      <w:r w:rsidR="009222BB" w:rsidRPr="00CC3C17">
        <w:t xml:space="preserve">el Protocolo, </w:t>
      </w:r>
      <w:r w:rsidR="000A2B1B" w:rsidRPr="00CC3C17">
        <w:t>prevalece</w:t>
      </w:r>
      <w:r w:rsidR="009222BB" w:rsidRPr="00CC3C17">
        <w:t xml:space="preserve"> el Protocolo.</w:t>
      </w:r>
    </w:p>
    <w:p w:rsidR="00DA1622" w:rsidRPr="00CC3C17" w:rsidRDefault="00DA1622" w:rsidP="00DA1622"/>
    <w:p w:rsidR="009222BB" w:rsidRPr="00CC3C17" w:rsidRDefault="00DA1622" w:rsidP="00DA1622">
      <w:r w:rsidRPr="00CC3C17">
        <w:fldChar w:fldCharType="begin"/>
      </w:r>
      <w:r w:rsidRPr="00CC3C17">
        <w:instrText xml:space="preserve"> AUTONUM  </w:instrText>
      </w:r>
      <w:r w:rsidRPr="00CC3C17">
        <w:fldChar w:fldCharType="end"/>
      </w:r>
      <w:r w:rsidR="006E20A4" w:rsidRPr="00CC3C17">
        <w:tab/>
      </w:r>
      <w:r w:rsidR="009222BB" w:rsidRPr="00CC3C17">
        <w:t xml:space="preserve">A efectos prácticos, la entrada en vigor del Protocolo con respecto a Argelia significa que </w:t>
      </w:r>
      <w:r w:rsidR="00EE2DB0">
        <w:t xml:space="preserve">todas </w:t>
      </w:r>
      <w:r w:rsidR="009222BB" w:rsidRPr="00CC3C17">
        <w:t xml:space="preserve">las designaciones </w:t>
      </w:r>
      <w:r w:rsidR="00EE2DB0">
        <w:t>d</w:t>
      </w:r>
      <w:r w:rsidR="009222BB" w:rsidRPr="00CC3C17">
        <w:t xml:space="preserve">el Registro Internacional se </w:t>
      </w:r>
      <w:r w:rsidR="00EE2DB0">
        <w:t xml:space="preserve">regirán por </w:t>
      </w:r>
      <w:r w:rsidR="009222BB" w:rsidRPr="00CC3C17">
        <w:t xml:space="preserve">el Protocolo.  </w:t>
      </w:r>
    </w:p>
    <w:p w:rsidR="00DA1622" w:rsidRPr="00CC3C17" w:rsidRDefault="00DA1622" w:rsidP="00DA1622"/>
    <w:p w:rsidR="006E20A4" w:rsidRPr="00CC3C17" w:rsidRDefault="00DA1622" w:rsidP="00DA1622">
      <w:r w:rsidRPr="00CC3C17">
        <w:fldChar w:fldCharType="begin"/>
      </w:r>
      <w:r w:rsidRPr="00CC3C17">
        <w:instrText xml:space="preserve"> AUTONUM  </w:instrText>
      </w:r>
      <w:r w:rsidRPr="00CC3C17">
        <w:fldChar w:fldCharType="end"/>
      </w:r>
      <w:r w:rsidRPr="00CC3C17">
        <w:tab/>
      </w:r>
      <w:r w:rsidR="00EE2DB0">
        <w:t xml:space="preserve">Desde </w:t>
      </w:r>
      <w:r w:rsidR="000A2B1B" w:rsidRPr="00CC3C17">
        <w:t xml:space="preserve">el final de octubre, todas las </w:t>
      </w:r>
      <w:r w:rsidR="000A32EF">
        <w:t xml:space="preserve">nuevas </w:t>
      </w:r>
      <w:r w:rsidR="000A2B1B" w:rsidRPr="00CC3C17">
        <w:t>solicitudes internacionales se presentarán utilizando el formulario</w:t>
      </w:r>
      <w:r w:rsidR="000A32EF">
        <w:t xml:space="preserve"> MM2 de solicitud internacional, y todos los nuevos </w:t>
      </w:r>
      <w:r w:rsidR="000A32EF" w:rsidRPr="00CC3C17">
        <w:t xml:space="preserve">registros internacionales se efectuarán en virtud del Protocolo.  </w:t>
      </w:r>
    </w:p>
    <w:p w:rsidR="00DA1622" w:rsidRPr="00CC3C17" w:rsidRDefault="00DA1622" w:rsidP="00DA1622"/>
    <w:p w:rsidR="00DA1622" w:rsidRPr="00CC3C17" w:rsidRDefault="00DA1622" w:rsidP="00DA1622">
      <w:r w:rsidRPr="00CC3C17">
        <w:fldChar w:fldCharType="begin"/>
      </w:r>
      <w:r w:rsidRPr="00CC3C17">
        <w:instrText xml:space="preserve"> AUTONUM  </w:instrText>
      </w:r>
      <w:r w:rsidRPr="00CC3C17">
        <w:fldChar w:fldCharType="end"/>
      </w:r>
      <w:r w:rsidR="000A2B1B" w:rsidRPr="00CC3C17">
        <w:tab/>
        <w:t>La prevalencia del Protocolo implica que sus flexibilidades así como otras características importantes serán generalmente aplicables, a saber:</w:t>
      </w:r>
    </w:p>
    <w:p w:rsidR="00E83687" w:rsidRPr="00CC3C17" w:rsidRDefault="00E83687" w:rsidP="00DA1622"/>
    <w:p w:rsidR="00DA1622" w:rsidRPr="00CC3C17" w:rsidRDefault="000A2B1B" w:rsidP="00E83687">
      <w:pPr>
        <w:numPr>
          <w:ilvl w:val="0"/>
          <w:numId w:val="9"/>
        </w:numPr>
        <w:ind w:left="0" w:firstLine="567"/>
      </w:pPr>
      <w:r w:rsidRPr="00CC3C17">
        <w:t>la presentación de solicitudes internacionales basadas en solicitudes o re</w:t>
      </w:r>
      <w:r w:rsidR="00385FFD">
        <w:t>gistros nacionales o regionales;</w:t>
      </w:r>
    </w:p>
    <w:p w:rsidR="00E83687" w:rsidRPr="00CC3C17" w:rsidRDefault="00E83687" w:rsidP="00E83687">
      <w:pPr>
        <w:ind w:left="567"/>
      </w:pPr>
    </w:p>
    <w:p w:rsidR="00DA1622" w:rsidRPr="00CC3C17" w:rsidRDefault="000A2B1B" w:rsidP="00E83687">
      <w:pPr>
        <w:numPr>
          <w:ilvl w:val="0"/>
          <w:numId w:val="9"/>
        </w:numPr>
        <w:ind w:left="0" w:firstLine="567"/>
      </w:pPr>
      <w:r w:rsidRPr="00CC3C17">
        <w:t>libre elección de la Oficina de origen en función del establecimiento</w:t>
      </w:r>
      <w:r w:rsidR="00EE2DB0">
        <w:t xml:space="preserve"> industrial o </w:t>
      </w:r>
      <w:r w:rsidRPr="00CC3C17">
        <w:t xml:space="preserve">comercial </w:t>
      </w:r>
      <w:r w:rsidR="00EE2DB0">
        <w:t>rea</w:t>
      </w:r>
      <w:r w:rsidR="008679AA">
        <w:t>l y</w:t>
      </w:r>
      <w:r w:rsidR="008679AA" w:rsidRPr="008679AA">
        <w:t xml:space="preserve"> </w:t>
      </w:r>
      <w:r w:rsidR="008679AA">
        <w:t>efectivo</w:t>
      </w:r>
      <w:r w:rsidR="00EE2DB0">
        <w:t>, d</w:t>
      </w:r>
      <w:r w:rsidR="00385FFD">
        <w:t xml:space="preserve">el </w:t>
      </w:r>
      <w:r w:rsidRPr="00CC3C17">
        <w:t xml:space="preserve">domicilio o </w:t>
      </w:r>
      <w:r w:rsidR="00EE2DB0">
        <w:t xml:space="preserve">de </w:t>
      </w:r>
      <w:r w:rsidR="00385FFD">
        <w:t xml:space="preserve">la </w:t>
      </w:r>
      <w:r w:rsidRPr="00CC3C17">
        <w:t>nacionalidad (</w:t>
      </w:r>
      <w:r w:rsidR="00385FFD" w:rsidRPr="00CC3C17">
        <w:t xml:space="preserve">deja de ser aplicable </w:t>
      </w:r>
      <w:r w:rsidRPr="00CC3C17">
        <w:t xml:space="preserve">el principio de orden de criterios “en cascada”);  </w:t>
      </w:r>
    </w:p>
    <w:p w:rsidR="00E83687" w:rsidRPr="00CC3C17" w:rsidRDefault="00E83687" w:rsidP="00E83687">
      <w:pPr>
        <w:ind w:left="567"/>
      </w:pPr>
    </w:p>
    <w:p w:rsidR="00DA1622" w:rsidRPr="00CC3C17" w:rsidRDefault="000A2B1B" w:rsidP="00E83687">
      <w:pPr>
        <w:numPr>
          <w:ilvl w:val="0"/>
          <w:numId w:val="9"/>
        </w:numPr>
        <w:ind w:left="0" w:firstLine="567"/>
      </w:pPr>
      <w:r w:rsidRPr="00CC3C17">
        <w:t xml:space="preserve">transformación de registros internacionales cancelados debido a la cesación del efecto de la marca de base;  </w:t>
      </w:r>
    </w:p>
    <w:p w:rsidR="00E83687" w:rsidRPr="00CC3C17" w:rsidRDefault="00E83687" w:rsidP="00B45ED6"/>
    <w:p w:rsidR="00DA1622" w:rsidRPr="00CC3C17" w:rsidRDefault="00B45ED6" w:rsidP="00E83687">
      <w:pPr>
        <w:numPr>
          <w:ilvl w:val="0"/>
          <w:numId w:val="9"/>
        </w:numPr>
        <w:ind w:left="0" w:firstLine="567"/>
      </w:pPr>
      <w:r w:rsidRPr="00CC3C17">
        <w:t xml:space="preserve">opción de presentar designaciones </w:t>
      </w:r>
      <w:r w:rsidR="00385FFD">
        <w:t>posteriores</w:t>
      </w:r>
      <w:r w:rsidRPr="00CC3C17">
        <w:t xml:space="preserve"> y peticiones de inscripción de cancelaciones y renuncias e</w:t>
      </w:r>
      <w:r w:rsidR="00EE2DB0">
        <w:t xml:space="preserve">n la OMPI o a través de </w:t>
      </w:r>
      <w:r w:rsidRPr="00CC3C17">
        <w:t xml:space="preserve">la Oficina de la Parte Contratante del titular; </w:t>
      </w:r>
    </w:p>
    <w:p w:rsidR="00E83687" w:rsidRPr="00CC3C17" w:rsidRDefault="00E83687" w:rsidP="00E83687">
      <w:pPr>
        <w:ind w:left="567"/>
      </w:pPr>
    </w:p>
    <w:p w:rsidR="00DA1622" w:rsidRPr="00CC3C17" w:rsidRDefault="00B45ED6" w:rsidP="00E83687">
      <w:pPr>
        <w:numPr>
          <w:ilvl w:val="0"/>
          <w:numId w:val="9"/>
        </w:numPr>
        <w:ind w:left="1134" w:hanging="567"/>
      </w:pPr>
      <w:r w:rsidRPr="00CC3C17">
        <w:t xml:space="preserve">renovación de registros internacionales por períodos de 10 años; </w:t>
      </w:r>
    </w:p>
    <w:p w:rsidR="00E83687" w:rsidRPr="00CC3C17" w:rsidRDefault="00E83687" w:rsidP="00E83687">
      <w:pPr>
        <w:ind w:left="1134"/>
      </w:pPr>
    </w:p>
    <w:p w:rsidR="00DA1622" w:rsidRPr="00CC3C17" w:rsidRDefault="006C7AA9" w:rsidP="00E83687">
      <w:pPr>
        <w:numPr>
          <w:ilvl w:val="0"/>
          <w:numId w:val="9"/>
        </w:numPr>
        <w:ind w:left="0" w:firstLine="567"/>
      </w:pPr>
      <w:r w:rsidRPr="00CC3C17">
        <w:t xml:space="preserve">posibilidad de que las Partes Contratantes declaren la prórroga del período de denegación en virtud del </w:t>
      </w:r>
      <w:r w:rsidR="0002451F">
        <w:t>Artículo</w:t>
      </w:r>
      <w:r w:rsidRPr="00CC3C17">
        <w:t xml:space="preserve"> 5.2)b) y c) del Protocolo;  y</w:t>
      </w:r>
    </w:p>
    <w:p w:rsidR="00E83687" w:rsidRPr="00CC3C17" w:rsidRDefault="00E83687" w:rsidP="00E83687">
      <w:pPr>
        <w:ind w:left="567"/>
      </w:pPr>
    </w:p>
    <w:p w:rsidR="00DA1622" w:rsidRPr="00CC3C17" w:rsidRDefault="00385FFD" w:rsidP="00E83687">
      <w:pPr>
        <w:numPr>
          <w:ilvl w:val="0"/>
          <w:numId w:val="9"/>
        </w:numPr>
        <w:ind w:left="0" w:firstLine="567"/>
      </w:pPr>
      <w:r>
        <w:t>p</w:t>
      </w:r>
      <w:r w:rsidR="006C7AA9" w:rsidRPr="00CC3C17">
        <w:t>osibilidad de que las Partes Contratantes declaren que des</w:t>
      </w:r>
      <w:r>
        <w:t>ean recibir una tasa individual</w:t>
      </w:r>
      <w:r w:rsidR="006C7AA9" w:rsidRPr="00CC3C17">
        <w:t xml:space="preserve"> en virtud del </w:t>
      </w:r>
      <w:r w:rsidR="0002451F">
        <w:t>Artículo</w:t>
      </w:r>
      <w:r w:rsidR="006C7AA9" w:rsidRPr="00CC3C17">
        <w:t xml:space="preserve"> 8.7)a) del Protocolo.</w:t>
      </w:r>
    </w:p>
    <w:p w:rsidR="00E83687" w:rsidRPr="00CC3C17" w:rsidRDefault="00E83687" w:rsidP="00E83687">
      <w:pPr>
        <w:ind w:left="567"/>
      </w:pPr>
    </w:p>
    <w:p w:rsidR="006C7AA9" w:rsidRPr="00CC3C17" w:rsidRDefault="008679AA" w:rsidP="00DA1622">
      <w:r>
        <w:fldChar w:fldCharType="begin"/>
      </w:r>
      <w:r>
        <w:instrText xml:space="preserve"> AUTONUM  </w:instrText>
      </w:r>
      <w:r>
        <w:fldChar w:fldCharType="end"/>
      </w:r>
      <w:r>
        <w:tab/>
      </w:r>
      <w:r w:rsidR="006C7AA9" w:rsidRPr="00CC3C17">
        <w:t xml:space="preserve">Cabe señalar, no obstante, que en las relaciones entre los Estados </w:t>
      </w:r>
      <w:r w:rsidR="00F44CD2" w:rsidRPr="00CC3C17">
        <w:t xml:space="preserve">obligados en virtud del Arreglo y del Protocolo, las declaraciones hechas </w:t>
      </w:r>
      <w:r w:rsidR="00385FFD">
        <w:t>en virtud de</w:t>
      </w:r>
      <w:r w:rsidR="00F44CD2" w:rsidRPr="00CC3C17">
        <w:t xml:space="preserve"> los </w:t>
      </w:r>
      <w:r w:rsidR="0002451F">
        <w:t>Artículo</w:t>
      </w:r>
      <w:r w:rsidR="00F44CD2" w:rsidRPr="00CC3C17">
        <w:t>s 5.2)b) y c) y</w:t>
      </w:r>
      <w:r w:rsidR="0012549D">
        <w:t> </w:t>
      </w:r>
      <w:r w:rsidR="00F44CD2" w:rsidRPr="00CC3C17">
        <w:t xml:space="preserve">8.7)a) descritas anteriormente dejarán de surtir efecto de conformidad con el </w:t>
      </w:r>
      <w:r w:rsidR="0002451F">
        <w:t>Artículo</w:t>
      </w:r>
      <w:r w:rsidR="0012549D">
        <w:t> </w:t>
      </w:r>
      <w:r w:rsidR="00F44CD2" w:rsidRPr="00CC3C17">
        <w:t>9</w:t>
      </w:r>
      <w:r w:rsidR="00F44CD2" w:rsidRPr="00CC3C17">
        <w:rPr>
          <w:i/>
        </w:rPr>
        <w:t>sexies</w:t>
      </w:r>
      <w:r w:rsidR="00F44CD2" w:rsidRPr="00CC3C17">
        <w:t xml:space="preserve">1)b) del Protocolo.  Por </w:t>
      </w:r>
      <w:r w:rsidR="00F44CD2" w:rsidRPr="00E326F4">
        <w:t xml:space="preserve">consiguiente, </w:t>
      </w:r>
      <w:r w:rsidR="00E326F4" w:rsidRPr="00E326F4">
        <w:t>con respecto a</w:t>
      </w:r>
      <w:r w:rsidR="007D07EA" w:rsidRPr="00E326F4">
        <w:t xml:space="preserve"> </w:t>
      </w:r>
      <w:r w:rsidR="00F44CD2" w:rsidRPr="00E326F4">
        <w:t>las designaciones</w:t>
      </w:r>
      <w:r w:rsidR="00F44CD2" w:rsidRPr="00CC3C17">
        <w:t xml:space="preserve"> en registros internacionales en que las Partes Contratantes en cuestión están obligadas por ambos tratados, </w:t>
      </w:r>
      <w:r w:rsidR="00E326F4">
        <w:t xml:space="preserve">seguirán siendo de aplicación </w:t>
      </w:r>
      <w:r w:rsidR="00F44CD2" w:rsidRPr="00CC3C17">
        <w:t xml:space="preserve">el período máximo de denegación de un año previsto en el </w:t>
      </w:r>
      <w:r w:rsidR="0002451F">
        <w:t>Artículo</w:t>
      </w:r>
      <w:r w:rsidR="00F44CD2" w:rsidRPr="00CC3C17">
        <w:t xml:space="preserve"> 5.2)a) y las tasas suplementarias y </w:t>
      </w:r>
      <w:r w:rsidR="007D07EA" w:rsidRPr="00CC3C17">
        <w:t>los complementos de tasas</w:t>
      </w:r>
      <w:r w:rsidR="00F44CD2" w:rsidRPr="00CC3C17">
        <w:t xml:space="preserve"> </w:t>
      </w:r>
      <w:r w:rsidR="007D07EA" w:rsidRPr="00CC3C17">
        <w:t>que se indican</w:t>
      </w:r>
      <w:r w:rsidR="00F44CD2" w:rsidRPr="00CC3C17">
        <w:t xml:space="preserve"> en el </w:t>
      </w:r>
      <w:r w:rsidR="0002451F">
        <w:t>Artículo</w:t>
      </w:r>
      <w:r w:rsidR="00F44CD2" w:rsidRPr="00CC3C17">
        <w:t xml:space="preserve"> 8.2) del Protocolo</w:t>
      </w:r>
      <w:r w:rsidR="007D07EA" w:rsidRPr="00CC3C17">
        <w:t xml:space="preserve">. </w:t>
      </w:r>
    </w:p>
    <w:p w:rsidR="00E83687" w:rsidRPr="00CC3C17" w:rsidRDefault="00E83687" w:rsidP="00DA1622"/>
    <w:p w:rsidR="001C1588" w:rsidRPr="00CC3C17" w:rsidRDefault="008679AA" w:rsidP="006D1756">
      <w:r>
        <w:fldChar w:fldCharType="begin"/>
      </w:r>
      <w:r>
        <w:instrText xml:space="preserve"> AUTONUM  </w:instrText>
      </w:r>
      <w:r>
        <w:fldChar w:fldCharType="end"/>
      </w:r>
      <w:r>
        <w:tab/>
      </w:r>
      <w:r w:rsidR="00AA5452" w:rsidRPr="00CC3C17">
        <w:t>En resumen,</w:t>
      </w:r>
      <w:r w:rsidR="00AA5452">
        <w:t xml:space="preserve"> </w:t>
      </w:r>
      <w:r w:rsidR="005F5937">
        <w:t xml:space="preserve">todas </w:t>
      </w:r>
      <w:r w:rsidR="001B767D" w:rsidRPr="00CC3C17">
        <w:t xml:space="preserve">las solicitudes y los registros internacionales se regirán a partir de ahora por el Protocolo, </w:t>
      </w:r>
      <w:r w:rsidR="00760CA5">
        <w:t xml:space="preserve">aunque </w:t>
      </w:r>
      <w:r w:rsidR="001B767D" w:rsidRPr="00CC3C17">
        <w:t xml:space="preserve">el Arreglo seguirá en vigor.  Por </w:t>
      </w:r>
      <w:r w:rsidR="00760CA5">
        <w:t>consiguiente</w:t>
      </w:r>
      <w:r w:rsidR="001B767D" w:rsidRPr="00CC3C17">
        <w:t xml:space="preserve">, </w:t>
      </w:r>
      <w:r w:rsidR="00DC47C8">
        <w:t xml:space="preserve">se suspenderán </w:t>
      </w:r>
      <w:r w:rsidR="001B767D" w:rsidRPr="00CC3C17">
        <w:t xml:space="preserve">las disposiciones del Reglamento Común </w:t>
      </w:r>
      <w:r>
        <w:t xml:space="preserve">del Arreglo y del Protocolo </w:t>
      </w:r>
      <w:r w:rsidR="001B767D" w:rsidRPr="00CC3C17">
        <w:t>que implican la aplicación del A</w:t>
      </w:r>
      <w:r w:rsidR="00DC47C8">
        <w:t>rreglo</w:t>
      </w:r>
      <w:r w:rsidR="001B767D" w:rsidRPr="00CC3C17">
        <w:t xml:space="preserve">, </w:t>
      </w:r>
      <w:r w:rsidR="001C1588" w:rsidRPr="00CC3C17">
        <w:t xml:space="preserve">aun cuando no hayan sido derogadas oficialmente.  </w:t>
      </w:r>
      <w:r w:rsidR="00760CA5">
        <w:t xml:space="preserve">Por lo tanto, </w:t>
      </w:r>
      <w:r w:rsidR="00CC3C17" w:rsidRPr="00CC3C17">
        <w:t xml:space="preserve">el Protocolo regirá todas las </w:t>
      </w:r>
      <w:r w:rsidR="00DC47C8">
        <w:t xml:space="preserve">operaciones </w:t>
      </w:r>
      <w:r w:rsidR="00CC3C17" w:rsidRPr="00CC3C17">
        <w:t xml:space="preserve">efectuadas por </w:t>
      </w:r>
      <w:r w:rsidR="00760CA5" w:rsidRPr="00CC3C17">
        <w:t>las Partes Contratantes</w:t>
      </w:r>
      <w:r w:rsidR="00760CA5">
        <w:t xml:space="preserve"> y por </w:t>
      </w:r>
      <w:r w:rsidR="00E1717D">
        <w:t>los usuarios y</w:t>
      </w:r>
      <w:r w:rsidR="00CC3C17" w:rsidRPr="00CC3C17">
        <w:t xml:space="preserve"> </w:t>
      </w:r>
      <w:r w:rsidR="00E1717D">
        <w:t>o con respecto a ellos</w:t>
      </w:r>
      <w:r w:rsidR="001C1588" w:rsidRPr="00CC3C17">
        <w:t xml:space="preserve">.  </w:t>
      </w:r>
    </w:p>
    <w:p w:rsidR="00E83687" w:rsidRPr="00CC3C17" w:rsidRDefault="00E83687" w:rsidP="006D1756"/>
    <w:p w:rsidR="00E83687" w:rsidRPr="00CC3C17" w:rsidRDefault="00E83687" w:rsidP="006D1756"/>
    <w:p w:rsidR="00163F61" w:rsidRPr="00CC3C17" w:rsidRDefault="00AA5452" w:rsidP="00E77D94">
      <w:pPr>
        <w:pStyle w:val="Endofdocument-Annex"/>
      </w:pPr>
      <w:bookmarkStart w:id="1" w:name="_GoBack"/>
      <w:bookmarkEnd w:id="1"/>
      <w:r>
        <w:t>2</w:t>
      </w:r>
      <w:r w:rsidR="00B45ED6" w:rsidRPr="00CC3C17">
        <w:t xml:space="preserve"> de </w:t>
      </w:r>
      <w:r>
        <w:t>octubre</w:t>
      </w:r>
      <w:r w:rsidR="00B45ED6" w:rsidRPr="00CC3C17">
        <w:t xml:space="preserve"> de</w:t>
      </w:r>
      <w:r w:rsidR="00CA4166" w:rsidRPr="00CC3C17">
        <w:t xml:space="preserve"> 201</w:t>
      </w:r>
      <w:r w:rsidR="00EF4EB2" w:rsidRPr="00CC3C17">
        <w:t>5</w:t>
      </w:r>
    </w:p>
    <w:sectPr w:rsidR="00163F61" w:rsidRPr="00CC3C17"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w:t>
      </w:r>
      <w:r w:rsidR="00CC3C17">
        <w:rPr>
          <w:sz w:val="17"/>
        </w:rPr>
        <w:t>Endónate</w:t>
      </w:r>
      <w:r>
        <w:rPr>
          <w:sz w:val="17"/>
        </w:rPr>
        <w:t xml:space="preserve"> </w:t>
      </w:r>
      <w:r w:rsidR="00CC3C17">
        <w:rPr>
          <w:sz w:val="17"/>
        </w:rPr>
        <w:t>continuad</w:t>
      </w:r>
      <w:r>
        <w:rPr>
          <w:sz w:val="17"/>
        </w:rPr>
        <w:t xml:space="preserve"> </w:t>
      </w:r>
      <w:r w:rsidR="00CC3C17">
        <w:rPr>
          <w:sz w:val="17"/>
        </w:rPr>
        <w:t>Fromm</w:t>
      </w:r>
      <w:r>
        <w:rPr>
          <w:sz w:val="17"/>
        </w:rPr>
        <w:t xml:space="preserve"> </w:t>
      </w:r>
      <w:r w:rsidR="00CC3C17">
        <w:rPr>
          <w:sz w:val="17"/>
        </w:rPr>
        <w:t>previos</w:t>
      </w:r>
      <w:r>
        <w:rPr>
          <w:sz w:val="17"/>
        </w:rPr>
        <w:t xml:space="preserve"> page]</w:t>
      </w:r>
    </w:p>
  </w:endnote>
  <w:endnote w:type="continuationNotice" w:id="1">
    <w:p w:rsidR="00A94E39" w:rsidRPr="00D11972" w:rsidRDefault="00A94E39" w:rsidP="003B38C1">
      <w:pPr>
        <w:spacing w:before="60"/>
        <w:jc w:val="right"/>
        <w:rPr>
          <w:sz w:val="17"/>
          <w:szCs w:val="17"/>
          <w:lang w:val="fr-FR"/>
        </w:rPr>
      </w:pPr>
      <w:r w:rsidRPr="00D11972">
        <w:rPr>
          <w:sz w:val="17"/>
          <w:szCs w:val="17"/>
          <w:lang w:val="fr-FR"/>
        </w:rPr>
        <w:t>[</w:t>
      </w:r>
      <w:r w:rsidR="00CC3C17" w:rsidRPr="00D11972">
        <w:rPr>
          <w:sz w:val="17"/>
          <w:szCs w:val="17"/>
          <w:lang w:val="fr-FR"/>
        </w:rPr>
        <w:t>Endónate</w:t>
      </w:r>
      <w:r w:rsidRPr="00D11972">
        <w:rPr>
          <w:sz w:val="17"/>
          <w:szCs w:val="17"/>
          <w:lang w:val="fr-FR"/>
        </w:rPr>
        <w:t xml:space="preserve"> </w:t>
      </w:r>
      <w:r w:rsidR="00CC3C17" w:rsidRPr="00D11972">
        <w:rPr>
          <w:sz w:val="17"/>
          <w:szCs w:val="17"/>
          <w:lang w:val="fr-FR"/>
        </w:rPr>
        <w:t>continuad</w:t>
      </w:r>
      <w:r w:rsidRPr="00D11972">
        <w:rPr>
          <w:sz w:val="17"/>
          <w:szCs w:val="17"/>
          <w:lang w:val="fr-FR"/>
        </w:rPr>
        <w:t xml:space="preserve"> </w:t>
      </w:r>
      <w:r w:rsidR="00CC3C17" w:rsidRPr="00D11972">
        <w:rPr>
          <w:sz w:val="17"/>
          <w:szCs w:val="17"/>
          <w:lang w:val="fr-FR"/>
        </w:rPr>
        <w:t>en</w:t>
      </w:r>
      <w:r w:rsidRPr="00D11972">
        <w:rPr>
          <w:sz w:val="17"/>
          <w:szCs w:val="17"/>
          <w:lang w:val="fr-FR"/>
        </w:rPr>
        <w:t xml:space="preserve"> </w:t>
      </w:r>
      <w:r w:rsidR="00CC3C17" w:rsidRPr="00D11972">
        <w:rPr>
          <w:sz w:val="17"/>
          <w:szCs w:val="17"/>
          <w:lang w:val="fr-FR"/>
        </w:rPr>
        <w:t>net</w:t>
      </w:r>
      <w:r w:rsidRPr="00D11972">
        <w:rPr>
          <w:sz w:val="17"/>
          <w:szCs w:val="17"/>
          <w:lang w:val="fr-FR"/>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w:t>
      </w:r>
      <w:r w:rsidR="00CC3C17" w:rsidRPr="00ED77FB">
        <w:rPr>
          <w:sz w:val="17"/>
          <w:szCs w:val="17"/>
        </w:rPr>
        <w:t>Fotones</w:t>
      </w:r>
      <w:r w:rsidRPr="00ED77FB">
        <w:rPr>
          <w:sz w:val="17"/>
          <w:szCs w:val="17"/>
        </w:rPr>
        <w:t xml:space="preserve"> </w:t>
      </w:r>
      <w:r w:rsidR="00CC3C17" w:rsidRPr="00ED77FB">
        <w:rPr>
          <w:sz w:val="17"/>
          <w:szCs w:val="17"/>
        </w:rPr>
        <w:t>continuad</w:t>
      </w:r>
      <w:r w:rsidRPr="00ED77FB">
        <w:rPr>
          <w:sz w:val="17"/>
          <w:szCs w:val="17"/>
        </w:rPr>
        <w:t xml:space="preserve"> </w:t>
      </w:r>
      <w:r w:rsidR="00CC3C17" w:rsidRPr="00ED77FB">
        <w:rPr>
          <w:sz w:val="17"/>
          <w:szCs w:val="17"/>
        </w:rPr>
        <w:t>Fromm</w:t>
      </w:r>
      <w:r w:rsidRPr="00ED77FB">
        <w:rPr>
          <w:sz w:val="17"/>
          <w:szCs w:val="17"/>
        </w:rPr>
        <w:t xml:space="preserve"> </w:t>
      </w:r>
      <w:r w:rsidR="00CC3C17" w:rsidRPr="00ED77FB">
        <w:rPr>
          <w:sz w:val="17"/>
          <w:szCs w:val="17"/>
        </w:rPr>
        <w:t>previos</w:t>
      </w:r>
      <w:r w:rsidRPr="00ED77FB">
        <w:rPr>
          <w:sz w:val="17"/>
          <w:szCs w:val="17"/>
        </w:rPr>
        <w:t xml:space="preserve"> page]</w:t>
      </w:r>
    </w:p>
  </w:footnote>
  <w:footnote w:type="continuationNotice" w:id="1">
    <w:p w:rsidR="00A94E39" w:rsidRPr="00ED77FB" w:rsidRDefault="00A94E39" w:rsidP="008B60B2">
      <w:pPr>
        <w:spacing w:before="60"/>
        <w:jc w:val="right"/>
        <w:rPr>
          <w:sz w:val="17"/>
          <w:szCs w:val="17"/>
        </w:rPr>
      </w:pPr>
      <w:r w:rsidRPr="00ED77FB">
        <w:rPr>
          <w:sz w:val="17"/>
          <w:szCs w:val="17"/>
        </w:rPr>
        <w:t>[</w:t>
      </w:r>
      <w:r w:rsidR="00CC3C17" w:rsidRPr="00ED77FB">
        <w:rPr>
          <w:sz w:val="17"/>
          <w:szCs w:val="17"/>
        </w:rPr>
        <w:t>Fotones</w:t>
      </w:r>
      <w:r w:rsidRPr="00ED77FB">
        <w:rPr>
          <w:sz w:val="17"/>
          <w:szCs w:val="17"/>
        </w:rPr>
        <w:t xml:space="preserve"> </w:t>
      </w:r>
      <w:r w:rsidR="00CC3C17" w:rsidRPr="00ED77FB">
        <w:rPr>
          <w:sz w:val="17"/>
          <w:szCs w:val="17"/>
        </w:rPr>
        <w:t>continuad</w:t>
      </w:r>
      <w:r w:rsidRPr="00ED77FB">
        <w:rPr>
          <w:sz w:val="17"/>
          <w:szCs w:val="17"/>
        </w:rPr>
        <w:t xml:space="preserve"> </w:t>
      </w:r>
      <w:r w:rsidR="00CC3C17" w:rsidRPr="00ED77FB">
        <w:rPr>
          <w:sz w:val="17"/>
          <w:szCs w:val="17"/>
        </w:rPr>
        <w:t>en</w:t>
      </w:r>
      <w:r w:rsidRPr="00ED77FB">
        <w:rPr>
          <w:sz w:val="17"/>
          <w:szCs w:val="17"/>
        </w:rPr>
        <w:t xml:space="preserve"> </w:t>
      </w:r>
      <w:r w:rsidR="00CC3C17" w:rsidRPr="00ED77FB">
        <w:rPr>
          <w:sz w:val="17"/>
          <w:szCs w:val="17"/>
        </w:rPr>
        <w:t>net</w:t>
      </w:r>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D11972" w:rsidP="00477D6B">
    <w:pPr>
      <w:jc w:val="right"/>
    </w:pPr>
    <w:r>
      <w:t>página</w:t>
    </w:r>
    <w:r w:rsidR="00466BC7">
      <w:t xml:space="preserve"> </w:t>
    </w:r>
    <w:r w:rsidR="00163F61">
      <w:fldChar w:fldCharType="begin"/>
    </w:r>
    <w:r w:rsidR="00163F61">
      <w:instrText xml:space="preserve"> PAGE  \* MERGEFORMAT </w:instrText>
    </w:r>
    <w:r w:rsidR="00163F61">
      <w:fldChar w:fldCharType="separate"/>
    </w:r>
    <w:r w:rsidR="003E0B67">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EE710E9"/>
    <w:multiLevelType w:val="hybridMultilevel"/>
    <w:tmpl w:val="4A7C0DCA"/>
    <w:lvl w:ilvl="0" w:tplc="81CAAB4A">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70C2440"/>
    <w:multiLevelType w:val="hybridMultilevel"/>
    <w:tmpl w:val="10A865C6"/>
    <w:lvl w:ilvl="0" w:tplc="D840922A">
      <w:start w:val="6"/>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B53"/>
    <w:rsid w:val="000123A6"/>
    <w:rsid w:val="0002451F"/>
    <w:rsid w:val="00043313"/>
    <w:rsid w:val="00043CAA"/>
    <w:rsid w:val="000617A9"/>
    <w:rsid w:val="0006182B"/>
    <w:rsid w:val="00065151"/>
    <w:rsid w:val="000728FF"/>
    <w:rsid w:val="00075432"/>
    <w:rsid w:val="000822DE"/>
    <w:rsid w:val="000968ED"/>
    <w:rsid w:val="000A2B1B"/>
    <w:rsid w:val="000A32EF"/>
    <w:rsid w:val="000A525D"/>
    <w:rsid w:val="000A58D1"/>
    <w:rsid w:val="000C3428"/>
    <w:rsid w:val="000C55F4"/>
    <w:rsid w:val="000C6D60"/>
    <w:rsid w:val="000D3921"/>
    <w:rsid w:val="000E73ED"/>
    <w:rsid w:val="000F5E56"/>
    <w:rsid w:val="0012549D"/>
    <w:rsid w:val="001272E3"/>
    <w:rsid w:val="00131BD8"/>
    <w:rsid w:val="00133F53"/>
    <w:rsid w:val="001362EE"/>
    <w:rsid w:val="001367A1"/>
    <w:rsid w:val="001370D1"/>
    <w:rsid w:val="0015037D"/>
    <w:rsid w:val="00153AE0"/>
    <w:rsid w:val="00163F61"/>
    <w:rsid w:val="00166299"/>
    <w:rsid w:val="001809F6"/>
    <w:rsid w:val="00182AAC"/>
    <w:rsid w:val="001832A6"/>
    <w:rsid w:val="0018470B"/>
    <w:rsid w:val="00185E31"/>
    <w:rsid w:val="00186DE1"/>
    <w:rsid w:val="001B767D"/>
    <w:rsid w:val="001C1588"/>
    <w:rsid w:val="001C2D7E"/>
    <w:rsid w:val="001C565A"/>
    <w:rsid w:val="001D15DD"/>
    <w:rsid w:val="001E2A93"/>
    <w:rsid w:val="001E3305"/>
    <w:rsid w:val="001E3850"/>
    <w:rsid w:val="001F1B95"/>
    <w:rsid w:val="001F717F"/>
    <w:rsid w:val="0020258E"/>
    <w:rsid w:val="00203F6A"/>
    <w:rsid w:val="0020551F"/>
    <w:rsid w:val="00210DFB"/>
    <w:rsid w:val="00223225"/>
    <w:rsid w:val="0022493E"/>
    <w:rsid w:val="00224A8A"/>
    <w:rsid w:val="002369E1"/>
    <w:rsid w:val="002408FD"/>
    <w:rsid w:val="00251890"/>
    <w:rsid w:val="0025278E"/>
    <w:rsid w:val="002634C4"/>
    <w:rsid w:val="00271540"/>
    <w:rsid w:val="002823CC"/>
    <w:rsid w:val="00284ACE"/>
    <w:rsid w:val="00285BE3"/>
    <w:rsid w:val="002928D3"/>
    <w:rsid w:val="002A2E4F"/>
    <w:rsid w:val="002B6590"/>
    <w:rsid w:val="002B7BA3"/>
    <w:rsid w:val="002C1554"/>
    <w:rsid w:val="002C168C"/>
    <w:rsid w:val="002C38D8"/>
    <w:rsid w:val="002C544F"/>
    <w:rsid w:val="002D2CC3"/>
    <w:rsid w:val="002F016B"/>
    <w:rsid w:val="002F1FE6"/>
    <w:rsid w:val="002F4E68"/>
    <w:rsid w:val="002F589C"/>
    <w:rsid w:val="00312F7F"/>
    <w:rsid w:val="00317670"/>
    <w:rsid w:val="003235A0"/>
    <w:rsid w:val="00324A0A"/>
    <w:rsid w:val="00324A92"/>
    <w:rsid w:val="00335EC1"/>
    <w:rsid w:val="00347330"/>
    <w:rsid w:val="00356DC2"/>
    <w:rsid w:val="00357985"/>
    <w:rsid w:val="003612A1"/>
    <w:rsid w:val="00361450"/>
    <w:rsid w:val="00365541"/>
    <w:rsid w:val="003673CF"/>
    <w:rsid w:val="003845C1"/>
    <w:rsid w:val="003850E4"/>
    <w:rsid w:val="00385FFD"/>
    <w:rsid w:val="00396888"/>
    <w:rsid w:val="003A6F89"/>
    <w:rsid w:val="003B38C1"/>
    <w:rsid w:val="003C2450"/>
    <w:rsid w:val="003C2CB7"/>
    <w:rsid w:val="003E0B67"/>
    <w:rsid w:val="003E0D9F"/>
    <w:rsid w:val="003E5040"/>
    <w:rsid w:val="004052E1"/>
    <w:rsid w:val="00411FB2"/>
    <w:rsid w:val="00414A9E"/>
    <w:rsid w:val="00423E3E"/>
    <w:rsid w:val="004255D7"/>
    <w:rsid w:val="00427AF4"/>
    <w:rsid w:val="004630B4"/>
    <w:rsid w:val="004647DA"/>
    <w:rsid w:val="00466BC7"/>
    <w:rsid w:val="0047006A"/>
    <w:rsid w:val="004738DE"/>
    <w:rsid w:val="00474062"/>
    <w:rsid w:val="00477D6B"/>
    <w:rsid w:val="00477EF9"/>
    <w:rsid w:val="004900DE"/>
    <w:rsid w:val="004936FC"/>
    <w:rsid w:val="004947C5"/>
    <w:rsid w:val="004B0093"/>
    <w:rsid w:val="004B336C"/>
    <w:rsid w:val="004B60B4"/>
    <w:rsid w:val="004C7C7E"/>
    <w:rsid w:val="004F5A30"/>
    <w:rsid w:val="005019FF"/>
    <w:rsid w:val="005243B1"/>
    <w:rsid w:val="0053057A"/>
    <w:rsid w:val="00546473"/>
    <w:rsid w:val="00546A94"/>
    <w:rsid w:val="00560708"/>
    <w:rsid w:val="00560A29"/>
    <w:rsid w:val="005621EC"/>
    <w:rsid w:val="00563C83"/>
    <w:rsid w:val="00563FB7"/>
    <w:rsid w:val="00566749"/>
    <w:rsid w:val="00566C48"/>
    <w:rsid w:val="005868B8"/>
    <w:rsid w:val="005909A2"/>
    <w:rsid w:val="0059245B"/>
    <w:rsid w:val="005A0B48"/>
    <w:rsid w:val="005A192B"/>
    <w:rsid w:val="005A6A2A"/>
    <w:rsid w:val="005B5479"/>
    <w:rsid w:val="005C6649"/>
    <w:rsid w:val="005C720D"/>
    <w:rsid w:val="005E63C1"/>
    <w:rsid w:val="005F2F3B"/>
    <w:rsid w:val="005F5937"/>
    <w:rsid w:val="00605827"/>
    <w:rsid w:val="00613134"/>
    <w:rsid w:val="00624CFD"/>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C7AA9"/>
    <w:rsid w:val="006D1756"/>
    <w:rsid w:val="006D240A"/>
    <w:rsid w:val="006D375F"/>
    <w:rsid w:val="006D3804"/>
    <w:rsid w:val="006D3AB3"/>
    <w:rsid w:val="006D529E"/>
    <w:rsid w:val="006E20A4"/>
    <w:rsid w:val="006F073B"/>
    <w:rsid w:val="006F33FF"/>
    <w:rsid w:val="007227A5"/>
    <w:rsid w:val="007303D8"/>
    <w:rsid w:val="007427EC"/>
    <w:rsid w:val="00744D41"/>
    <w:rsid w:val="00760CA5"/>
    <w:rsid w:val="007641F5"/>
    <w:rsid w:val="00765FEF"/>
    <w:rsid w:val="00767C4D"/>
    <w:rsid w:val="00773CE3"/>
    <w:rsid w:val="00775EBD"/>
    <w:rsid w:val="00782581"/>
    <w:rsid w:val="00790A94"/>
    <w:rsid w:val="0079287D"/>
    <w:rsid w:val="007A0427"/>
    <w:rsid w:val="007A0BEF"/>
    <w:rsid w:val="007A0D38"/>
    <w:rsid w:val="007A1B85"/>
    <w:rsid w:val="007B7426"/>
    <w:rsid w:val="007B7F73"/>
    <w:rsid w:val="007C3E9B"/>
    <w:rsid w:val="007D07EA"/>
    <w:rsid w:val="007D1613"/>
    <w:rsid w:val="007D250A"/>
    <w:rsid w:val="007F4D09"/>
    <w:rsid w:val="007F62D1"/>
    <w:rsid w:val="00804EC4"/>
    <w:rsid w:val="008101B4"/>
    <w:rsid w:val="00824519"/>
    <w:rsid w:val="00841ED0"/>
    <w:rsid w:val="00853FA8"/>
    <w:rsid w:val="00854071"/>
    <w:rsid w:val="00854FDF"/>
    <w:rsid w:val="008679AA"/>
    <w:rsid w:val="00877133"/>
    <w:rsid w:val="00885618"/>
    <w:rsid w:val="00886684"/>
    <w:rsid w:val="008929D1"/>
    <w:rsid w:val="008948BE"/>
    <w:rsid w:val="008977D0"/>
    <w:rsid w:val="008A175B"/>
    <w:rsid w:val="008B23F7"/>
    <w:rsid w:val="008B2CC1"/>
    <w:rsid w:val="008B3FAB"/>
    <w:rsid w:val="008B60B2"/>
    <w:rsid w:val="008C2D2F"/>
    <w:rsid w:val="008C2FE6"/>
    <w:rsid w:val="008D50B2"/>
    <w:rsid w:val="008F1F70"/>
    <w:rsid w:val="0090731E"/>
    <w:rsid w:val="00916EE2"/>
    <w:rsid w:val="009222BB"/>
    <w:rsid w:val="00922789"/>
    <w:rsid w:val="009378BE"/>
    <w:rsid w:val="00940793"/>
    <w:rsid w:val="00943E32"/>
    <w:rsid w:val="009449F2"/>
    <w:rsid w:val="00965EC2"/>
    <w:rsid w:val="00966A22"/>
    <w:rsid w:val="0096722F"/>
    <w:rsid w:val="0097652C"/>
    <w:rsid w:val="00980843"/>
    <w:rsid w:val="009820CB"/>
    <w:rsid w:val="00987E9A"/>
    <w:rsid w:val="00987F6A"/>
    <w:rsid w:val="009903A3"/>
    <w:rsid w:val="00992A2D"/>
    <w:rsid w:val="00997AAD"/>
    <w:rsid w:val="009A591F"/>
    <w:rsid w:val="009C0C04"/>
    <w:rsid w:val="009E2791"/>
    <w:rsid w:val="009E3F6F"/>
    <w:rsid w:val="009E5F9F"/>
    <w:rsid w:val="009E72BA"/>
    <w:rsid w:val="009F2952"/>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64371"/>
    <w:rsid w:val="00A869B7"/>
    <w:rsid w:val="00A94C3F"/>
    <w:rsid w:val="00A94E39"/>
    <w:rsid w:val="00AA1EEF"/>
    <w:rsid w:val="00AA5452"/>
    <w:rsid w:val="00AC205C"/>
    <w:rsid w:val="00AC76CA"/>
    <w:rsid w:val="00AD38EE"/>
    <w:rsid w:val="00AD70BE"/>
    <w:rsid w:val="00AF0A6B"/>
    <w:rsid w:val="00AF5108"/>
    <w:rsid w:val="00B05A69"/>
    <w:rsid w:val="00B1322D"/>
    <w:rsid w:val="00B21387"/>
    <w:rsid w:val="00B2247B"/>
    <w:rsid w:val="00B27CB2"/>
    <w:rsid w:val="00B30767"/>
    <w:rsid w:val="00B42DF3"/>
    <w:rsid w:val="00B45ED6"/>
    <w:rsid w:val="00B46D7E"/>
    <w:rsid w:val="00B54D7D"/>
    <w:rsid w:val="00B71605"/>
    <w:rsid w:val="00B83157"/>
    <w:rsid w:val="00B85937"/>
    <w:rsid w:val="00B9734B"/>
    <w:rsid w:val="00B97A85"/>
    <w:rsid w:val="00BA59F8"/>
    <w:rsid w:val="00BA63F6"/>
    <w:rsid w:val="00BA6DE5"/>
    <w:rsid w:val="00BA6E48"/>
    <w:rsid w:val="00BA7660"/>
    <w:rsid w:val="00BA767A"/>
    <w:rsid w:val="00BB30F3"/>
    <w:rsid w:val="00BB78C7"/>
    <w:rsid w:val="00BD1BF1"/>
    <w:rsid w:val="00BD1ECD"/>
    <w:rsid w:val="00BD4DCA"/>
    <w:rsid w:val="00BE55D6"/>
    <w:rsid w:val="00BE5857"/>
    <w:rsid w:val="00C02040"/>
    <w:rsid w:val="00C11BFE"/>
    <w:rsid w:val="00C146FC"/>
    <w:rsid w:val="00C30B85"/>
    <w:rsid w:val="00C32F61"/>
    <w:rsid w:val="00C45642"/>
    <w:rsid w:val="00C47421"/>
    <w:rsid w:val="00C553FB"/>
    <w:rsid w:val="00C556FE"/>
    <w:rsid w:val="00C61A8F"/>
    <w:rsid w:val="00C63443"/>
    <w:rsid w:val="00C634D0"/>
    <w:rsid w:val="00C67841"/>
    <w:rsid w:val="00C71656"/>
    <w:rsid w:val="00C771EA"/>
    <w:rsid w:val="00C977DB"/>
    <w:rsid w:val="00CA3D77"/>
    <w:rsid w:val="00CA4166"/>
    <w:rsid w:val="00CB132F"/>
    <w:rsid w:val="00CB13CA"/>
    <w:rsid w:val="00CB2AEB"/>
    <w:rsid w:val="00CB5A5D"/>
    <w:rsid w:val="00CC3C17"/>
    <w:rsid w:val="00CC5016"/>
    <w:rsid w:val="00CD3F54"/>
    <w:rsid w:val="00CE0A51"/>
    <w:rsid w:val="00CE0F4D"/>
    <w:rsid w:val="00CE6390"/>
    <w:rsid w:val="00CF4536"/>
    <w:rsid w:val="00CF5163"/>
    <w:rsid w:val="00D01FB2"/>
    <w:rsid w:val="00D1197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A1622"/>
    <w:rsid w:val="00DB42CB"/>
    <w:rsid w:val="00DC3E50"/>
    <w:rsid w:val="00DC47C8"/>
    <w:rsid w:val="00E00B14"/>
    <w:rsid w:val="00E1717D"/>
    <w:rsid w:val="00E208E6"/>
    <w:rsid w:val="00E210C4"/>
    <w:rsid w:val="00E213EE"/>
    <w:rsid w:val="00E2644B"/>
    <w:rsid w:val="00E326F4"/>
    <w:rsid w:val="00E335FE"/>
    <w:rsid w:val="00E350BF"/>
    <w:rsid w:val="00E42B9A"/>
    <w:rsid w:val="00E52C2C"/>
    <w:rsid w:val="00E532DC"/>
    <w:rsid w:val="00E5453D"/>
    <w:rsid w:val="00E66C2C"/>
    <w:rsid w:val="00E77D94"/>
    <w:rsid w:val="00E83687"/>
    <w:rsid w:val="00E973A8"/>
    <w:rsid w:val="00E97EC3"/>
    <w:rsid w:val="00EB50E5"/>
    <w:rsid w:val="00EC23FC"/>
    <w:rsid w:val="00EC4E49"/>
    <w:rsid w:val="00EC7D95"/>
    <w:rsid w:val="00ED4C4F"/>
    <w:rsid w:val="00ED77FB"/>
    <w:rsid w:val="00EE2DB0"/>
    <w:rsid w:val="00EE45FA"/>
    <w:rsid w:val="00EE5748"/>
    <w:rsid w:val="00EF0146"/>
    <w:rsid w:val="00EF4EB2"/>
    <w:rsid w:val="00F015EC"/>
    <w:rsid w:val="00F06DF3"/>
    <w:rsid w:val="00F0720F"/>
    <w:rsid w:val="00F201C4"/>
    <w:rsid w:val="00F37F68"/>
    <w:rsid w:val="00F44CD2"/>
    <w:rsid w:val="00F52AC0"/>
    <w:rsid w:val="00F62CDB"/>
    <w:rsid w:val="00F64B5E"/>
    <w:rsid w:val="00F66152"/>
    <w:rsid w:val="00F7721F"/>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641</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2015-10-01T09:12:00Z</cp:lastPrinted>
  <dcterms:created xsi:type="dcterms:W3CDTF">2015-09-25T10:21:00Z</dcterms:created>
  <dcterms:modified xsi:type="dcterms:W3CDTF">2015-10-01T09:18:00Z</dcterms:modified>
</cp:coreProperties>
</file>