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E83E0A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5E7117">
              <w:rPr>
                <w:rFonts w:ascii="Arial Black" w:hAnsi="Arial Black"/>
                <w:color w:val="000000"/>
                <w:sz w:val="15"/>
                <w:lang w:val="es-ES_tradnl"/>
              </w:rPr>
              <w:t>35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E83E0A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3F63D0" w:rsidP="0027396E">
      <w:pPr>
        <w:rPr>
          <w:b/>
          <w:sz w:val="24"/>
          <w:szCs w:val="24"/>
          <w:lang w:val="es-ES_tradnl"/>
        </w:rPr>
      </w:pPr>
      <w:r w:rsidRPr="003F63D0">
        <w:rPr>
          <w:rFonts w:eastAsia="MS Mincho"/>
          <w:b/>
          <w:bCs/>
          <w:sz w:val="24"/>
          <w:szCs w:val="24"/>
          <w:lang w:val="es-ES_tradnl" w:eastAsia="ja-JP"/>
        </w:rPr>
        <w:t>Adhesión al Protocolo de Madrid</w:t>
      </w:r>
      <w:proofErr w:type="gramStart"/>
      <w:r w:rsidR="0027396E" w:rsidRPr="0027396E">
        <w:rPr>
          <w:b/>
          <w:sz w:val="24"/>
          <w:szCs w:val="24"/>
          <w:lang w:val="es-ES_tradnl"/>
        </w:rPr>
        <w:t xml:space="preserve">:  </w:t>
      </w:r>
      <w:r w:rsidR="007917E5">
        <w:rPr>
          <w:b/>
          <w:sz w:val="24"/>
          <w:szCs w:val="24"/>
          <w:lang w:val="es-ES_tradnl"/>
        </w:rPr>
        <w:t>Argelia</w:t>
      </w:r>
      <w:proofErr w:type="gramEnd"/>
    </w:p>
    <w:p w:rsidR="0027396E" w:rsidRPr="0027396E" w:rsidRDefault="0027396E" w:rsidP="0027396E">
      <w:pPr>
        <w:rPr>
          <w:szCs w:val="22"/>
          <w:lang w:val="es-ES_tradnl"/>
        </w:rPr>
      </w:pPr>
    </w:p>
    <w:p w:rsidR="00A77F85" w:rsidRPr="007917E5" w:rsidRDefault="00F83AD8" w:rsidP="007917E5">
      <w:pPr>
        <w:pStyle w:val="ONUMFS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El 31</w:t>
      </w:r>
      <w:r w:rsidR="004A218D" w:rsidRPr="004A218D">
        <w:rPr>
          <w:lang w:val="es-ES_tradnl" w:eastAsia="ja-JP"/>
        </w:rPr>
        <w:t xml:space="preserve"> de </w:t>
      </w:r>
      <w:r>
        <w:rPr>
          <w:lang w:val="es-ES_tradnl" w:eastAsia="ja-JP"/>
        </w:rPr>
        <w:t>juli</w:t>
      </w:r>
      <w:r w:rsidR="00E83E0A">
        <w:rPr>
          <w:lang w:val="es-ES_tradnl" w:eastAsia="ja-JP"/>
        </w:rPr>
        <w:t>o</w:t>
      </w:r>
      <w:r w:rsidR="00DB4DCB">
        <w:rPr>
          <w:lang w:val="es-ES_tradnl" w:eastAsia="ja-JP"/>
        </w:rPr>
        <w:t xml:space="preserve"> de 201</w:t>
      </w:r>
      <w:r w:rsidR="00E83E0A">
        <w:rPr>
          <w:lang w:val="es-ES_tradnl" w:eastAsia="ja-JP"/>
        </w:rPr>
        <w:t>5</w:t>
      </w:r>
      <w:r w:rsidR="004A218D" w:rsidRPr="004A218D">
        <w:rPr>
          <w:lang w:val="es-ES_tradnl" w:eastAsia="ja-JP"/>
        </w:rPr>
        <w:t xml:space="preserve">, </w:t>
      </w:r>
      <w:r w:rsidR="00E83E0A">
        <w:rPr>
          <w:lang w:val="es-ES_tradnl" w:eastAsia="ja-JP"/>
        </w:rPr>
        <w:t xml:space="preserve">el Gobierno de </w:t>
      </w:r>
      <w:r w:rsidR="007917E5" w:rsidRPr="007917E5">
        <w:rPr>
          <w:lang w:val="es-ES_tradnl" w:eastAsia="ja-JP"/>
        </w:rPr>
        <w:t>Argelia</w:t>
      </w:r>
      <w:r w:rsidR="00C44A84">
        <w:rPr>
          <w:lang w:val="es-ES_tradnl" w:eastAsia="ja-JP"/>
        </w:rPr>
        <w:t xml:space="preserve"> </w:t>
      </w:r>
      <w:r w:rsidR="004A218D" w:rsidRPr="004A218D">
        <w:rPr>
          <w:lang w:val="es-ES_tradnl" w:eastAsia="ja-JP"/>
        </w:rPr>
        <w:t>depositó ante el Director General de la</w:t>
      </w:r>
      <w:r w:rsidR="004A218D">
        <w:rPr>
          <w:lang w:val="es-ES_tradnl" w:eastAsia="ja-JP"/>
        </w:rPr>
        <w:t xml:space="preserve"> </w:t>
      </w:r>
      <w:r w:rsidR="004A218D" w:rsidRPr="004A218D">
        <w:rPr>
          <w:lang w:val="es-ES_tradnl" w:eastAsia="ja-JP"/>
        </w:rPr>
        <w:t>Organización Mundial de la Propiedad Intelectual (O</w:t>
      </w:r>
      <w:r w:rsidR="004A218D">
        <w:rPr>
          <w:lang w:val="es-ES_tradnl" w:eastAsia="ja-JP"/>
        </w:rPr>
        <w:t xml:space="preserve">MPI) su instrumento de adhesión </w:t>
      </w:r>
      <w:r w:rsidR="004A218D" w:rsidRPr="004A218D">
        <w:rPr>
          <w:lang w:val="es-ES_tradnl" w:eastAsia="ja-JP"/>
        </w:rPr>
        <w:t>al Protocolo Concerniente al Arreglo de Madrid relativo al R</w:t>
      </w:r>
      <w:r w:rsidR="004A218D">
        <w:rPr>
          <w:lang w:val="es-ES_tradnl" w:eastAsia="ja-JP"/>
        </w:rPr>
        <w:t xml:space="preserve">egistro Internacional de Marcas </w:t>
      </w:r>
      <w:r w:rsidR="003B0CDD">
        <w:rPr>
          <w:lang w:val="es-ES_tradnl" w:eastAsia="ja-JP"/>
        </w:rPr>
        <w:t>(“</w:t>
      </w:r>
      <w:r w:rsidR="004A218D" w:rsidRPr="004A218D">
        <w:rPr>
          <w:lang w:val="es-ES_tradnl" w:eastAsia="ja-JP"/>
        </w:rPr>
        <w:t>Protocolo de Madrid”).</w:t>
      </w:r>
      <w:r w:rsidR="004A218D" w:rsidRPr="004A218D">
        <w:rPr>
          <w:lang w:val="es-ES_tradnl"/>
        </w:rPr>
        <w:t xml:space="preserve"> </w:t>
      </w:r>
      <w:r w:rsidR="004A218D">
        <w:rPr>
          <w:lang w:val="es-ES_tradnl"/>
        </w:rPr>
        <w:t xml:space="preserve"> </w:t>
      </w:r>
      <w:r w:rsidR="004A218D" w:rsidRPr="004A218D">
        <w:rPr>
          <w:rFonts w:eastAsia="MS Mincho"/>
          <w:szCs w:val="22"/>
          <w:lang w:val="es-ES_tradnl" w:eastAsia="ja-JP"/>
        </w:rPr>
        <w:t>El Protocolo de Madrid entrará en vigor, con respecto a</w:t>
      </w:r>
      <w:r w:rsidR="009C52EE">
        <w:rPr>
          <w:rFonts w:eastAsia="MS Mincho"/>
          <w:szCs w:val="22"/>
          <w:lang w:val="es-ES_tradnl" w:eastAsia="ja-JP"/>
        </w:rPr>
        <w:t xml:space="preserve"> </w:t>
      </w:r>
      <w:r w:rsidR="007917E5" w:rsidRPr="007917E5">
        <w:rPr>
          <w:rFonts w:eastAsia="MS Mincho"/>
          <w:szCs w:val="22"/>
          <w:lang w:val="es-ES_tradnl" w:eastAsia="ja-JP"/>
        </w:rPr>
        <w:t>Argelia</w:t>
      </w:r>
      <w:r w:rsidR="004A218D" w:rsidRPr="004A218D">
        <w:rPr>
          <w:rFonts w:eastAsia="MS Mincho"/>
          <w:szCs w:val="22"/>
          <w:lang w:val="es-ES_tradnl" w:eastAsia="ja-JP"/>
        </w:rPr>
        <w:t>,</w:t>
      </w:r>
      <w:r w:rsidR="004A218D">
        <w:rPr>
          <w:rFonts w:eastAsia="MS Mincho"/>
          <w:szCs w:val="22"/>
          <w:lang w:val="es-ES_tradnl" w:eastAsia="ja-JP"/>
        </w:rPr>
        <w:t xml:space="preserve"> </w:t>
      </w:r>
      <w:r w:rsidR="001F1496">
        <w:rPr>
          <w:rFonts w:eastAsia="MS Mincho"/>
          <w:szCs w:val="22"/>
          <w:lang w:val="es-ES_tradnl" w:eastAsia="ja-JP"/>
        </w:rPr>
        <w:t>el </w:t>
      </w:r>
      <w:r>
        <w:rPr>
          <w:rFonts w:eastAsia="MS Mincho"/>
          <w:szCs w:val="22"/>
          <w:lang w:val="es-ES_tradnl" w:eastAsia="ja-JP"/>
        </w:rPr>
        <w:t>31</w:t>
      </w:r>
      <w:r w:rsidR="00D67BCB">
        <w:rPr>
          <w:rFonts w:eastAsia="MS Mincho"/>
          <w:szCs w:val="22"/>
          <w:lang w:val="es-ES_tradnl" w:eastAsia="ja-JP"/>
        </w:rPr>
        <w:t> </w:t>
      </w:r>
      <w:r w:rsidR="004A218D" w:rsidRPr="004A218D">
        <w:rPr>
          <w:rFonts w:eastAsia="MS Mincho"/>
          <w:szCs w:val="22"/>
          <w:lang w:val="es-ES_tradnl" w:eastAsia="ja-JP"/>
        </w:rPr>
        <w:t xml:space="preserve">de </w:t>
      </w:r>
      <w:r>
        <w:rPr>
          <w:rFonts w:eastAsia="MS Mincho"/>
          <w:szCs w:val="22"/>
          <w:lang w:val="es-ES_tradnl" w:eastAsia="ja-JP"/>
        </w:rPr>
        <w:t>octubre</w:t>
      </w:r>
      <w:r w:rsidR="00DB4DCB">
        <w:rPr>
          <w:rFonts w:eastAsia="MS Mincho"/>
          <w:szCs w:val="22"/>
          <w:lang w:val="es-ES_tradnl" w:eastAsia="ja-JP"/>
        </w:rPr>
        <w:t xml:space="preserve"> de 2015</w:t>
      </w:r>
      <w:r w:rsidR="004A218D" w:rsidRPr="004A218D">
        <w:rPr>
          <w:rFonts w:eastAsia="MS Mincho"/>
          <w:szCs w:val="22"/>
          <w:lang w:val="es-ES_tradnl" w:eastAsia="ja-JP"/>
        </w:rPr>
        <w:t>.</w:t>
      </w:r>
    </w:p>
    <w:p w:rsidR="00C95CDC" w:rsidRPr="002557B1" w:rsidRDefault="00E83E0A" w:rsidP="002557B1">
      <w:pPr>
        <w:pStyle w:val="ONUMFS"/>
        <w:rPr>
          <w:lang w:val="es-ES_tradnl"/>
        </w:rPr>
      </w:pPr>
      <w:r w:rsidRPr="00E83E0A">
        <w:rPr>
          <w:lang w:val="es-ES_tradnl"/>
        </w:rPr>
        <w:t xml:space="preserve">El </w:t>
      </w:r>
      <w:r>
        <w:rPr>
          <w:lang w:val="es-ES_tradnl"/>
        </w:rPr>
        <w:t xml:space="preserve">referido </w:t>
      </w:r>
      <w:r w:rsidRPr="00E83E0A">
        <w:rPr>
          <w:lang w:val="es-ES_tradnl"/>
        </w:rPr>
        <w:t xml:space="preserve">instrumento de adhesión </w:t>
      </w:r>
      <w:r w:rsidR="00D54F48">
        <w:rPr>
          <w:lang w:val="es-ES_tradnl"/>
        </w:rPr>
        <w:t>viene acompañado de</w:t>
      </w:r>
      <w:r w:rsidRPr="00E83E0A">
        <w:rPr>
          <w:lang w:val="es-ES_tradnl"/>
        </w:rPr>
        <w:t xml:space="preserve"> </w:t>
      </w:r>
      <w:r w:rsidR="00C95CDC" w:rsidRPr="00E83E0A">
        <w:rPr>
          <w:lang w:val="es-ES_tradnl"/>
        </w:rPr>
        <w:t>la declaración mencionada en el Artículo</w:t>
      </w:r>
      <w:r w:rsidR="002557B1">
        <w:rPr>
          <w:lang w:val="es-ES_tradnl"/>
        </w:rPr>
        <w:t> </w:t>
      </w:r>
      <w:r w:rsidR="00C95CDC" w:rsidRPr="00E83E0A">
        <w:rPr>
          <w:lang w:val="es-ES_tradnl"/>
        </w:rPr>
        <w:t>5.2)b) y c) del Protocolo de Madrid, según la cual el plazo de un año para notificar una denegación provisional de protección es reemplazado por 18</w:t>
      </w:r>
      <w:r w:rsidR="002557B1">
        <w:rPr>
          <w:lang w:val="es-ES_tradnl"/>
        </w:rPr>
        <w:t> </w:t>
      </w:r>
      <w:r w:rsidR="00C95CDC" w:rsidRPr="00E83E0A">
        <w:rPr>
          <w:lang w:val="es-ES_tradnl"/>
        </w:rPr>
        <w:t>meses, y una denegación provisional resultante de una oposición puede notificarse después del vencimiento del plazo de 18</w:t>
      </w:r>
      <w:r w:rsidR="002557B1">
        <w:rPr>
          <w:lang w:val="es-ES_tradnl"/>
        </w:rPr>
        <w:t> </w:t>
      </w:r>
      <w:r w:rsidR="00C95CDC" w:rsidRPr="002557B1">
        <w:rPr>
          <w:lang w:val="es-ES_tradnl"/>
        </w:rPr>
        <w:t>meses</w:t>
      </w:r>
      <w:r w:rsidR="0008142C" w:rsidRPr="002557B1">
        <w:rPr>
          <w:lang w:val="es-ES_tradnl"/>
        </w:rPr>
        <w:t>.</w:t>
      </w:r>
    </w:p>
    <w:p w:rsidR="00A77F85" w:rsidRDefault="00A77F85" w:rsidP="007917E5">
      <w:pPr>
        <w:pStyle w:val="ONUMFS"/>
        <w:rPr>
          <w:lang w:val="es-ES_tradnl"/>
        </w:rPr>
      </w:pPr>
      <w:r w:rsidRPr="00A77F85">
        <w:rPr>
          <w:lang w:val="es-ES_tradnl" w:eastAsia="ja-JP"/>
        </w:rPr>
        <w:t xml:space="preserve">Con la adhesión </w:t>
      </w:r>
      <w:r w:rsidR="00BE5560">
        <w:rPr>
          <w:lang w:val="es-ES_tradnl" w:eastAsia="ja-JP"/>
        </w:rPr>
        <w:t>de</w:t>
      </w:r>
      <w:r w:rsidR="00E83E0A">
        <w:rPr>
          <w:lang w:val="es-ES_tradnl" w:eastAsia="ja-JP"/>
        </w:rPr>
        <w:t xml:space="preserve"> </w:t>
      </w:r>
      <w:r w:rsidR="007917E5" w:rsidRPr="007917E5">
        <w:rPr>
          <w:lang w:val="es-ES_tradnl" w:eastAsia="ja-JP"/>
        </w:rPr>
        <w:t>Argelia</w:t>
      </w:r>
      <w:r w:rsidRPr="00A77F85">
        <w:rPr>
          <w:lang w:val="es-ES_tradnl" w:eastAsia="ja-JP"/>
        </w:rPr>
        <w:t xml:space="preserve"> al Protocolo de Madrid, el número de Partes Contratantes del</w:t>
      </w:r>
      <w:r>
        <w:rPr>
          <w:lang w:val="es-ES_tradnl" w:eastAsia="ja-JP"/>
        </w:rPr>
        <w:t xml:space="preserve"> </w:t>
      </w:r>
      <w:r w:rsidRPr="00A77F85">
        <w:rPr>
          <w:lang w:val="es-ES_tradnl" w:eastAsia="ja-JP"/>
        </w:rPr>
        <w:t xml:space="preserve">Protocolo de Madrid </w:t>
      </w:r>
      <w:r w:rsidR="002557B1">
        <w:rPr>
          <w:lang w:val="es-ES_tradnl" w:eastAsia="ja-JP"/>
        </w:rPr>
        <w:t>es de </w:t>
      </w:r>
      <w:r>
        <w:rPr>
          <w:lang w:val="es-ES_tradnl" w:eastAsia="ja-JP"/>
        </w:rPr>
        <w:t>9</w:t>
      </w:r>
      <w:r w:rsidR="007917E5">
        <w:rPr>
          <w:lang w:val="es-ES_tradnl" w:eastAsia="ja-JP"/>
        </w:rPr>
        <w:t>5</w:t>
      </w:r>
      <w:r w:rsidRPr="00A77F85">
        <w:rPr>
          <w:lang w:val="es-ES_tradnl" w:eastAsia="ja-JP"/>
        </w:rPr>
        <w:t xml:space="preserve">. </w:t>
      </w:r>
      <w:r w:rsidR="005C501E">
        <w:rPr>
          <w:lang w:val="es-ES_tradnl" w:eastAsia="ja-JP"/>
        </w:rPr>
        <w:t xml:space="preserve"> </w:t>
      </w:r>
      <w:r w:rsidRPr="00A77F85">
        <w:rPr>
          <w:lang w:val="es-ES_tradnl" w:eastAsia="ja-JP"/>
        </w:rPr>
        <w:t xml:space="preserve">Existe una lista de los miembros de la Unión de Madrid, </w:t>
      </w:r>
      <w:r w:rsidR="00D8588B">
        <w:rPr>
          <w:lang w:val="es-ES_tradnl" w:eastAsia="ja-JP"/>
        </w:rPr>
        <w:t>con</w:t>
      </w:r>
      <w:r w:rsidRPr="00A77F85">
        <w:rPr>
          <w:lang w:val="es-ES_tradnl" w:eastAsia="ja-JP"/>
        </w:rPr>
        <w:t xml:space="preserve"> información sobre la fecha en</w:t>
      </w:r>
      <w:r>
        <w:rPr>
          <w:lang w:val="es-ES_tradnl" w:eastAsia="ja-JP"/>
        </w:rPr>
        <w:t xml:space="preserve"> </w:t>
      </w:r>
      <w:r w:rsidRPr="00A77F85">
        <w:rPr>
          <w:lang w:val="es-ES_tradnl" w:eastAsia="ja-JP"/>
        </w:rPr>
        <w:t xml:space="preserve">la cual </w:t>
      </w:r>
      <w:r w:rsidR="00E45097">
        <w:rPr>
          <w:lang w:val="es-ES_tradnl" w:eastAsia="ja-JP"/>
        </w:rPr>
        <w:t>estos miembros</w:t>
      </w:r>
      <w:r w:rsidRPr="00A77F85">
        <w:rPr>
          <w:lang w:val="es-ES_tradnl" w:eastAsia="ja-JP"/>
        </w:rPr>
        <w:t xml:space="preserve"> entraron a formar parte del Arreglo o del Protocolo de Madrid,</w:t>
      </w:r>
      <w:r>
        <w:rPr>
          <w:lang w:val="es-ES_tradnl" w:eastAsia="ja-JP"/>
        </w:rPr>
        <w:t xml:space="preserve"> </w:t>
      </w:r>
      <w:r w:rsidR="003F0DC6">
        <w:rPr>
          <w:lang w:val="es-ES_tradnl" w:eastAsia="ja-JP"/>
        </w:rPr>
        <w:t xml:space="preserve">disponible </w:t>
      </w:r>
      <w:r w:rsidRPr="00A77F85">
        <w:rPr>
          <w:lang w:val="es-ES_tradnl" w:eastAsia="ja-JP"/>
        </w:rPr>
        <w:t>en el si</w:t>
      </w:r>
      <w:bookmarkStart w:id="1" w:name="_GoBack"/>
      <w:bookmarkEnd w:id="1"/>
      <w:r w:rsidRPr="00A77F85">
        <w:rPr>
          <w:lang w:val="es-ES_tradnl" w:eastAsia="ja-JP"/>
        </w:rPr>
        <w:t>tio Web de la OMPI, en la siguiente dirección</w:t>
      </w:r>
      <w:proofErr w:type="gramStart"/>
      <w:r w:rsidRPr="00A77F85">
        <w:rPr>
          <w:lang w:val="es-ES_tradnl" w:eastAsia="ja-JP"/>
        </w:rPr>
        <w:t xml:space="preserve">: </w:t>
      </w:r>
      <w:r w:rsidR="002557B1">
        <w:rPr>
          <w:lang w:val="es-ES_tradnl" w:eastAsia="ja-JP"/>
        </w:rPr>
        <w:t xml:space="preserve"> </w:t>
      </w:r>
      <w:r w:rsidR="002557B1" w:rsidRPr="00462093">
        <w:rPr>
          <w:lang w:val="es-ES_tradnl" w:eastAsia="ja-JP"/>
        </w:rPr>
        <w:t>www.wipo.int</w:t>
      </w:r>
      <w:proofErr w:type="gramEnd"/>
      <w:r w:rsidR="002557B1" w:rsidRPr="00462093">
        <w:rPr>
          <w:lang w:val="es-ES_tradnl" w:eastAsia="ja-JP"/>
        </w:rPr>
        <w:t>/madrid/es/members</w:t>
      </w:r>
      <w:r w:rsidRPr="002557B1">
        <w:rPr>
          <w:lang w:val="es-ES_tradnl" w:eastAsia="ja-JP"/>
        </w:rPr>
        <w:t>.</w:t>
      </w:r>
      <w:r w:rsidR="002557B1" w:rsidRPr="002557B1">
        <w:rPr>
          <w:lang w:val="es-ES_tradnl" w:eastAsia="ja-JP"/>
        </w:rPr>
        <w:t xml:space="preserve"> </w:t>
      </w:r>
    </w:p>
    <w:p w:rsidR="002557B1" w:rsidRPr="00A77F85" w:rsidRDefault="002557B1" w:rsidP="002557B1">
      <w:pPr>
        <w:pStyle w:val="ONUMFS"/>
        <w:numPr>
          <w:ilvl w:val="0"/>
          <w:numId w:val="0"/>
        </w:numPr>
        <w:spacing w:before="240" w:after="0"/>
        <w:rPr>
          <w:lang w:val="es-ES_tradnl"/>
        </w:rPr>
      </w:pPr>
    </w:p>
    <w:p w:rsidR="002557B1" w:rsidRPr="00A76562" w:rsidRDefault="002557B1" w:rsidP="00A77F85">
      <w:pPr>
        <w:autoSpaceDE w:val="0"/>
        <w:autoSpaceDN w:val="0"/>
        <w:adjustRightInd w:val="0"/>
        <w:ind w:firstLine="567"/>
        <w:rPr>
          <w:lang w:val="es-ES_tradnl"/>
        </w:rPr>
      </w:pPr>
    </w:p>
    <w:p w:rsidR="00A76562" w:rsidRPr="00A76562" w:rsidRDefault="005E7117" w:rsidP="00A76562">
      <w:pPr>
        <w:pStyle w:val="Endofdocument-Annex"/>
        <w:rPr>
          <w:lang w:val="es-ES_tradnl"/>
        </w:rPr>
      </w:pPr>
      <w:r>
        <w:rPr>
          <w:lang w:val="es-ES_tradnl"/>
        </w:rPr>
        <w:t>19</w:t>
      </w:r>
      <w:r w:rsidR="00A27D7A">
        <w:rPr>
          <w:lang w:val="es-ES_tradnl"/>
        </w:rPr>
        <w:t xml:space="preserve"> de </w:t>
      </w:r>
      <w:r w:rsidR="007917E5">
        <w:rPr>
          <w:lang w:val="es-ES_tradnl"/>
        </w:rPr>
        <w:t>agosto</w:t>
      </w:r>
      <w:r w:rsidR="00E62906">
        <w:rPr>
          <w:lang w:val="es-ES_tradnl"/>
        </w:rPr>
        <w:t xml:space="preserve"> de 201</w:t>
      </w:r>
      <w:r w:rsidR="00E83E0A">
        <w:rPr>
          <w:lang w:val="es-ES_tradnl"/>
        </w:rPr>
        <w:t>5</w:t>
      </w:r>
    </w:p>
    <w:sectPr w:rsidR="00A76562" w:rsidRPr="00A76562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F27D72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8016E"/>
    <w:rsid w:val="0008142C"/>
    <w:rsid w:val="000955FA"/>
    <w:rsid w:val="00095DA8"/>
    <w:rsid w:val="000968ED"/>
    <w:rsid w:val="000A1674"/>
    <w:rsid w:val="000A525D"/>
    <w:rsid w:val="000C1884"/>
    <w:rsid w:val="000C71B3"/>
    <w:rsid w:val="000D3921"/>
    <w:rsid w:val="000E73ED"/>
    <w:rsid w:val="000F5E56"/>
    <w:rsid w:val="001014A8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496"/>
    <w:rsid w:val="001F1B95"/>
    <w:rsid w:val="001F717F"/>
    <w:rsid w:val="00202410"/>
    <w:rsid w:val="0020551F"/>
    <w:rsid w:val="00213E14"/>
    <w:rsid w:val="002142E3"/>
    <w:rsid w:val="0022493E"/>
    <w:rsid w:val="00251890"/>
    <w:rsid w:val="0025278E"/>
    <w:rsid w:val="002557B1"/>
    <w:rsid w:val="002634C4"/>
    <w:rsid w:val="00271292"/>
    <w:rsid w:val="00271540"/>
    <w:rsid w:val="0027396E"/>
    <w:rsid w:val="00275D8E"/>
    <w:rsid w:val="002928D3"/>
    <w:rsid w:val="002A2E4F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0CDD"/>
    <w:rsid w:val="003B38C1"/>
    <w:rsid w:val="003C22D1"/>
    <w:rsid w:val="003C2450"/>
    <w:rsid w:val="003D0843"/>
    <w:rsid w:val="003D44E9"/>
    <w:rsid w:val="003E0D9F"/>
    <w:rsid w:val="003F0DC6"/>
    <w:rsid w:val="003F31BF"/>
    <w:rsid w:val="003F58F2"/>
    <w:rsid w:val="003F63D0"/>
    <w:rsid w:val="003F653F"/>
    <w:rsid w:val="004052E1"/>
    <w:rsid w:val="00411FB2"/>
    <w:rsid w:val="00414A9E"/>
    <w:rsid w:val="00417D19"/>
    <w:rsid w:val="00423E3E"/>
    <w:rsid w:val="004275BB"/>
    <w:rsid w:val="00427AF4"/>
    <w:rsid w:val="0044034D"/>
    <w:rsid w:val="00454BF6"/>
    <w:rsid w:val="00462093"/>
    <w:rsid w:val="004630B4"/>
    <w:rsid w:val="004647DA"/>
    <w:rsid w:val="0047006A"/>
    <w:rsid w:val="00474062"/>
    <w:rsid w:val="00477D6B"/>
    <w:rsid w:val="00477EF9"/>
    <w:rsid w:val="004936FC"/>
    <w:rsid w:val="004947C5"/>
    <w:rsid w:val="004A218D"/>
    <w:rsid w:val="004B0093"/>
    <w:rsid w:val="004B336C"/>
    <w:rsid w:val="004B68F2"/>
    <w:rsid w:val="004C7C7E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52315"/>
    <w:rsid w:val="00560A29"/>
    <w:rsid w:val="00563C83"/>
    <w:rsid w:val="005678D8"/>
    <w:rsid w:val="00582076"/>
    <w:rsid w:val="00585C7E"/>
    <w:rsid w:val="005868B8"/>
    <w:rsid w:val="005B0D66"/>
    <w:rsid w:val="005B5479"/>
    <w:rsid w:val="005B5790"/>
    <w:rsid w:val="005C501E"/>
    <w:rsid w:val="005C6649"/>
    <w:rsid w:val="005E2346"/>
    <w:rsid w:val="005E7117"/>
    <w:rsid w:val="005F2F3B"/>
    <w:rsid w:val="00600876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A1D86"/>
    <w:rsid w:val="006D529E"/>
    <w:rsid w:val="006F073B"/>
    <w:rsid w:val="006F33FF"/>
    <w:rsid w:val="0071465B"/>
    <w:rsid w:val="00715924"/>
    <w:rsid w:val="00725F3B"/>
    <w:rsid w:val="00747D21"/>
    <w:rsid w:val="00757B62"/>
    <w:rsid w:val="00767C4D"/>
    <w:rsid w:val="00767CC8"/>
    <w:rsid w:val="00773CE3"/>
    <w:rsid w:val="007743EF"/>
    <w:rsid w:val="00775EBD"/>
    <w:rsid w:val="00790A94"/>
    <w:rsid w:val="007917E5"/>
    <w:rsid w:val="007B7F73"/>
    <w:rsid w:val="007C31F8"/>
    <w:rsid w:val="007C3E9B"/>
    <w:rsid w:val="007D1613"/>
    <w:rsid w:val="007D250A"/>
    <w:rsid w:val="007F4D09"/>
    <w:rsid w:val="007F62D1"/>
    <w:rsid w:val="008042E5"/>
    <w:rsid w:val="00804EC4"/>
    <w:rsid w:val="008126FC"/>
    <w:rsid w:val="0083318D"/>
    <w:rsid w:val="00844CBB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D058E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C0C04"/>
    <w:rsid w:val="009C52EE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76562"/>
    <w:rsid w:val="00A77F85"/>
    <w:rsid w:val="00A869B7"/>
    <w:rsid w:val="00AA0CD0"/>
    <w:rsid w:val="00AA1EEF"/>
    <w:rsid w:val="00AC205C"/>
    <w:rsid w:val="00AD38EE"/>
    <w:rsid w:val="00AF0A6B"/>
    <w:rsid w:val="00AF5108"/>
    <w:rsid w:val="00AF6B8A"/>
    <w:rsid w:val="00B05A69"/>
    <w:rsid w:val="00B11821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A704B"/>
    <w:rsid w:val="00BB30F3"/>
    <w:rsid w:val="00BB78C7"/>
    <w:rsid w:val="00BC0FDE"/>
    <w:rsid w:val="00BC375A"/>
    <w:rsid w:val="00BC7F09"/>
    <w:rsid w:val="00BE5560"/>
    <w:rsid w:val="00BE55D6"/>
    <w:rsid w:val="00BE5857"/>
    <w:rsid w:val="00BE594A"/>
    <w:rsid w:val="00BF2352"/>
    <w:rsid w:val="00C023DA"/>
    <w:rsid w:val="00C11BFE"/>
    <w:rsid w:val="00C32F61"/>
    <w:rsid w:val="00C44A84"/>
    <w:rsid w:val="00C45642"/>
    <w:rsid w:val="00C47421"/>
    <w:rsid w:val="00C50083"/>
    <w:rsid w:val="00C53F26"/>
    <w:rsid w:val="00C556FE"/>
    <w:rsid w:val="00C65F83"/>
    <w:rsid w:val="00C7675A"/>
    <w:rsid w:val="00C771EA"/>
    <w:rsid w:val="00C93067"/>
    <w:rsid w:val="00C95CDC"/>
    <w:rsid w:val="00C977DB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CF708C"/>
    <w:rsid w:val="00D22BD4"/>
    <w:rsid w:val="00D30CC7"/>
    <w:rsid w:val="00D316A9"/>
    <w:rsid w:val="00D31C2F"/>
    <w:rsid w:val="00D40A98"/>
    <w:rsid w:val="00D424EC"/>
    <w:rsid w:val="00D45252"/>
    <w:rsid w:val="00D54F48"/>
    <w:rsid w:val="00D5693F"/>
    <w:rsid w:val="00D57F87"/>
    <w:rsid w:val="00D57F90"/>
    <w:rsid w:val="00D65F1C"/>
    <w:rsid w:val="00D67BCB"/>
    <w:rsid w:val="00D71B4D"/>
    <w:rsid w:val="00D76F38"/>
    <w:rsid w:val="00D84A57"/>
    <w:rsid w:val="00D8588B"/>
    <w:rsid w:val="00D90EE5"/>
    <w:rsid w:val="00D93D55"/>
    <w:rsid w:val="00D95311"/>
    <w:rsid w:val="00DB3CDA"/>
    <w:rsid w:val="00DB42CB"/>
    <w:rsid w:val="00DB4DCB"/>
    <w:rsid w:val="00DB6E1F"/>
    <w:rsid w:val="00DC18FE"/>
    <w:rsid w:val="00DC22D9"/>
    <w:rsid w:val="00DC3E50"/>
    <w:rsid w:val="00DD273D"/>
    <w:rsid w:val="00DE03B3"/>
    <w:rsid w:val="00DE60E0"/>
    <w:rsid w:val="00DE624B"/>
    <w:rsid w:val="00DF62ED"/>
    <w:rsid w:val="00E213EE"/>
    <w:rsid w:val="00E335FE"/>
    <w:rsid w:val="00E42B9A"/>
    <w:rsid w:val="00E45097"/>
    <w:rsid w:val="00E532DC"/>
    <w:rsid w:val="00E62906"/>
    <w:rsid w:val="00E66C2C"/>
    <w:rsid w:val="00E67B4C"/>
    <w:rsid w:val="00E7182A"/>
    <w:rsid w:val="00E74DC1"/>
    <w:rsid w:val="00E83E0A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0388"/>
    <w:rsid w:val="00F24361"/>
    <w:rsid w:val="00F27D72"/>
    <w:rsid w:val="00F328E1"/>
    <w:rsid w:val="00F41701"/>
    <w:rsid w:val="00F559BC"/>
    <w:rsid w:val="00F66152"/>
    <w:rsid w:val="00F70645"/>
    <w:rsid w:val="00F7721F"/>
    <w:rsid w:val="00F83AD8"/>
    <w:rsid w:val="00F8769E"/>
    <w:rsid w:val="00FA58D7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DOUAY Marie-Laure</cp:lastModifiedBy>
  <cp:revision>25</cp:revision>
  <cp:lastPrinted>2015-08-18T09:40:00Z</cp:lastPrinted>
  <dcterms:created xsi:type="dcterms:W3CDTF">2015-08-07T15:07:00Z</dcterms:created>
  <dcterms:modified xsi:type="dcterms:W3CDTF">2015-08-18T13:24:00Z</dcterms:modified>
</cp:coreProperties>
</file>