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830FD">
              <w:rPr>
                <w:rFonts w:ascii="Arial Black" w:hAnsi="Arial Black"/>
                <w:color w:val="000000"/>
                <w:sz w:val="15"/>
                <w:lang w:val="es-ES_tradnl"/>
              </w:rPr>
              <w:t>29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DD28AA" w:rsidRDefault="00DD28AA" w:rsidP="00CC5016">
      <w:pPr>
        <w:rPr>
          <w:lang w:val="es-ES_tradnl"/>
        </w:rPr>
      </w:pPr>
    </w:p>
    <w:p w:rsidR="00DD28AA" w:rsidRPr="00DE624B" w:rsidRDefault="00DD28AA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60D3D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923CF5">
        <w:rPr>
          <w:rFonts w:eastAsia="MS Mincho"/>
          <w:b/>
          <w:bCs/>
          <w:sz w:val="24"/>
          <w:szCs w:val="24"/>
          <w:lang w:val="es-ES_tradnl" w:eastAsia="ja-JP"/>
        </w:rPr>
        <w:t>n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otificación </w:t>
      </w:r>
      <w:r w:rsidR="00923CF5">
        <w:rPr>
          <w:rFonts w:eastAsia="MS Mincho"/>
          <w:b/>
          <w:bCs/>
          <w:sz w:val="24"/>
          <w:szCs w:val="24"/>
          <w:lang w:val="es-ES_tradnl" w:eastAsia="ja-JP"/>
        </w:rPr>
        <w:t>e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fectuada en </w:t>
      </w:r>
      <w:r w:rsidR="00923CF5">
        <w:rPr>
          <w:rFonts w:eastAsia="MS Mincho"/>
          <w:b/>
          <w:bCs/>
          <w:sz w:val="24"/>
          <w:szCs w:val="24"/>
          <w:lang w:val="es-ES_tradnl" w:eastAsia="ja-JP"/>
        </w:rPr>
        <w:t>v</w:t>
      </w:r>
      <w:r w:rsidR="00DD28AA">
        <w:rPr>
          <w:rFonts w:eastAsia="MS Mincho"/>
          <w:b/>
          <w:bCs/>
          <w:sz w:val="24"/>
          <w:szCs w:val="24"/>
          <w:lang w:val="es-ES_tradnl" w:eastAsia="ja-JP"/>
        </w:rPr>
        <w:t>irtud de la Regla 34.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3)a) del Reglamento Común y </w:t>
      </w:r>
      <w:r w:rsidR="00923CF5">
        <w:rPr>
          <w:rFonts w:eastAsia="MS Mincho"/>
          <w:b/>
          <w:bCs/>
          <w:sz w:val="24"/>
          <w:szCs w:val="24"/>
          <w:lang w:val="es-ES_tradnl" w:eastAsia="ja-JP"/>
        </w:rPr>
        <w:t>m</w:t>
      </w:r>
      <w:r w:rsidR="0027396E" w:rsidRPr="0027396E">
        <w:rPr>
          <w:rFonts w:eastAsia="MS Mincho"/>
          <w:b/>
          <w:bCs/>
          <w:sz w:val="24"/>
          <w:szCs w:val="24"/>
          <w:lang w:val="es-ES_tradnl" w:eastAsia="ja-JP"/>
        </w:rPr>
        <w:t>odificación de los importes de la tasa individual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394B3C">
        <w:rPr>
          <w:b/>
          <w:sz w:val="24"/>
          <w:szCs w:val="24"/>
          <w:lang w:val="es-ES_tradnl"/>
        </w:rPr>
        <w:t>Ghana</w:t>
      </w:r>
      <w:proofErr w:type="gramEnd"/>
    </w:p>
    <w:p w:rsidR="005D64D6" w:rsidRPr="005D64D6" w:rsidRDefault="00260D3D" w:rsidP="008D5365">
      <w:pPr>
        <w:pStyle w:val="ONUMFS"/>
        <w:rPr>
          <w:lang w:val="es-ES_tradnl"/>
        </w:rPr>
      </w:pPr>
      <w:r>
        <w:rPr>
          <w:lang w:val="es-ES_tradnl" w:eastAsia="ja-JP"/>
        </w:rPr>
        <w:t>E</w:t>
      </w:r>
      <w:r w:rsidR="005D64D6" w:rsidRPr="004275BB">
        <w:rPr>
          <w:lang w:val="es-ES_tradnl" w:eastAsia="ja-JP"/>
        </w:rPr>
        <w:t xml:space="preserve">l Director General de la Organización Mundial de la Propiedad Intelectual (OMPI) </w:t>
      </w:r>
      <w:r>
        <w:rPr>
          <w:lang w:val="es-ES_tradnl" w:eastAsia="ja-JP"/>
        </w:rPr>
        <w:t>ha recibido una comunicación del Gobierno de Ghana retirando la notificación</w:t>
      </w:r>
      <w:r w:rsidR="002404AB">
        <w:rPr>
          <w:lang w:val="es-ES_tradnl" w:eastAsia="ja-JP"/>
        </w:rPr>
        <w:t xml:space="preserve"> de que su tasa individual es pagadera en dos partes,</w:t>
      </w:r>
      <w:r>
        <w:rPr>
          <w:lang w:val="es-ES_tradnl" w:eastAsia="ja-JP"/>
        </w:rPr>
        <w:t xml:space="preserve"> </w:t>
      </w:r>
      <w:r w:rsidR="00DD28AA">
        <w:rPr>
          <w:lang w:val="es-ES_tradnl" w:eastAsia="ja-JP"/>
        </w:rPr>
        <w:t>efectuada en virtud de la Regla 34.</w:t>
      </w:r>
      <w:r>
        <w:rPr>
          <w:lang w:val="es-ES_tradnl" w:eastAsia="ja-JP"/>
        </w:rPr>
        <w:t>3)a) del Reglamento Común del Arreglo y Protocolo de Madrid (</w:t>
      </w:r>
      <w:r w:rsidR="008D5365" w:rsidRPr="008D5365">
        <w:rPr>
          <w:lang w:val="es-ES_tradnl" w:eastAsia="ja-JP"/>
        </w:rPr>
        <w:t>“</w:t>
      </w:r>
      <w:r>
        <w:rPr>
          <w:lang w:val="es-ES_tradnl" w:eastAsia="ja-JP"/>
        </w:rPr>
        <w:t>Reglamento Común</w:t>
      </w:r>
      <w:r w:rsidR="008D5365" w:rsidRPr="008D5365">
        <w:rPr>
          <w:lang w:val="es-ES_tradnl" w:eastAsia="ja-JP"/>
        </w:rPr>
        <w:t>”</w:t>
      </w:r>
      <w:r>
        <w:rPr>
          <w:lang w:val="es-ES_tradnl" w:eastAsia="ja-JP"/>
        </w:rPr>
        <w:t>)</w:t>
      </w:r>
      <w:r w:rsidR="008A0B17">
        <w:rPr>
          <w:lang w:val="es-ES_tradnl" w:eastAsia="ja-JP"/>
        </w:rPr>
        <w:t>.</w:t>
      </w:r>
      <w:r>
        <w:rPr>
          <w:lang w:val="es-ES_tradnl" w:eastAsia="ja-JP"/>
        </w:rPr>
        <w:t xml:space="preserve"> </w:t>
      </w:r>
      <w:r w:rsidR="008A0B17">
        <w:rPr>
          <w:lang w:val="es-ES_tradnl" w:eastAsia="ja-JP"/>
        </w:rPr>
        <w:t xml:space="preserve"> Esta comunicación</w:t>
      </w:r>
      <w:r>
        <w:rPr>
          <w:lang w:val="es-ES_tradnl" w:eastAsia="ja-JP"/>
        </w:rPr>
        <w:t xml:space="preserve"> </w:t>
      </w:r>
      <w:r w:rsidR="008A0B17">
        <w:rPr>
          <w:lang w:val="es-ES_tradnl" w:eastAsia="ja-JP"/>
        </w:rPr>
        <w:t>modifica también</w:t>
      </w:r>
      <w:r w:rsidR="005D64D6" w:rsidRPr="004275BB">
        <w:rPr>
          <w:lang w:val="es-ES_tradnl" w:eastAsia="ja-JP"/>
        </w:rPr>
        <w:t xml:space="preserve"> los importes de </w:t>
      </w:r>
      <w:r w:rsidR="002404AB">
        <w:rPr>
          <w:lang w:val="es-ES_tradnl" w:eastAsia="ja-JP"/>
        </w:rPr>
        <w:t>dicha</w:t>
      </w:r>
      <w:r w:rsidR="005D64D6" w:rsidRPr="004275BB">
        <w:rPr>
          <w:lang w:val="es-ES_tradnl" w:eastAsia="ja-JP"/>
        </w:rPr>
        <w:t xml:space="preserve"> tasa individual</w:t>
      </w:r>
      <w:r w:rsidR="005D64D6" w:rsidRPr="004275BB">
        <w:rPr>
          <w:rFonts w:eastAsia="MS Mincho"/>
          <w:szCs w:val="22"/>
          <w:lang w:val="es-ES_tradnl" w:eastAsia="ja-JP"/>
        </w:rPr>
        <w:t>.</w:t>
      </w:r>
      <w:r w:rsidR="00DD28AA">
        <w:rPr>
          <w:rFonts w:eastAsia="MS Mincho"/>
          <w:szCs w:val="22"/>
          <w:lang w:val="es-ES_tradnl" w:eastAsia="ja-JP"/>
        </w:rPr>
        <w:t xml:space="preserve">  </w:t>
      </w:r>
    </w:p>
    <w:p w:rsidR="005D64D6" w:rsidRPr="005D64D6" w:rsidRDefault="005D64D6" w:rsidP="005D64D6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Común, el Director General</w:t>
      </w:r>
      <w:r>
        <w:rPr>
          <w:lang w:val="es-ES_tradnl" w:eastAsia="ja-JP"/>
        </w:rPr>
        <w:t xml:space="preserve"> de la</w:t>
      </w:r>
      <w:r w:rsidR="00DD28AA">
        <w:rPr>
          <w:lang w:val="es-ES_tradnl" w:eastAsia="ja-JP"/>
        </w:rPr>
        <w:t> </w:t>
      </w:r>
      <w:r>
        <w:rPr>
          <w:lang w:val="es-ES_tradnl" w:eastAsia="ja-JP"/>
        </w:rPr>
        <w:t>OMPI</w:t>
      </w:r>
      <w:r w:rsidRPr="004275BB">
        <w:rPr>
          <w:lang w:val="es-ES_tradnl" w:eastAsia="ja-JP"/>
        </w:rPr>
        <w:t xml:space="preserve">, tras consultar con la Oficina de </w:t>
      </w:r>
      <w:r>
        <w:rPr>
          <w:lang w:val="es-ES_tradnl" w:eastAsia="ja-JP"/>
        </w:rPr>
        <w:t>Ghana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 xml:space="preserve">siguientes nuevos importes de </w:t>
      </w:r>
      <w:r w:rsidR="00B94DDD">
        <w:rPr>
          <w:rFonts w:eastAsia="MS Mincho"/>
          <w:szCs w:val="22"/>
          <w:lang w:val="es-ES_tradnl" w:eastAsia="ja-JP"/>
        </w:rPr>
        <w:t>la referida</w:t>
      </w:r>
      <w:r w:rsidRPr="004275BB">
        <w:rPr>
          <w:rFonts w:eastAsia="MS Mincho"/>
          <w:szCs w:val="22"/>
          <w:lang w:val="es-ES_tradnl" w:eastAsia="ja-JP"/>
        </w:rPr>
        <w:t xml:space="preserve"> tasa individual en francos suizos</w:t>
      </w:r>
      <w:r w:rsidRPr="0027396E">
        <w:rPr>
          <w:rFonts w:eastAsia="MS Mincho"/>
          <w:szCs w:val="22"/>
          <w:lang w:val="es-ES_tradnl" w:eastAsia="ja-JP"/>
        </w:rPr>
        <w:t>:</w:t>
      </w:r>
      <w:r w:rsidR="00DD28AA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B1661B">
            <w:pPr>
              <w:jc w:val="center"/>
            </w:pPr>
            <w:r w:rsidRPr="00AB4428">
              <w:t>3</w:t>
            </w:r>
            <w:r w:rsidR="00F34EF1">
              <w:t>79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F34EF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370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B1661B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394B3C">
        <w:rPr>
          <w:lang w:val="es-ES_tradnl" w:eastAsia="ja-JP"/>
        </w:rPr>
        <w:t>10</w:t>
      </w:r>
      <w:r w:rsidRPr="0027396E">
        <w:rPr>
          <w:lang w:val="es-ES_tradnl" w:eastAsia="ja-JP"/>
        </w:rPr>
        <w:t xml:space="preserve"> de </w:t>
      </w:r>
      <w:r w:rsidR="00394B3C">
        <w:rPr>
          <w:lang w:val="es-ES_tradnl" w:eastAsia="ja-JP"/>
        </w:rPr>
        <w:t>agosto</w:t>
      </w:r>
      <w:r w:rsidR="00CC2811">
        <w:rPr>
          <w:lang w:val="es-ES_tradnl" w:eastAsia="ja-JP"/>
        </w:rPr>
        <w:t xml:space="preserve"> de 2015</w:t>
      </w:r>
      <w:r w:rsidRPr="0027396E">
        <w:rPr>
          <w:lang w:val="es-ES_tradnl" w:eastAsia="ja-JP"/>
        </w:rPr>
        <w:t>.  Por tanto, estos</w:t>
      </w:r>
      <w:r w:rsidR="000D6C69">
        <w:rPr>
          <w:lang w:val="es-ES_tradnl" w:eastAsia="ja-JP"/>
        </w:rPr>
        <w:t xml:space="preserve"> nuevos</w:t>
      </w:r>
      <w:r w:rsidRPr="0027396E">
        <w:rPr>
          <w:lang w:val="es-ES_tradnl" w:eastAsia="ja-JP"/>
        </w:rPr>
        <w:t xml:space="preserve"> importes se abonarán</w:t>
      </w:r>
      <w:r w:rsidR="0047154E">
        <w:rPr>
          <w:lang w:val="es-ES_tradnl" w:eastAsia="ja-JP"/>
        </w:rPr>
        <w:t xml:space="preserve"> en su totalidad</w:t>
      </w:r>
      <w:r w:rsidR="00686B95">
        <w:rPr>
          <w:lang w:val="es-ES_tradnl" w:eastAsia="ja-JP"/>
        </w:rPr>
        <w:t xml:space="preserve">, </w:t>
      </w:r>
      <w:r w:rsidR="00593997">
        <w:rPr>
          <w:lang w:val="es-ES_tradnl" w:eastAsia="ja-JP"/>
        </w:rPr>
        <w:t xml:space="preserve">y </w:t>
      </w:r>
      <w:r w:rsidR="00686B95">
        <w:rPr>
          <w:lang w:val="es-ES_tradnl" w:eastAsia="ja-JP"/>
        </w:rPr>
        <w:t>y</w:t>
      </w:r>
      <w:r w:rsidR="002404AB">
        <w:rPr>
          <w:lang w:val="es-ES_tradnl" w:eastAsia="ja-JP"/>
        </w:rPr>
        <w:t>a</w:t>
      </w:r>
      <w:r w:rsidR="00686B95">
        <w:rPr>
          <w:lang w:val="es-ES_tradnl" w:eastAsia="ja-JP"/>
        </w:rPr>
        <w:t xml:space="preserve"> no en dos partes,</w:t>
      </w:r>
      <w:r w:rsidRPr="0027396E">
        <w:rPr>
          <w:lang w:val="es-ES_tradnl" w:eastAsia="ja-JP"/>
        </w:rPr>
        <w:t xml:space="preserve"> cuando </w:t>
      </w:r>
      <w:r w:rsidR="00394B3C">
        <w:rPr>
          <w:lang w:val="es-ES_tradnl" w:eastAsia="ja-JP"/>
        </w:rPr>
        <w:t>Ghana</w:t>
      </w:r>
    </w:p>
    <w:p w:rsidR="0027396E" w:rsidRPr="0027396E" w:rsidRDefault="0027396E" w:rsidP="00DD28A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DD28AA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</w:p>
    <w:p w:rsidR="004522FF" w:rsidRDefault="0027396E" w:rsidP="002E5166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336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336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336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336192" w:rsidRPr="00A76562" w:rsidRDefault="00336192" w:rsidP="00336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336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336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DD28AA" w:rsidRDefault="00DD28AA" w:rsidP="00DD28AA">
      <w:pPr>
        <w:pStyle w:val="ONUMFS"/>
        <w:numPr>
          <w:ilvl w:val="0"/>
          <w:numId w:val="0"/>
        </w:numPr>
        <w:spacing w:after="0"/>
        <w:rPr>
          <w:rFonts w:eastAsia="MS Mincho"/>
          <w:szCs w:val="22"/>
          <w:lang w:val="es-ES_tradnl" w:eastAsia="ja-JP"/>
        </w:rPr>
      </w:pPr>
    </w:p>
    <w:p w:rsidR="00DD28AA" w:rsidRPr="00A76562" w:rsidRDefault="00DD28AA" w:rsidP="00DD28A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0255C9" w:rsidRPr="00DE624B" w:rsidRDefault="00E830FD" w:rsidP="00290DA5">
      <w:pPr>
        <w:pStyle w:val="Endofdocument-Annex"/>
        <w:rPr>
          <w:lang w:val="es-ES_tradnl"/>
        </w:rPr>
      </w:pPr>
      <w:r>
        <w:rPr>
          <w:lang w:val="es-ES_tradnl"/>
        </w:rPr>
        <w:t>2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jul</w:t>
      </w:r>
      <w:r w:rsidR="008D5365">
        <w:rPr>
          <w:lang w:val="es-ES_tradnl"/>
        </w:rPr>
        <w:t>i</w:t>
      </w:r>
      <w:r w:rsidR="00CE2197">
        <w:rPr>
          <w:lang w:val="es-ES_tradnl"/>
        </w:rPr>
        <w:t>o</w:t>
      </w:r>
      <w:r w:rsidR="00AC3562">
        <w:rPr>
          <w:lang w:val="es-ES_tradnl"/>
        </w:rPr>
        <w:t xml:space="preserve"> de 2015</w:t>
      </w:r>
      <w:bookmarkStart w:id="1" w:name="_GoBack"/>
      <w:bookmarkEnd w:id="1"/>
    </w:p>
    <w:sectPr w:rsidR="000255C9" w:rsidRPr="00DE624B" w:rsidSect="00DD28AA">
      <w:headerReference w:type="default" r:id="rId9"/>
      <w:endnotePr>
        <w:numFmt w:val="decimal"/>
      </w:endnotePr>
      <w:pgSz w:w="11907" w:h="16840" w:code="9"/>
      <w:pgMar w:top="567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145A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360C"/>
    <w:rsid w:val="000A525D"/>
    <w:rsid w:val="000C1884"/>
    <w:rsid w:val="000C71B3"/>
    <w:rsid w:val="000D3921"/>
    <w:rsid w:val="000D6C69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404AB"/>
    <w:rsid w:val="00251890"/>
    <w:rsid w:val="0025278E"/>
    <w:rsid w:val="00260D3D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36192"/>
    <w:rsid w:val="00347330"/>
    <w:rsid w:val="00357985"/>
    <w:rsid w:val="00361450"/>
    <w:rsid w:val="003673CF"/>
    <w:rsid w:val="003845C1"/>
    <w:rsid w:val="00394B3C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06F47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154E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3365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0AF6"/>
    <w:rsid w:val="00582076"/>
    <w:rsid w:val="00585C7E"/>
    <w:rsid w:val="005868B8"/>
    <w:rsid w:val="00593997"/>
    <w:rsid w:val="0059431F"/>
    <w:rsid w:val="00597D88"/>
    <w:rsid w:val="005A25C0"/>
    <w:rsid w:val="005A3D3E"/>
    <w:rsid w:val="005B0D66"/>
    <w:rsid w:val="005B5479"/>
    <w:rsid w:val="005B5790"/>
    <w:rsid w:val="005C6649"/>
    <w:rsid w:val="005D64D6"/>
    <w:rsid w:val="005E2346"/>
    <w:rsid w:val="005F2F3B"/>
    <w:rsid w:val="00600876"/>
    <w:rsid w:val="00605827"/>
    <w:rsid w:val="00610854"/>
    <w:rsid w:val="006145A8"/>
    <w:rsid w:val="006440CC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86B95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3E5"/>
    <w:rsid w:val="00775EBD"/>
    <w:rsid w:val="00790A94"/>
    <w:rsid w:val="007A72BA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A0B17"/>
    <w:rsid w:val="008B23F7"/>
    <w:rsid w:val="008B2CC1"/>
    <w:rsid w:val="008B60B2"/>
    <w:rsid w:val="008C2D2F"/>
    <w:rsid w:val="008C2FE6"/>
    <w:rsid w:val="008D5365"/>
    <w:rsid w:val="008F1F70"/>
    <w:rsid w:val="008F21E0"/>
    <w:rsid w:val="00901B6B"/>
    <w:rsid w:val="0090731E"/>
    <w:rsid w:val="009162E2"/>
    <w:rsid w:val="00916EE2"/>
    <w:rsid w:val="00922789"/>
    <w:rsid w:val="00923CF5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5C96"/>
    <w:rsid w:val="00B27CB2"/>
    <w:rsid w:val="00B4261F"/>
    <w:rsid w:val="00B45BDB"/>
    <w:rsid w:val="00B46D7E"/>
    <w:rsid w:val="00B54D7D"/>
    <w:rsid w:val="00B6795E"/>
    <w:rsid w:val="00B83157"/>
    <w:rsid w:val="00B94DDD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D28AA"/>
    <w:rsid w:val="00DE03B3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0FD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34EF1"/>
    <w:rsid w:val="00F41701"/>
    <w:rsid w:val="00F559BC"/>
    <w:rsid w:val="00F631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10</cp:revision>
  <cp:lastPrinted>2015-06-30T07:32:00Z</cp:lastPrinted>
  <dcterms:created xsi:type="dcterms:W3CDTF">2015-06-01T14:32:00Z</dcterms:created>
  <dcterms:modified xsi:type="dcterms:W3CDTF">2015-06-30T07:32:00Z</dcterms:modified>
</cp:coreProperties>
</file>