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120D1" w:rsidTr="00563C83">
        <w:tc>
          <w:tcPr>
            <w:tcW w:w="4513" w:type="dxa"/>
            <w:tcBorders>
              <w:bottom w:val="single" w:sz="4" w:space="0" w:color="auto"/>
            </w:tcBorders>
            <w:tcMar>
              <w:bottom w:w="170" w:type="dxa"/>
            </w:tcMar>
          </w:tcPr>
          <w:p w:rsidR="00163F61" w:rsidRPr="00D120D1" w:rsidRDefault="00163F61" w:rsidP="003C2450">
            <w:pPr>
              <w:keepNext/>
              <w:keepLines/>
              <w:rPr>
                <w:lang w:val="es-ES"/>
              </w:rPr>
            </w:pPr>
            <w:bookmarkStart w:id="0" w:name="_GoBack"/>
            <w:bookmarkEnd w:id="0"/>
          </w:p>
        </w:tc>
        <w:tc>
          <w:tcPr>
            <w:tcW w:w="4337" w:type="dxa"/>
            <w:tcBorders>
              <w:bottom w:val="single" w:sz="4" w:space="0" w:color="auto"/>
            </w:tcBorders>
            <w:tcMar>
              <w:left w:w="0" w:type="dxa"/>
              <w:bottom w:w="170" w:type="dxa"/>
              <w:right w:w="0" w:type="dxa"/>
            </w:tcMar>
          </w:tcPr>
          <w:p w:rsidR="00163F61" w:rsidRPr="00D120D1" w:rsidRDefault="003A318F" w:rsidP="003C2450">
            <w:pPr>
              <w:keepNext/>
              <w:keepLines/>
              <w:rPr>
                <w:lang w:val="es-ES"/>
              </w:rPr>
            </w:pPr>
            <w:r w:rsidRPr="00D120D1">
              <w:rPr>
                <w:noProof/>
                <w:lang w:eastAsia="en-US"/>
              </w:rPr>
              <w:drawing>
                <wp:inline distT="0" distB="0" distL="0" distR="0" wp14:anchorId="4DE76849" wp14:editId="4198959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120D1" w:rsidRDefault="00163F61" w:rsidP="003C2450">
            <w:pPr>
              <w:keepNext/>
              <w:keepLines/>
              <w:jc w:val="right"/>
              <w:rPr>
                <w:lang w:val="es-ES"/>
              </w:rPr>
            </w:pPr>
          </w:p>
        </w:tc>
      </w:tr>
      <w:tr w:rsidR="00163F61" w:rsidRPr="00D120D1"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120D1" w:rsidRDefault="00163F61" w:rsidP="003C2450">
            <w:pPr>
              <w:keepNext/>
              <w:keepLines/>
              <w:jc w:val="right"/>
              <w:rPr>
                <w:rFonts w:ascii="Arial Black" w:hAnsi="Arial Black"/>
                <w:caps/>
                <w:sz w:val="15"/>
                <w:lang w:val="es-ES"/>
              </w:rPr>
            </w:pPr>
            <w:bookmarkStart w:id="1" w:name="Original"/>
            <w:bookmarkEnd w:id="1"/>
          </w:p>
        </w:tc>
      </w:tr>
      <w:tr w:rsidR="00163F61" w:rsidRPr="00D120D1" w:rsidTr="00B27CB2">
        <w:trPr>
          <w:trHeight w:hRule="exact" w:val="198"/>
        </w:trPr>
        <w:tc>
          <w:tcPr>
            <w:tcW w:w="9356" w:type="dxa"/>
            <w:gridSpan w:val="3"/>
            <w:tcMar>
              <w:left w:w="0" w:type="dxa"/>
              <w:right w:w="0" w:type="dxa"/>
            </w:tcMar>
          </w:tcPr>
          <w:p w:rsidR="00163F61" w:rsidRPr="00D120D1" w:rsidRDefault="003A318F" w:rsidP="00F804DE">
            <w:pPr>
              <w:jc w:val="right"/>
              <w:rPr>
                <w:lang w:val="es-ES"/>
              </w:rPr>
            </w:pPr>
            <w:r w:rsidRPr="00D120D1">
              <w:rPr>
                <w:rFonts w:ascii="Arial Black" w:hAnsi="Arial Black"/>
                <w:caps/>
                <w:sz w:val="15"/>
                <w:lang w:val="es-ES"/>
              </w:rPr>
              <w:t>AVISO Nº</w:t>
            </w:r>
            <w:r w:rsidR="00163F61" w:rsidRPr="00D120D1">
              <w:rPr>
                <w:rFonts w:ascii="Arial Black" w:hAnsi="Arial Black"/>
                <w:caps/>
                <w:sz w:val="15"/>
                <w:lang w:val="es-ES"/>
              </w:rPr>
              <w:t xml:space="preserve"> </w:t>
            </w:r>
            <w:r w:rsidR="00F804DE">
              <w:rPr>
                <w:rFonts w:ascii="Arial Black" w:hAnsi="Arial Black"/>
                <w:caps/>
                <w:sz w:val="15"/>
                <w:lang w:val="es-ES"/>
              </w:rPr>
              <w:t>10</w:t>
            </w:r>
            <w:r w:rsidR="00163F61" w:rsidRPr="00D120D1">
              <w:rPr>
                <w:rFonts w:ascii="Arial Black" w:hAnsi="Arial Black"/>
                <w:caps/>
                <w:sz w:val="15"/>
                <w:lang w:val="es-ES"/>
              </w:rPr>
              <w:t>/201</w:t>
            </w:r>
            <w:r w:rsidR="00992A2D" w:rsidRPr="00D120D1">
              <w:rPr>
                <w:rFonts w:ascii="Arial Black" w:hAnsi="Arial Black"/>
                <w:caps/>
                <w:sz w:val="15"/>
                <w:lang w:val="es-ES"/>
              </w:rPr>
              <w:t>5</w:t>
            </w:r>
          </w:p>
        </w:tc>
      </w:tr>
    </w:tbl>
    <w:p w:rsidR="00163F61" w:rsidRPr="00D120D1" w:rsidRDefault="00163F61" w:rsidP="008B2CC1">
      <w:pPr>
        <w:rPr>
          <w:lang w:val="es-ES"/>
        </w:rPr>
      </w:pPr>
    </w:p>
    <w:p w:rsidR="00163F61" w:rsidRPr="00D120D1" w:rsidRDefault="00163F61" w:rsidP="008B2CC1">
      <w:pPr>
        <w:rPr>
          <w:lang w:val="es-ES"/>
        </w:rPr>
      </w:pPr>
    </w:p>
    <w:p w:rsidR="00163F61" w:rsidRPr="00D120D1" w:rsidRDefault="00163F61" w:rsidP="008B2CC1">
      <w:pPr>
        <w:rPr>
          <w:lang w:val="es-ES"/>
        </w:rPr>
      </w:pPr>
    </w:p>
    <w:p w:rsidR="00163F61" w:rsidRPr="00D120D1" w:rsidRDefault="00163F61" w:rsidP="00CC5016">
      <w:pPr>
        <w:rPr>
          <w:lang w:val="es-ES"/>
        </w:rPr>
      </w:pPr>
    </w:p>
    <w:p w:rsidR="00163F61" w:rsidRPr="00D120D1" w:rsidRDefault="00163F61" w:rsidP="00CC5016">
      <w:pPr>
        <w:rPr>
          <w:lang w:val="es-ES"/>
        </w:rPr>
      </w:pPr>
    </w:p>
    <w:p w:rsidR="00D120D1" w:rsidRPr="00D120D1" w:rsidRDefault="00D120D1" w:rsidP="00D120D1">
      <w:pPr>
        <w:autoSpaceDE w:val="0"/>
        <w:autoSpaceDN w:val="0"/>
        <w:adjustRightInd w:val="0"/>
        <w:rPr>
          <w:b/>
          <w:bCs/>
          <w:sz w:val="28"/>
          <w:szCs w:val="28"/>
          <w:lang w:val="es-ES"/>
        </w:rPr>
      </w:pPr>
      <w:r w:rsidRPr="00D120D1">
        <w:rPr>
          <w:b/>
          <w:bCs/>
          <w:sz w:val="28"/>
          <w:szCs w:val="28"/>
          <w:lang w:val="es-ES"/>
        </w:rPr>
        <w:t>Arreglo de Madrid relativo al Registro Internacional de Marcas y Protocolo concerniente a ese Arreglo</w:t>
      </w:r>
    </w:p>
    <w:p w:rsidR="00163F61" w:rsidRPr="00D120D1" w:rsidRDefault="00163F61" w:rsidP="00CC5016">
      <w:pPr>
        <w:autoSpaceDE w:val="0"/>
        <w:autoSpaceDN w:val="0"/>
        <w:adjustRightInd w:val="0"/>
        <w:rPr>
          <w:bCs/>
          <w:szCs w:val="22"/>
          <w:lang w:val="es-ES"/>
        </w:rPr>
      </w:pPr>
    </w:p>
    <w:p w:rsidR="00163F61" w:rsidRPr="00D120D1" w:rsidRDefault="00163F61" w:rsidP="00CC5016">
      <w:pPr>
        <w:autoSpaceDE w:val="0"/>
        <w:autoSpaceDN w:val="0"/>
        <w:adjustRightInd w:val="0"/>
        <w:rPr>
          <w:bCs/>
          <w:szCs w:val="22"/>
          <w:lang w:val="es-ES"/>
        </w:rPr>
      </w:pPr>
    </w:p>
    <w:p w:rsidR="00163F61" w:rsidRPr="00D120D1" w:rsidRDefault="00163F61" w:rsidP="00CC5016">
      <w:pPr>
        <w:autoSpaceDE w:val="0"/>
        <w:autoSpaceDN w:val="0"/>
        <w:adjustRightInd w:val="0"/>
        <w:rPr>
          <w:bCs/>
          <w:szCs w:val="22"/>
          <w:lang w:val="es-ES"/>
        </w:rPr>
      </w:pPr>
    </w:p>
    <w:p w:rsidR="006D1756" w:rsidRPr="00D120D1" w:rsidRDefault="00CA2077" w:rsidP="006D1756">
      <w:pPr>
        <w:autoSpaceDE w:val="0"/>
        <w:autoSpaceDN w:val="0"/>
        <w:adjustRightInd w:val="0"/>
        <w:rPr>
          <w:b/>
          <w:bCs/>
          <w:i/>
          <w:sz w:val="24"/>
          <w:szCs w:val="24"/>
          <w:lang w:val="es-ES"/>
        </w:rPr>
      </w:pPr>
      <w:r w:rsidRPr="00CA2077">
        <w:rPr>
          <w:b/>
          <w:bCs/>
          <w:sz w:val="24"/>
          <w:szCs w:val="24"/>
          <w:lang w:val="es-ES"/>
        </w:rPr>
        <w:t xml:space="preserve">Nueva versión del servicio </w:t>
      </w:r>
      <w:r w:rsidRPr="00D82EFA">
        <w:rPr>
          <w:b/>
          <w:bCs/>
          <w:i/>
          <w:sz w:val="24"/>
          <w:szCs w:val="24"/>
          <w:lang w:val="es-ES"/>
        </w:rPr>
        <w:t>E-</w:t>
      </w:r>
      <w:proofErr w:type="spellStart"/>
      <w:r w:rsidRPr="00D82EFA">
        <w:rPr>
          <w:b/>
          <w:bCs/>
          <w:i/>
          <w:sz w:val="24"/>
          <w:szCs w:val="24"/>
          <w:lang w:val="es-ES"/>
        </w:rPr>
        <w:t>Renewal</w:t>
      </w:r>
      <w:proofErr w:type="spellEnd"/>
      <w:r w:rsidRPr="00CA2077">
        <w:rPr>
          <w:b/>
          <w:bCs/>
          <w:sz w:val="24"/>
          <w:szCs w:val="24"/>
          <w:lang w:val="es-ES"/>
        </w:rPr>
        <w:t xml:space="preserve"> del Sistema de Madrid</w:t>
      </w:r>
    </w:p>
    <w:p w:rsidR="006D1756" w:rsidRPr="00D120D1" w:rsidRDefault="006D1756" w:rsidP="006D1756">
      <w:pPr>
        <w:rPr>
          <w:szCs w:val="22"/>
          <w:lang w:val="es-ES"/>
        </w:rPr>
      </w:pPr>
    </w:p>
    <w:p w:rsidR="000829E9" w:rsidRPr="00834DBE" w:rsidRDefault="000829E9" w:rsidP="000829E9">
      <w:pPr>
        <w:rPr>
          <w:lang w:val="fr-CH"/>
        </w:rPr>
      </w:pPr>
      <w:r w:rsidRPr="00D120D1">
        <w:rPr>
          <w:lang w:val="es-ES"/>
        </w:rPr>
        <w:fldChar w:fldCharType="begin"/>
      </w:r>
      <w:r w:rsidRPr="00D120D1">
        <w:rPr>
          <w:lang w:val="es-ES"/>
        </w:rPr>
        <w:instrText xml:space="preserve"> AUTONUM  </w:instrText>
      </w:r>
      <w:r w:rsidRPr="00D120D1">
        <w:rPr>
          <w:lang w:val="es-ES"/>
        </w:rPr>
        <w:fldChar w:fldCharType="end"/>
      </w:r>
      <w:r w:rsidRPr="00D120D1">
        <w:rPr>
          <w:lang w:val="es-ES"/>
        </w:rPr>
        <w:tab/>
      </w:r>
      <w:r w:rsidR="00CA2077">
        <w:rPr>
          <w:lang w:val="es-ES"/>
        </w:rPr>
        <w:t xml:space="preserve">La nueva versión del servicio </w:t>
      </w:r>
      <w:r w:rsidR="00CA2077" w:rsidRPr="00D82EFA">
        <w:rPr>
          <w:i/>
          <w:lang w:val="es-ES"/>
        </w:rPr>
        <w:t>E-</w:t>
      </w:r>
      <w:proofErr w:type="spellStart"/>
      <w:r w:rsidR="00CA2077" w:rsidRPr="00D82EFA">
        <w:rPr>
          <w:i/>
          <w:lang w:val="es-ES"/>
        </w:rPr>
        <w:t>Renewal</w:t>
      </w:r>
      <w:proofErr w:type="spellEnd"/>
      <w:r w:rsidR="00CA2077">
        <w:rPr>
          <w:lang w:val="es-ES"/>
        </w:rPr>
        <w:t xml:space="preserve"> del Sistema de Madrid está disponible en la siguiente dirección</w:t>
      </w:r>
      <w:r w:rsidRPr="00D120D1">
        <w:rPr>
          <w:lang w:val="es-ES"/>
        </w:rPr>
        <w:t xml:space="preserve">:  </w:t>
      </w:r>
      <w:hyperlink r:id="rId9" w:history="1">
        <w:r w:rsidR="00834DBE" w:rsidRPr="00834DBE">
          <w:rPr>
            <w:color w:val="0000FF"/>
            <w:szCs w:val="22"/>
            <w:u w:val="single"/>
            <w:lang w:val="fr-CH"/>
          </w:rPr>
          <w:t>https://webaccess.wipo.int/trademarks_ren/?lang=es</w:t>
        </w:r>
      </w:hyperlink>
      <w:r w:rsidR="00834DBE" w:rsidRPr="00834DBE">
        <w:rPr>
          <w:szCs w:val="22"/>
          <w:lang w:val="fr-CH"/>
        </w:rPr>
        <w:t>.</w:t>
      </w:r>
      <w:r w:rsidR="00834DBE" w:rsidRPr="00834DBE">
        <w:rPr>
          <w:sz w:val="20"/>
          <w:lang w:val="fr-CH"/>
        </w:rPr>
        <w:t xml:space="preserve"> </w:t>
      </w:r>
    </w:p>
    <w:p w:rsidR="000829E9" w:rsidRPr="00D120D1" w:rsidRDefault="000829E9" w:rsidP="000829E9">
      <w:pPr>
        <w:rPr>
          <w:lang w:val="es-ES"/>
        </w:rPr>
      </w:pPr>
    </w:p>
    <w:p w:rsidR="000829E9" w:rsidRPr="00D120D1" w:rsidRDefault="000829E9" w:rsidP="000829E9">
      <w:pPr>
        <w:rPr>
          <w:lang w:val="es-ES"/>
        </w:rPr>
      </w:pPr>
      <w:r w:rsidRPr="00D120D1">
        <w:rPr>
          <w:lang w:val="es-ES"/>
        </w:rPr>
        <w:fldChar w:fldCharType="begin"/>
      </w:r>
      <w:r w:rsidRPr="00D120D1">
        <w:rPr>
          <w:lang w:val="es-ES"/>
        </w:rPr>
        <w:instrText xml:space="preserve"> AUTONUM  </w:instrText>
      </w:r>
      <w:r w:rsidRPr="00D120D1">
        <w:rPr>
          <w:lang w:val="es-ES"/>
        </w:rPr>
        <w:fldChar w:fldCharType="end"/>
      </w:r>
      <w:r w:rsidRPr="00D120D1">
        <w:rPr>
          <w:lang w:val="es-ES"/>
        </w:rPr>
        <w:tab/>
      </w:r>
      <w:r w:rsidR="00CA2077">
        <w:rPr>
          <w:lang w:val="es-ES"/>
        </w:rPr>
        <w:t>El sistema permite a los usuarios renovar los registros internacionales de la manera siguiente</w:t>
      </w:r>
      <w:r w:rsidRPr="00D120D1">
        <w:rPr>
          <w:lang w:val="es-ES"/>
        </w:rPr>
        <w:t xml:space="preserve">:  </w:t>
      </w:r>
    </w:p>
    <w:p w:rsidR="000829E9" w:rsidRPr="00D120D1" w:rsidRDefault="000829E9" w:rsidP="000829E9">
      <w:pPr>
        <w:rPr>
          <w:lang w:val="es-ES"/>
        </w:rPr>
      </w:pPr>
    </w:p>
    <w:p w:rsidR="00CA2077" w:rsidRDefault="000829E9" w:rsidP="000829E9">
      <w:pPr>
        <w:ind w:left="567"/>
        <w:rPr>
          <w:lang w:val="es-ES"/>
        </w:rPr>
      </w:pPr>
      <w:r w:rsidRPr="00D120D1">
        <w:rPr>
          <w:lang w:val="es-ES"/>
        </w:rPr>
        <w:t>–</w:t>
      </w:r>
      <w:r w:rsidRPr="00D120D1">
        <w:rPr>
          <w:lang w:val="es-ES"/>
        </w:rPr>
        <w:tab/>
      </w:r>
      <w:r w:rsidR="00CA2077">
        <w:rPr>
          <w:lang w:val="es-ES"/>
        </w:rPr>
        <w:t>seleccionando todas o algunas de las Partes Contratantes designadas indicadas en el registro internacional.  Los usuarios pueden optar por no renovar el registro respecto de una o más Partes Contratantes, siempre y cuando se renueve el registro respecto de al menos una de ellas;  y</w:t>
      </w:r>
    </w:p>
    <w:p w:rsidR="000829E9" w:rsidRPr="00D120D1" w:rsidRDefault="000829E9" w:rsidP="000829E9">
      <w:pPr>
        <w:ind w:left="567"/>
        <w:rPr>
          <w:lang w:val="es-ES"/>
        </w:rPr>
      </w:pPr>
    </w:p>
    <w:p w:rsidR="000829E9" w:rsidRPr="00D120D1" w:rsidRDefault="000829E9" w:rsidP="009C338C">
      <w:pPr>
        <w:ind w:left="567"/>
        <w:rPr>
          <w:lang w:val="es-ES"/>
        </w:rPr>
      </w:pPr>
      <w:r w:rsidRPr="00D120D1">
        <w:rPr>
          <w:lang w:val="es-ES"/>
        </w:rPr>
        <w:t>–</w:t>
      </w:r>
      <w:r w:rsidRPr="00D120D1">
        <w:rPr>
          <w:lang w:val="es-ES"/>
        </w:rPr>
        <w:tab/>
      </w:r>
      <w:r w:rsidR="00CA2077">
        <w:rPr>
          <w:lang w:val="es-ES"/>
        </w:rPr>
        <w:t xml:space="preserve">pagando las tasas </w:t>
      </w:r>
      <w:r w:rsidR="009C338C">
        <w:rPr>
          <w:lang w:val="es-ES"/>
        </w:rPr>
        <w:t xml:space="preserve">correspondientes mediante una cuenta corriente en la OMPI o una tarjeta de crédito </w:t>
      </w:r>
      <w:r w:rsidR="0036277E" w:rsidRPr="0036277E">
        <w:rPr>
          <w:lang w:val="es-ES"/>
        </w:rPr>
        <w:t>(American Express, MasterCard or Visa)</w:t>
      </w:r>
      <w:r w:rsidR="00D82EFA">
        <w:rPr>
          <w:lang w:val="es-ES"/>
        </w:rPr>
        <w:t xml:space="preserve">.  </w:t>
      </w:r>
    </w:p>
    <w:p w:rsidR="000829E9" w:rsidRPr="00D120D1" w:rsidRDefault="000829E9" w:rsidP="000829E9">
      <w:pPr>
        <w:rPr>
          <w:lang w:val="es-ES"/>
        </w:rPr>
      </w:pPr>
    </w:p>
    <w:p w:rsidR="000829E9" w:rsidRPr="00D120D1" w:rsidRDefault="000829E9" w:rsidP="000829E9">
      <w:pPr>
        <w:rPr>
          <w:lang w:val="es-ES"/>
        </w:rPr>
      </w:pPr>
      <w:r w:rsidRPr="00D120D1">
        <w:rPr>
          <w:lang w:val="es-ES"/>
        </w:rPr>
        <w:fldChar w:fldCharType="begin"/>
      </w:r>
      <w:r w:rsidRPr="00D120D1">
        <w:rPr>
          <w:lang w:val="es-ES"/>
        </w:rPr>
        <w:instrText xml:space="preserve"> AUTONUM  </w:instrText>
      </w:r>
      <w:r w:rsidRPr="00D120D1">
        <w:rPr>
          <w:lang w:val="es-ES"/>
        </w:rPr>
        <w:fldChar w:fldCharType="end"/>
      </w:r>
      <w:r w:rsidRPr="00D120D1">
        <w:rPr>
          <w:lang w:val="es-ES"/>
        </w:rPr>
        <w:tab/>
      </w:r>
      <w:r w:rsidR="009C338C">
        <w:rPr>
          <w:lang w:val="es-ES"/>
        </w:rPr>
        <w:t>El sistema calcula las tasas correspondientes a la renovación del registro intern</w:t>
      </w:r>
      <w:r w:rsidR="004C51E7">
        <w:rPr>
          <w:lang w:val="es-ES"/>
        </w:rPr>
        <w:t>a</w:t>
      </w:r>
      <w:r w:rsidR="009C338C">
        <w:rPr>
          <w:lang w:val="es-ES"/>
        </w:rPr>
        <w:t xml:space="preserve">cional de conformidad con </w:t>
      </w:r>
      <w:r w:rsidR="004C51E7">
        <w:rPr>
          <w:lang w:val="es-ES"/>
        </w:rPr>
        <w:t xml:space="preserve">lo dispuesto en </w:t>
      </w:r>
      <w:r w:rsidR="00D82EFA">
        <w:rPr>
          <w:lang w:val="es-ES"/>
        </w:rPr>
        <w:t>la Regla </w:t>
      </w:r>
      <w:r w:rsidR="009C338C">
        <w:rPr>
          <w:lang w:val="es-ES"/>
        </w:rPr>
        <w:t xml:space="preserve">30 del Reglamento Común del </w:t>
      </w:r>
      <w:r w:rsidR="009C338C" w:rsidRPr="009C338C">
        <w:rPr>
          <w:lang w:val="es-ES"/>
        </w:rPr>
        <w:t xml:space="preserve">Arreglo de Madrid </w:t>
      </w:r>
      <w:proofErr w:type="gramStart"/>
      <w:r w:rsidR="009C338C" w:rsidRPr="009C338C">
        <w:rPr>
          <w:lang w:val="es-ES"/>
        </w:rPr>
        <w:t>relativo</w:t>
      </w:r>
      <w:proofErr w:type="gramEnd"/>
      <w:r w:rsidR="009C338C" w:rsidRPr="009C338C">
        <w:rPr>
          <w:lang w:val="es-ES"/>
        </w:rPr>
        <w:t xml:space="preserve"> al Registro Internacional de Marcas y </w:t>
      </w:r>
      <w:r w:rsidR="009725F3">
        <w:rPr>
          <w:lang w:val="es-ES"/>
        </w:rPr>
        <w:t xml:space="preserve">el </w:t>
      </w:r>
      <w:r w:rsidR="009C338C" w:rsidRPr="009C338C">
        <w:rPr>
          <w:lang w:val="es-ES"/>
        </w:rPr>
        <w:t>Protocolo concerniente a ese Arreglo</w:t>
      </w:r>
      <w:r w:rsidRPr="00D120D1">
        <w:rPr>
          <w:lang w:val="es-ES"/>
        </w:rPr>
        <w:t xml:space="preserve">:  </w:t>
      </w:r>
    </w:p>
    <w:p w:rsidR="000829E9" w:rsidRPr="00D120D1" w:rsidRDefault="000829E9" w:rsidP="000829E9">
      <w:pPr>
        <w:rPr>
          <w:lang w:val="es-ES"/>
        </w:rPr>
      </w:pPr>
    </w:p>
    <w:p w:rsidR="000829E9" w:rsidRPr="00D120D1" w:rsidRDefault="000829E9" w:rsidP="00114B21">
      <w:pPr>
        <w:ind w:left="567"/>
        <w:rPr>
          <w:lang w:val="es-ES"/>
        </w:rPr>
      </w:pPr>
      <w:r w:rsidRPr="00D120D1">
        <w:rPr>
          <w:lang w:val="es-ES"/>
        </w:rPr>
        <w:t>–</w:t>
      </w:r>
      <w:r w:rsidRPr="00D120D1">
        <w:rPr>
          <w:lang w:val="es-ES"/>
        </w:rPr>
        <w:tab/>
      </w:r>
      <w:r w:rsidR="00B9141D">
        <w:rPr>
          <w:lang w:val="es-ES"/>
        </w:rPr>
        <w:t xml:space="preserve">imputa </w:t>
      </w:r>
      <w:r w:rsidR="00114B21">
        <w:rPr>
          <w:lang w:val="es-ES"/>
        </w:rPr>
        <w:t xml:space="preserve">el importe de la </w:t>
      </w:r>
      <w:r w:rsidR="00114B21" w:rsidRPr="00BC51F2">
        <w:rPr>
          <w:i/>
          <w:u w:val="single"/>
          <w:lang w:val="es-ES"/>
        </w:rPr>
        <w:t>tasa de base para la renovación</w:t>
      </w:r>
      <w:r w:rsidR="00114B21">
        <w:rPr>
          <w:lang w:val="es-ES"/>
        </w:rPr>
        <w:t xml:space="preserve"> </w:t>
      </w:r>
      <w:r w:rsidRPr="00D120D1">
        <w:rPr>
          <w:lang w:val="es-ES"/>
        </w:rPr>
        <w:t>(653 </w:t>
      </w:r>
      <w:r w:rsidR="00114B21">
        <w:rPr>
          <w:lang w:val="es-ES"/>
        </w:rPr>
        <w:t>francos suizos</w:t>
      </w:r>
      <w:r w:rsidRPr="00D120D1">
        <w:rPr>
          <w:lang w:val="es-ES"/>
        </w:rPr>
        <w:t>)</w:t>
      </w:r>
      <w:r w:rsidR="00114B21">
        <w:rPr>
          <w:lang w:val="es-ES"/>
        </w:rPr>
        <w:t xml:space="preserve"> y</w:t>
      </w:r>
      <w:r w:rsidRPr="00D120D1">
        <w:rPr>
          <w:lang w:val="es-ES"/>
        </w:rPr>
        <w:t xml:space="preserve">, </w:t>
      </w:r>
      <w:r w:rsidR="00114B21">
        <w:rPr>
          <w:lang w:val="es-ES"/>
        </w:rPr>
        <w:t>cuando se renueva el registro durante el plazo de gracia, añade una sobretasa del 50</w:t>
      </w:r>
      <w:r w:rsidR="00D82EFA">
        <w:rPr>
          <w:lang w:val="es-ES"/>
        </w:rPr>
        <w:t> por ciento</w:t>
      </w:r>
      <w:r w:rsidR="00114B21">
        <w:rPr>
          <w:lang w:val="es-ES"/>
        </w:rPr>
        <w:t xml:space="preserve"> de dicho importe (</w:t>
      </w:r>
      <w:r w:rsidRPr="00D120D1">
        <w:rPr>
          <w:lang w:val="es-ES"/>
        </w:rPr>
        <w:t>326</w:t>
      </w:r>
      <w:r w:rsidR="00114B21">
        <w:rPr>
          <w:lang w:val="es-ES"/>
        </w:rPr>
        <w:t>,</w:t>
      </w:r>
      <w:r w:rsidRPr="00D120D1">
        <w:rPr>
          <w:lang w:val="es-ES"/>
        </w:rPr>
        <w:t>50 </w:t>
      </w:r>
      <w:r w:rsidR="00114B21">
        <w:rPr>
          <w:lang w:val="es-ES"/>
        </w:rPr>
        <w:t>francos suizos</w:t>
      </w:r>
      <w:r w:rsidRPr="00D120D1">
        <w:rPr>
          <w:lang w:val="es-ES"/>
        </w:rPr>
        <w:t xml:space="preserve">);  </w:t>
      </w:r>
    </w:p>
    <w:p w:rsidR="000829E9" w:rsidRPr="00D120D1" w:rsidRDefault="000829E9" w:rsidP="000829E9">
      <w:pPr>
        <w:ind w:left="567"/>
        <w:rPr>
          <w:lang w:val="es-ES"/>
        </w:rPr>
      </w:pPr>
    </w:p>
    <w:p w:rsidR="000829E9" w:rsidRPr="00D120D1" w:rsidRDefault="000829E9" w:rsidP="0084059A">
      <w:pPr>
        <w:ind w:left="567"/>
        <w:rPr>
          <w:lang w:val="es-ES"/>
        </w:rPr>
      </w:pPr>
      <w:r w:rsidRPr="00D120D1">
        <w:rPr>
          <w:lang w:val="es-ES"/>
        </w:rPr>
        <w:t>–</w:t>
      </w:r>
      <w:r w:rsidRPr="00D120D1">
        <w:rPr>
          <w:lang w:val="es-ES"/>
        </w:rPr>
        <w:tab/>
      </w:r>
      <w:r w:rsidR="00114B21">
        <w:rPr>
          <w:lang w:val="es-ES"/>
        </w:rPr>
        <w:t xml:space="preserve">en el caso de las Partes Contratantes que hayan declarado que desean recibir una </w:t>
      </w:r>
      <w:r w:rsidR="00114B21" w:rsidRPr="00BC51F2">
        <w:rPr>
          <w:i/>
          <w:u w:val="single"/>
          <w:lang w:val="es-ES"/>
        </w:rPr>
        <w:t>tasa individual</w:t>
      </w:r>
      <w:r w:rsidRPr="00D120D1">
        <w:rPr>
          <w:vertAlign w:val="superscript"/>
          <w:lang w:val="es-ES"/>
        </w:rPr>
        <w:footnoteReference w:id="2"/>
      </w:r>
      <w:r w:rsidRPr="00D120D1">
        <w:rPr>
          <w:lang w:val="es-ES"/>
        </w:rPr>
        <w:t xml:space="preserve">, </w:t>
      </w:r>
      <w:r w:rsidR="0084059A">
        <w:rPr>
          <w:lang w:val="es-ES"/>
        </w:rPr>
        <w:t>calcula dicha tasa e imputa el importe correspondiente, teniendo en cuenta además las designaciones posteriores, la inscripción de limitaciones y cambios parciales en la titularidad, así como los productos y servicios protegidos tras la inscripción de las decisiones definitivas</w:t>
      </w:r>
      <w:r w:rsidRPr="00D120D1">
        <w:rPr>
          <w:vertAlign w:val="superscript"/>
          <w:lang w:val="es-ES"/>
        </w:rPr>
        <w:footnoteReference w:id="3"/>
      </w:r>
      <w:r w:rsidR="0084059A">
        <w:rPr>
          <w:lang w:val="es-ES"/>
        </w:rPr>
        <w:t xml:space="preserve"> y la invalidación parcial</w:t>
      </w:r>
      <w:r w:rsidRPr="00D120D1">
        <w:rPr>
          <w:lang w:val="es-ES"/>
        </w:rPr>
        <w:t xml:space="preserve">;  </w:t>
      </w:r>
    </w:p>
    <w:p w:rsidR="000829E9" w:rsidRPr="00D120D1" w:rsidRDefault="000829E9" w:rsidP="000829E9">
      <w:pPr>
        <w:ind w:left="567"/>
        <w:rPr>
          <w:lang w:val="es-ES"/>
        </w:rPr>
      </w:pPr>
    </w:p>
    <w:p w:rsidR="00D82EFA" w:rsidRDefault="00D82EFA" w:rsidP="005A5D05">
      <w:pPr>
        <w:ind w:left="567"/>
        <w:rPr>
          <w:lang w:val="es-ES"/>
        </w:rPr>
      </w:pPr>
      <w:r>
        <w:rPr>
          <w:lang w:val="es-ES"/>
        </w:rPr>
        <w:br w:type="page"/>
      </w:r>
    </w:p>
    <w:p w:rsidR="000829E9" w:rsidRPr="00D120D1" w:rsidRDefault="000829E9" w:rsidP="005A5D05">
      <w:pPr>
        <w:ind w:left="567"/>
        <w:rPr>
          <w:lang w:val="es-ES"/>
        </w:rPr>
      </w:pPr>
      <w:r w:rsidRPr="00D120D1">
        <w:rPr>
          <w:lang w:val="es-ES"/>
        </w:rPr>
        <w:lastRenderedPageBreak/>
        <w:t>–</w:t>
      </w:r>
      <w:r w:rsidRPr="00D120D1">
        <w:rPr>
          <w:lang w:val="es-ES"/>
        </w:rPr>
        <w:tab/>
      </w:r>
      <w:r w:rsidR="0006673A">
        <w:rPr>
          <w:lang w:val="es-ES"/>
        </w:rPr>
        <w:t>i</w:t>
      </w:r>
      <w:r w:rsidR="00DE5771">
        <w:rPr>
          <w:lang w:val="es-ES"/>
        </w:rPr>
        <w:t>mputa el importe de</w:t>
      </w:r>
      <w:r w:rsidR="0006673A">
        <w:rPr>
          <w:lang w:val="es-ES"/>
        </w:rPr>
        <w:t>l</w:t>
      </w:r>
      <w:r w:rsidR="00DE5771">
        <w:rPr>
          <w:lang w:val="es-ES"/>
        </w:rPr>
        <w:t xml:space="preserve"> </w:t>
      </w:r>
      <w:r w:rsidR="00DE5771" w:rsidRPr="00BC51F2">
        <w:rPr>
          <w:i/>
          <w:u w:val="single"/>
          <w:lang w:val="es-ES"/>
        </w:rPr>
        <w:t>complemento de tasa</w:t>
      </w:r>
      <w:r w:rsidRPr="00D120D1">
        <w:rPr>
          <w:lang w:val="es-ES"/>
        </w:rPr>
        <w:t xml:space="preserve"> (100 </w:t>
      </w:r>
      <w:r w:rsidR="0006673A">
        <w:rPr>
          <w:lang w:val="es-ES"/>
        </w:rPr>
        <w:t>francos suizos</w:t>
      </w:r>
      <w:r w:rsidRPr="00D120D1">
        <w:rPr>
          <w:lang w:val="es-ES"/>
        </w:rPr>
        <w:t xml:space="preserve">) </w:t>
      </w:r>
      <w:r w:rsidR="0006673A">
        <w:rPr>
          <w:lang w:val="es-ES"/>
        </w:rPr>
        <w:t xml:space="preserve">respecto de cada Parte Contratante que </w:t>
      </w:r>
      <w:r w:rsidR="00877021">
        <w:rPr>
          <w:lang w:val="es-ES"/>
        </w:rPr>
        <w:t xml:space="preserve">no haya declarado que desea recibir </w:t>
      </w:r>
      <w:r w:rsidR="00F804DE">
        <w:rPr>
          <w:lang w:val="es-ES"/>
        </w:rPr>
        <w:t>una</w:t>
      </w:r>
      <w:r w:rsidR="00877021">
        <w:rPr>
          <w:lang w:val="es-ES"/>
        </w:rPr>
        <w:t xml:space="preserve"> tasa individual y el</w:t>
      </w:r>
      <w:r w:rsidR="00DE5771">
        <w:rPr>
          <w:lang w:val="es-ES"/>
        </w:rPr>
        <w:t xml:space="preserve"> </w:t>
      </w:r>
      <w:r w:rsidR="00877021">
        <w:rPr>
          <w:lang w:val="es-ES"/>
        </w:rPr>
        <w:t xml:space="preserve">importe de la </w:t>
      </w:r>
      <w:r w:rsidR="00877021" w:rsidRPr="00BC51F2">
        <w:rPr>
          <w:i/>
          <w:u w:val="single"/>
          <w:lang w:val="es-ES"/>
        </w:rPr>
        <w:t>tasa suplementaria</w:t>
      </w:r>
      <w:r w:rsidR="00877021">
        <w:rPr>
          <w:lang w:val="es-ES"/>
        </w:rPr>
        <w:t xml:space="preserve"> </w:t>
      </w:r>
      <w:r w:rsidR="005A5D05">
        <w:rPr>
          <w:lang w:val="es-ES"/>
        </w:rPr>
        <w:t>(100</w:t>
      </w:r>
      <w:r w:rsidR="00D82EFA">
        <w:rPr>
          <w:lang w:val="es-ES"/>
        </w:rPr>
        <w:t> </w:t>
      </w:r>
      <w:r w:rsidR="005A5D05">
        <w:rPr>
          <w:lang w:val="es-ES"/>
        </w:rPr>
        <w:t>francos suizos) respecto de cada clase, a partir de la tercera, que permanece en el registro internacional (es decir, las clases que no hayan sido canceladas debido a que han cesado los efectos de la marca</w:t>
      </w:r>
      <w:r w:rsidR="00F804DE">
        <w:rPr>
          <w:lang w:val="es-ES"/>
        </w:rPr>
        <w:t xml:space="preserve"> de base</w:t>
      </w:r>
      <w:r w:rsidR="005A5D05">
        <w:rPr>
          <w:lang w:val="es-ES"/>
        </w:rPr>
        <w:t xml:space="preserve"> o a petición del titular</w:t>
      </w:r>
      <w:r w:rsidRPr="00D120D1">
        <w:rPr>
          <w:lang w:val="es-ES"/>
        </w:rPr>
        <w:t>).</w:t>
      </w:r>
    </w:p>
    <w:p w:rsidR="000829E9" w:rsidRPr="00D120D1" w:rsidRDefault="000829E9" w:rsidP="000829E9">
      <w:pPr>
        <w:rPr>
          <w:lang w:val="es-ES"/>
        </w:rPr>
      </w:pPr>
    </w:p>
    <w:p w:rsidR="00621309" w:rsidRDefault="000829E9" w:rsidP="000829E9">
      <w:pPr>
        <w:rPr>
          <w:lang w:val="es-ES"/>
        </w:rPr>
      </w:pPr>
      <w:r w:rsidRPr="00D120D1">
        <w:rPr>
          <w:lang w:val="es-ES"/>
        </w:rPr>
        <w:fldChar w:fldCharType="begin"/>
      </w:r>
      <w:r w:rsidRPr="00D120D1">
        <w:rPr>
          <w:lang w:val="es-ES"/>
        </w:rPr>
        <w:instrText xml:space="preserve"> AUTONUM  </w:instrText>
      </w:r>
      <w:r w:rsidRPr="00D120D1">
        <w:rPr>
          <w:lang w:val="es-ES"/>
        </w:rPr>
        <w:fldChar w:fldCharType="end"/>
      </w:r>
      <w:r w:rsidRPr="00D120D1">
        <w:rPr>
          <w:lang w:val="es-ES"/>
        </w:rPr>
        <w:tab/>
      </w:r>
      <w:r w:rsidR="00621309">
        <w:rPr>
          <w:lang w:val="es-ES"/>
        </w:rPr>
        <w:t xml:space="preserve">En </w:t>
      </w:r>
      <w:r w:rsidRPr="00D82EFA">
        <w:rPr>
          <w:i/>
          <w:lang w:val="es-ES"/>
        </w:rPr>
        <w:t>E-</w:t>
      </w:r>
      <w:proofErr w:type="spellStart"/>
      <w:r w:rsidRPr="00D82EFA">
        <w:rPr>
          <w:i/>
          <w:lang w:val="es-ES"/>
        </w:rPr>
        <w:t>Renewal</w:t>
      </w:r>
      <w:proofErr w:type="spellEnd"/>
      <w:r w:rsidRPr="00D120D1">
        <w:rPr>
          <w:lang w:val="es-ES"/>
        </w:rPr>
        <w:t xml:space="preserve"> </w:t>
      </w:r>
      <w:r w:rsidR="00621309">
        <w:rPr>
          <w:lang w:val="es-ES"/>
        </w:rPr>
        <w:t>se indica el número de clases que permanecen en el registro internacional.  Asimismo, se indica el número de clases que se han tenido en cuenta para calcular e imputar el importe en el caso de las Partes Contratantes que hayan declarado que desean recibir una tasa individual, cuando sea distinto del número de clases que permanecen en el registro internacional.  Esta información está disponible en la pantalla de confirmación del pago y en el posterior mensaje de correo electrónico que sirve de confirmación.</w:t>
      </w:r>
    </w:p>
    <w:p w:rsidR="00621309" w:rsidRDefault="00621309" w:rsidP="000829E9">
      <w:pPr>
        <w:rPr>
          <w:lang w:val="es-ES"/>
        </w:rPr>
      </w:pPr>
    </w:p>
    <w:p w:rsidR="00621309" w:rsidRDefault="000829E9" w:rsidP="00621309">
      <w:pPr>
        <w:rPr>
          <w:lang w:val="es-ES"/>
        </w:rPr>
      </w:pPr>
      <w:r w:rsidRPr="00D120D1">
        <w:rPr>
          <w:lang w:val="es-ES"/>
        </w:rPr>
        <w:fldChar w:fldCharType="begin"/>
      </w:r>
      <w:r w:rsidRPr="00D120D1">
        <w:rPr>
          <w:lang w:val="es-ES"/>
        </w:rPr>
        <w:instrText xml:space="preserve"> AUTONUM  </w:instrText>
      </w:r>
      <w:r w:rsidRPr="00D120D1">
        <w:rPr>
          <w:lang w:val="es-ES"/>
        </w:rPr>
        <w:fldChar w:fldCharType="end"/>
      </w:r>
      <w:r w:rsidRPr="00D120D1">
        <w:rPr>
          <w:lang w:val="es-ES"/>
        </w:rPr>
        <w:tab/>
      </w:r>
      <w:r w:rsidR="00621309">
        <w:rPr>
          <w:lang w:val="es-ES"/>
        </w:rPr>
        <w:t xml:space="preserve">Puede utilizarse </w:t>
      </w:r>
      <w:r w:rsidRPr="00D82EFA">
        <w:rPr>
          <w:i/>
          <w:lang w:val="es-ES"/>
        </w:rPr>
        <w:t>E-</w:t>
      </w:r>
      <w:proofErr w:type="spellStart"/>
      <w:r w:rsidRPr="00D82EFA">
        <w:rPr>
          <w:i/>
          <w:lang w:val="es-ES"/>
        </w:rPr>
        <w:t>Renewal</w:t>
      </w:r>
      <w:proofErr w:type="spellEnd"/>
      <w:r w:rsidRPr="00D120D1">
        <w:rPr>
          <w:lang w:val="es-ES"/>
        </w:rPr>
        <w:t xml:space="preserve"> </w:t>
      </w:r>
      <w:r w:rsidR="00621309">
        <w:rPr>
          <w:lang w:val="es-ES"/>
        </w:rPr>
        <w:t xml:space="preserve">para renovar registros internacionales en relación con Partes Contratantes respecto de las que se haya inscrito una decisión definitiva en la que se deniega la protección de todos los productos y servicios.  En ese caso, </w:t>
      </w:r>
      <w:r w:rsidRPr="00D82EFA">
        <w:rPr>
          <w:i/>
          <w:lang w:val="es-ES"/>
        </w:rPr>
        <w:t>E-</w:t>
      </w:r>
      <w:proofErr w:type="spellStart"/>
      <w:r w:rsidRPr="00D82EFA">
        <w:rPr>
          <w:i/>
          <w:lang w:val="es-ES"/>
        </w:rPr>
        <w:t>Renewal</w:t>
      </w:r>
      <w:proofErr w:type="spellEnd"/>
      <w:r w:rsidRPr="00D120D1">
        <w:rPr>
          <w:lang w:val="es-ES"/>
        </w:rPr>
        <w:t xml:space="preserve"> </w:t>
      </w:r>
      <w:r w:rsidR="00621309">
        <w:rPr>
          <w:lang w:val="es-ES"/>
        </w:rPr>
        <w:t>imputará el importe del complemento de tasa o, cuando la Parte Contratante haya declarado que desea recibir una tasa individual, calculará e imputará el importe correspondiente teniendo en cuenta todos los productos y servicios respecto de los que esa Parte Contratante siga siendo designada.</w:t>
      </w:r>
    </w:p>
    <w:p w:rsidR="000829E9" w:rsidRPr="00D120D1" w:rsidRDefault="000829E9" w:rsidP="000829E9">
      <w:pPr>
        <w:rPr>
          <w:lang w:val="es-ES"/>
        </w:rPr>
      </w:pPr>
    </w:p>
    <w:p w:rsidR="000829E9" w:rsidRPr="00D120D1" w:rsidRDefault="000829E9" w:rsidP="000829E9">
      <w:pPr>
        <w:rPr>
          <w:lang w:val="es-ES"/>
        </w:rPr>
      </w:pPr>
      <w:r w:rsidRPr="00D120D1">
        <w:rPr>
          <w:lang w:val="es-ES"/>
        </w:rPr>
        <w:fldChar w:fldCharType="begin"/>
      </w:r>
      <w:r w:rsidRPr="00D120D1">
        <w:rPr>
          <w:lang w:val="es-ES"/>
        </w:rPr>
        <w:instrText xml:space="preserve"> AUTONUM  </w:instrText>
      </w:r>
      <w:r w:rsidRPr="00D120D1">
        <w:rPr>
          <w:lang w:val="es-ES"/>
        </w:rPr>
        <w:fldChar w:fldCharType="end"/>
      </w:r>
      <w:r w:rsidRPr="00D120D1">
        <w:rPr>
          <w:lang w:val="es-ES"/>
        </w:rPr>
        <w:tab/>
      </w:r>
      <w:r w:rsidR="00AC197C" w:rsidRPr="00AC197C">
        <w:rPr>
          <w:i/>
          <w:u w:val="single"/>
          <w:lang w:val="es-ES"/>
        </w:rPr>
        <w:t>No podrá usarse</w:t>
      </w:r>
      <w:r w:rsidR="00AC197C">
        <w:rPr>
          <w:lang w:val="es-ES"/>
        </w:rPr>
        <w:t xml:space="preserve"> </w:t>
      </w:r>
      <w:r w:rsidRPr="00D82EFA">
        <w:rPr>
          <w:i/>
          <w:lang w:val="es-ES"/>
        </w:rPr>
        <w:t>E-</w:t>
      </w:r>
      <w:proofErr w:type="spellStart"/>
      <w:r w:rsidRPr="00D82EFA">
        <w:rPr>
          <w:i/>
          <w:lang w:val="es-ES"/>
        </w:rPr>
        <w:t>Renewal</w:t>
      </w:r>
      <w:proofErr w:type="spellEnd"/>
      <w:r w:rsidRPr="00D120D1">
        <w:rPr>
          <w:lang w:val="es-ES"/>
        </w:rPr>
        <w:t xml:space="preserve"> </w:t>
      </w:r>
      <w:r w:rsidR="00AC197C">
        <w:rPr>
          <w:lang w:val="es-ES"/>
        </w:rPr>
        <w:t>para renovar registro</w:t>
      </w:r>
      <w:r w:rsidR="00DE5854">
        <w:rPr>
          <w:lang w:val="es-ES"/>
        </w:rPr>
        <w:t>s</w:t>
      </w:r>
      <w:r w:rsidR="00AC197C">
        <w:rPr>
          <w:lang w:val="es-ES"/>
        </w:rPr>
        <w:t xml:space="preserve"> internacional</w:t>
      </w:r>
      <w:r w:rsidR="00DE5854">
        <w:rPr>
          <w:lang w:val="es-ES"/>
        </w:rPr>
        <w:t>es</w:t>
      </w:r>
      <w:r w:rsidR="00AC197C">
        <w:rPr>
          <w:lang w:val="es-ES"/>
        </w:rPr>
        <w:t xml:space="preserve"> </w:t>
      </w:r>
      <w:r w:rsidR="00DE5854">
        <w:rPr>
          <w:lang w:val="es-ES"/>
        </w:rPr>
        <w:t xml:space="preserve">relativos a </w:t>
      </w:r>
      <w:r w:rsidR="00AC197C">
        <w:rPr>
          <w:lang w:val="es-ES"/>
        </w:rPr>
        <w:t xml:space="preserve">todos los productos y servicios, incluidos los que no están protegidos, </w:t>
      </w:r>
      <w:r w:rsidR="00DE5854">
        <w:rPr>
          <w:lang w:val="es-ES"/>
        </w:rPr>
        <w:t xml:space="preserve">en el caso </w:t>
      </w:r>
      <w:r w:rsidR="00AC197C">
        <w:rPr>
          <w:lang w:val="es-ES"/>
        </w:rPr>
        <w:t xml:space="preserve">de las Partes Contratantes </w:t>
      </w:r>
      <w:r w:rsidR="00DE5854">
        <w:rPr>
          <w:lang w:val="es-ES"/>
        </w:rPr>
        <w:t xml:space="preserve">respecto de las que se haya inscrito una decisión definitiva en la que se deniega parcialmente la protección.  En ese caso concreto, los usuarios deberán enviar una petición de renovación impresa </w:t>
      </w:r>
      <w:r w:rsidR="00DE5854" w:rsidRPr="00DE5854">
        <w:rPr>
          <w:i/>
          <w:u w:val="single"/>
          <w:lang w:val="es-ES"/>
        </w:rPr>
        <w:t>remitiendo el formulario</w:t>
      </w:r>
      <w:r w:rsidR="00DE5854" w:rsidRPr="00DE5854">
        <w:rPr>
          <w:u w:val="single"/>
          <w:lang w:val="es-ES"/>
        </w:rPr>
        <w:t xml:space="preserve"> </w:t>
      </w:r>
      <w:r w:rsidRPr="00DE5854">
        <w:rPr>
          <w:i/>
          <w:u w:val="single"/>
          <w:lang w:val="es-ES"/>
        </w:rPr>
        <w:t xml:space="preserve"> </w:t>
      </w:r>
      <w:r w:rsidRPr="00D120D1">
        <w:rPr>
          <w:i/>
          <w:u w:val="single"/>
          <w:lang w:val="es-ES"/>
        </w:rPr>
        <w:t>MM11</w:t>
      </w:r>
      <w:r w:rsidRPr="00D120D1">
        <w:rPr>
          <w:lang w:val="es-ES"/>
        </w:rPr>
        <w:t xml:space="preserve">.  </w:t>
      </w:r>
    </w:p>
    <w:p w:rsidR="000829E9" w:rsidRPr="00D120D1" w:rsidRDefault="000829E9" w:rsidP="000829E9">
      <w:pPr>
        <w:rPr>
          <w:lang w:val="es-ES"/>
        </w:rPr>
      </w:pPr>
    </w:p>
    <w:p w:rsidR="00872538" w:rsidRDefault="000829E9" w:rsidP="00872538">
      <w:pPr>
        <w:rPr>
          <w:lang w:val="es-ES"/>
        </w:rPr>
      </w:pPr>
      <w:r w:rsidRPr="00D120D1">
        <w:rPr>
          <w:lang w:val="es-ES"/>
        </w:rPr>
        <w:fldChar w:fldCharType="begin"/>
      </w:r>
      <w:r w:rsidRPr="00D120D1">
        <w:rPr>
          <w:lang w:val="es-ES"/>
        </w:rPr>
        <w:instrText xml:space="preserve"> AUTONUM  </w:instrText>
      </w:r>
      <w:r w:rsidRPr="00D120D1">
        <w:rPr>
          <w:lang w:val="es-ES"/>
        </w:rPr>
        <w:fldChar w:fldCharType="end"/>
      </w:r>
      <w:r w:rsidRPr="00D120D1">
        <w:rPr>
          <w:lang w:val="es-ES"/>
        </w:rPr>
        <w:tab/>
      </w:r>
      <w:r w:rsidR="00872538">
        <w:rPr>
          <w:lang w:val="es-ES"/>
        </w:rPr>
        <w:t>Por último</w:t>
      </w:r>
      <w:r w:rsidRPr="00D120D1">
        <w:rPr>
          <w:lang w:val="es-ES"/>
        </w:rPr>
        <w:t xml:space="preserve">, </w:t>
      </w:r>
      <w:r w:rsidR="00872538">
        <w:rPr>
          <w:lang w:val="es-ES"/>
        </w:rPr>
        <w:t xml:space="preserve">los registros internacionales que hayan sido cancelados (debido a la cesación de los efectos o a petición del titular) o respecto de los que haya vencido el plazo de gracia no podrán renovarse por medio de </w:t>
      </w:r>
      <w:r w:rsidRPr="00D82EFA">
        <w:rPr>
          <w:i/>
          <w:lang w:val="es-ES"/>
        </w:rPr>
        <w:t>E-</w:t>
      </w:r>
      <w:proofErr w:type="spellStart"/>
      <w:r w:rsidRPr="00D82EFA">
        <w:rPr>
          <w:i/>
          <w:lang w:val="es-ES"/>
        </w:rPr>
        <w:t>renewal</w:t>
      </w:r>
      <w:proofErr w:type="spellEnd"/>
      <w:r w:rsidR="00872538">
        <w:rPr>
          <w:lang w:val="es-ES"/>
        </w:rPr>
        <w:t>, ni enviando una petición impresa.  Además, no podrán renovarse los registros internacionales en relación con las Partes Contratantes respecto de las que se haya inscrito una invalidación para todos los productos y servicios.</w:t>
      </w:r>
    </w:p>
    <w:p w:rsidR="000829E9" w:rsidRPr="00D120D1" w:rsidRDefault="000829E9" w:rsidP="000829E9">
      <w:pPr>
        <w:rPr>
          <w:lang w:val="es-ES"/>
        </w:rPr>
      </w:pPr>
    </w:p>
    <w:p w:rsidR="000829E9" w:rsidRPr="00D120D1" w:rsidRDefault="000829E9" w:rsidP="000829E9">
      <w:pPr>
        <w:rPr>
          <w:lang w:val="es-ES"/>
        </w:rPr>
      </w:pPr>
    </w:p>
    <w:p w:rsidR="00163F61" w:rsidRPr="00D120D1" w:rsidRDefault="00FA4518" w:rsidP="00CE7F31">
      <w:pPr>
        <w:pStyle w:val="Endofdocument-Annex"/>
        <w:rPr>
          <w:lang w:val="es-ES"/>
        </w:rPr>
      </w:pPr>
      <w:r>
        <w:rPr>
          <w:lang w:val="es-ES"/>
        </w:rPr>
        <w:t>5</w:t>
      </w:r>
      <w:r w:rsidR="00CE7F31" w:rsidRPr="00CE7F31">
        <w:rPr>
          <w:lang w:val="es-ES"/>
        </w:rPr>
        <w:t xml:space="preserve"> de ma</w:t>
      </w:r>
      <w:r w:rsidR="00F804DE">
        <w:rPr>
          <w:lang w:val="es-ES"/>
        </w:rPr>
        <w:t>yo</w:t>
      </w:r>
      <w:r w:rsidR="00CE7F31" w:rsidRPr="00CE7F31">
        <w:rPr>
          <w:lang w:val="es-ES"/>
        </w:rPr>
        <w:t xml:space="preserve"> de 2015</w:t>
      </w:r>
    </w:p>
    <w:sectPr w:rsidR="00163F61" w:rsidRPr="00D120D1"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9D" w:rsidRDefault="006B129D">
      <w:r>
        <w:separator/>
      </w:r>
    </w:p>
  </w:endnote>
  <w:endnote w:type="continuationSeparator" w:id="0">
    <w:p w:rsidR="006B129D" w:rsidRDefault="006B129D" w:rsidP="003B38C1">
      <w:r>
        <w:separator/>
      </w:r>
    </w:p>
    <w:p w:rsidR="006B129D" w:rsidRPr="003B38C1" w:rsidRDefault="006B129D" w:rsidP="003B38C1">
      <w:pPr>
        <w:spacing w:after="60"/>
        <w:rPr>
          <w:sz w:val="17"/>
        </w:rPr>
      </w:pPr>
      <w:r>
        <w:rPr>
          <w:sz w:val="17"/>
        </w:rPr>
        <w:t>[Endnote continued from previous page]</w:t>
      </w:r>
    </w:p>
  </w:endnote>
  <w:endnote w:type="continuationNotice" w:id="1">
    <w:p w:rsidR="006B129D" w:rsidRPr="003B38C1" w:rsidRDefault="006B12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9D" w:rsidRDefault="006B129D">
      <w:r>
        <w:separator/>
      </w:r>
    </w:p>
  </w:footnote>
  <w:footnote w:type="continuationSeparator" w:id="0">
    <w:p w:rsidR="006B129D" w:rsidRDefault="006B129D" w:rsidP="008B60B2">
      <w:r>
        <w:separator/>
      </w:r>
    </w:p>
    <w:p w:rsidR="006B129D" w:rsidRPr="00ED77FB" w:rsidRDefault="006B129D" w:rsidP="008B60B2">
      <w:pPr>
        <w:spacing w:after="60"/>
        <w:rPr>
          <w:sz w:val="17"/>
          <w:szCs w:val="17"/>
        </w:rPr>
      </w:pPr>
      <w:r w:rsidRPr="00ED77FB">
        <w:rPr>
          <w:sz w:val="17"/>
          <w:szCs w:val="17"/>
        </w:rPr>
        <w:t>[Footnote continued from previous page]</w:t>
      </w:r>
    </w:p>
  </w:footnote>
  <w:footnote w:type="continuationNotice" w:id="1">
    <w:p w:rsidR="006B129D" w:rsidRPr="00ED77FB" w:rsidRDefault="006B129D" w:rsidP="008B60B2">
      <w:pPr>
        <w:spacing w:before="60"/>
        <w:jc w:val="right"/>
        <w:rPr>
          <w:sz w:val="17"/>
          <w:szCs w:val="17"/>
        </w:rPr>
      </w:pPr>
      <w:r w:rsidRPr="00ED77FB">
        <w:rPr>
          <w:sz w:val="17"/>
          <w:szCs w:val="17"/>
        </w:rPr>
        <w:t>[Footnote continued on next page]</w:t>
      </w:r>
    </w:p>
  </w:footnote>
  <w:footnote w:id="2">
    <w:p w:rsidR="000829E9" w:rsidRPr="002643C5" w:rsidRDefault="000829E9" w:rsidP="000829E9">
      <w:pPr>
        <w:pStyle w:val="FootnoteText"/>
        <w:rPr>
          <w:lang w:val="es-ES"/>
        </w:rPr>
      </w:pPr>
      <w:r w:rsidRPr="002643C5">
        <w:rPr>
          <w:rStyle w:val="FootnoteReference"/>
          <w:lang w:val="es-ES"/>
        </w:rPr>
        <w:footnoteRef/>
      </w:r>
      <w:r w:rsidRPr="002643C5">
        <w:rPr>
          <w:lang w:val="es-ES"/>
        </w:rPr>
        <w:t xml:space="preserve"> </w:t>
      </w:r>
      <w:r w:rsidRPr="002643C5">
        <w:rPr>
          <w:lang w:val="es-ES"/>
        </w:rPr>
        <w:tab/>
      </w:r>
      <w:r w:rsidR="002643C5" w:rsidRPr="002643C5">
        <w:rPr>
          <w:lang w:val="es-ES"/>
        </w:rPr>
        <w:t>A reserva de lo dispuesto en el Artículo</w:t>
      </w:r>
      <w:r w:rsidR="00D82EFA">
        <w:rPr>
          <w:lang w:val="es-ES"/>
        </w:rPr>
        <w:t> </w:t>
      </w:r>
      <w:r w:rsidRPr="002643C5">
        <w:rPr>
          <w:lang w:val="es-ES"/>
        </w:rPr>
        <w:t>9</w:t>
      </w:r>
      <w:r w:rsidRPr="002643C5">
        <w:rPr>
          <w:i/>
          <w:lang w:val="es-ES"/>
        </w:rPr>
        <w:t>sexies</w:t>
      </w:r>
      <w:r w:rsidR="002643C5">
        <w:rPr>
          <w:lang w:val="es-ES"/>
        </w:rPr>
        <w:t>.</w:t>
      </w:r>
      <w:r w:rsidRPr="002643C5">
        <w:rPr>
          <w:lang w:val="es-ES"/>
        </w:rPr>
        <w:t xml:space="preserve">1)b) </w:t>
      </w:r>
      <w:r w:rsidR="002643C5">
        <w:rPr>
          <w:lang w:val="es-ES"/>
        </w:rPr>
        <w:t xml:space="preserve">del Protocolo de </w:t>
      </w:r>
      <w:r w:rsidRPr="002643C5">
        <w:rPr>
          <w:lang w:val="es-ES"/>
        </w:rPr>
        <w:t>Madrid.</w:t>
      </w:r>
    </w:p>
  </w:footnote>
  <w:footnote w:id="3">
    <w:p w:rsidR="000829E9" w:rsidRPr="002643C5" w:rsidRDefault="000829E9" w:rsidP="000829E9">
      <w:pPr>
        <w:pStyle w:val="FootnoteText"/>
        <w:rPr>
          <w:lang w:val="es-ES"/>
        </w:rPr>
      </w:pPr>
      <w:r w:rsidRPr="002643C5">
        <w:rPr>
          <w:rStyle w:val="FootnoteReference"/>
          <w:lang w:val="es-ES"/>
        </w:rPr>
        <w:footnoteRef/>
      </w:r>
      <w:r w:rsidRPr="002643C5">
        <w:rPr>
          <w:lang w:val="es-ES"/>
        </w:rPr>
        <w:t xml:space="preserve"> </w:t>
      </w:r>
      <w:r w:rsidRPr="002643C5">
        <w:rPr>
          <w:lang w:val="es-ES"/>
        </w:rPr>
        <w:tab/>
      </w:r>
      <w:r w:rsidR="00877FC2">
        <w:rPr>
          <w:lang w:val="es-ES"/>
        </w:rPr>
        <w:t>Las declaraciones enviadas conf</w:t>
      </w:r>
      <w:r w:rsidR="00D82EFA">
        <w:rPr>
          <w:lang w:val="es-ES"/>
        </w:rPr>
        <w:t>orme a lo dispuesto en la Regla </w:t>
      </w:r>
      <w:r w:rsidRPr="002643C5">
        <w:rPr>
          <w:lang w:val="es-ES"/>
        </w:rPr>
        <w:t>18</w:t>
      </w:r>
      <w:r w:rsidRPr="002643C5">
        <w:rPr>
          <w:i/>
          <w:lang w:val="es-ES"/>
        </w:rPr>
        <w:t>ter</w:t>
      </w:r>
      <w:r w:rsidRPr="002643C5">
        <w:rPr>
          <w:lang w:val="es-ES"/>
        </w:rPr>
        <w:t xml:space="preserve"> </w:t>
      </w:r>
      <w:r w:rsidR="00877FC2">
        <w:rPr>
          <w:lang w:val="es-ES"/>
        </w:rPr>
        <w:t>del Reglamento Común se denominan decisiones definitivas.  Además, se considera que las notificaciones de oficio de una denegación provisional enviadas por la Oficina a una Parte Contratante que ha notificado una declaración conf</w:t>
      </w:r>
      <w:r w:rsidR="00D82EFA">
        <w:rPr>
          <w:lang w:val="es-ES"/>
        </w:rPr>
        <w:t>orme a lo dispuesto en la Regla </w:t>
      </w:r>
      <w:r w:rsidR="00877FC2">
        <w:rPr>
          <w:lang w:val="es-ES"/>
        </w:rPr>
        <w:t>17.5)d) del Reglamento Común incluyen una declaración de conformidad con lo dispuesto en la Regla</w:t>
      </w:r>
      <w:r w:rsidR="00D82EFA" w:rsidRPr="00D82EFA">
        <w:rPr>
          <w:lang w:val="es-ES"/>
        </w:rPr>
        <w:t> </w:t>
      </w:r>
      <w:r w:rsidR="00877FC2">
        <w:rPr>
          <w:lang w:val="es-ES"/>
        </w:rPr>
        <w:t>18</w:t>
      </w:r>
      <w:r w:rsidR="00877FC2" w:rsidRPr="00D82EFA">
        <w:rPr>
          <w:i/>
          <w:lang w:val="es-ES"/>
        </w:rPr>
        <w:t>ter</w:t>
      </w:r>
      <w:r w:rsidRPr="002643C5">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72610F">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07753FC"/>
    <w:multiLevelType w:val="hybridMultilevel"/>
    <w:tmpl w:val="78106BDC"/>
    <w:lvl w:ilvl="0" w:tplc="9EA815BE">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617A9"/>
    <w:rsid w:val="0006182B"/>
    <w:rsid w:val="00062396"/>
    <w:rsid w:val="00065151"/>
    <w:rsid w:val="0006673A"/>
    <w:rsid w:val="000728FF"/>
    <w:rsid w:val="00075432"/>
    <w:rsid w:val="000822DE"/>
    <w:rsid w:val="000829E9"/>
    <w:rsid w:val="000938C6"/>
    <w:rsid w:val="000968ED"/>
    <w:rsid w:val="000A525D"/>
    <w:rsid w:val="000B7398"/>
    <w:rsid w:val="000C3428"/>
    <w:rsid w:val="000D32E9"/>
    <w:rsid w:val="000D3921"/>
    <w:rsid w:val="000E73ED"/>
    <w:rsid w:val="000F5E56"/>
    <w:rsid w:val="00114B21"/>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C6018"/>
    <w:rsid w:val="001D15DD"/>
    <w:rsid w:val="001E2A93"/>
    <w:rsid w:val="001E3305"/>
    <w:rsid w:val="001E3850"/>
    <w:rsid w:val="001F1B95"/>
    <w:rsid w:val="001F717F"/>
    <w:rsid w:val="0020258E"/>
    <w:rsid w:val="00203F6A"/>
    <w:rsid w:val="0020551F"/>
    <w:rsid w:val="00210DFB"/>
    <w:rsid w:val="00211E30"/>
    <w:rsid w:val="00223225"/>
    <w:rsid w:val="0022493E"/>
    <w:rsid w:val="00224A8A"/>
    <w:rsid w:val="002408FD"/>
    <w:rsid w:val="00251890"/>
    <w:rsid w:val="0025278E"/>
    <w:rsid w:val="002634C4"/>
    <w:rsid w:val="002643C5"/>
    <w:rsid w:val="0026483E"/>
    <w:rsid w:val="00271540"/>
    <w:rsid w:val="002823CC"/>
    <w:rsid w:val="00284ACE"/>
    <w:rsid w:val="00285BE3"/>
    <w:rsid w:val="002928D3"/>
    <w:rsid w:val="002A2E4F"/>
    <w:rsid w:val="002B6590"/>
    <w:rsid w:val="002C1554"/>
    <w:rsid w:val="002C168C"/>
    <w:rsid w:val="002C38D8"/>
    <w:rsid w:val="002C544F"/>
    <w:rsid w:val="002F016B"/>
    <w:rsid w:val="002F1FE6"/>
    <w:rsid w:val="002F4E68"/>
    <w:rsid w:val="002F589C"/>
    <w:rsid w:val="00305073"/>
    <w:rsid w:val="00312F7F"/>
    <w:rsid w:val="00317670"/>
    <w:rsid w:val="003235A0"/>
    <w:rsid w:val="00324A0A"/>
    <w:rsid w:val="00324A92"/>
    <w:rsid w:val="00335EC1"/>
    <w:rsid w:val="00347330"/>
    <w:rsid w:val="0035544B"/>
    <w:rsid w:val="00357985"/>
    <w:rsid w:val="003612A1"/>
    <w:rsid w:val="00361450"/>
    <w:rsid w:val="0036277E"/>
    <w:rsid w:val="00365541"/>
    <w:rsid w:val="003673CF"/>
    <w:rsid w:val="003845C1"/>
    <w:rsid w:val="003A318F"/>
    <w:rsid w:val="003A6F89"/>
    <w:rsid w:val="003B38C1"/>
    <w:rsid w:val="003C2450"/>
    <w:rsid w:val="003C2CB7"/>
    <w:rsid w:val="003D4658"/>
    <w:rsid w:val="003E0D9F"/>
    <w:rsid w:val="003E5040"/>
    <w:rsid w:val="004052E1"/>
    <w:rsid w:val="00411FB2"/>
    <w:rsid w:val="00414A9E"/>
    <w:rsid w:val="00423E3E"/>
    <w:rsid w:val="004255D7"/>
    <w:rsid w:val="00427AF4"/>
    <w:rsid w:val="00440639"/>
    <w:rsid w:val="004630B4"/>
    <w:rsid w:val="004647DA"/>
    <w:rsid w:val="00466BC7"/>
    <w:rsid w:val="0047006A"/>
    <w:rsid w:val="004738DE"/>
    <w:rsid w:val="00474062"/>
    <w:rsid w:val="00477D6B"/>
    <w:rsid w:val="00477EF9"/>
    <w:rsid w:val="004936FC"/>
    <w:rsid w:val="004947C5"/>
    <w:rsid w:val="004B0093"/>
    <w:rsid w:val="004B336C"/>
    <w:rsid w:val="004C51E7"/>
    <w:rsid w:val="004C7C7E"/>
    <w:rsid w:val="004F5A30"/>
    <w:rsid w:val="005019FF"/>
    <w:rsid w:val="005243B1"/>
    <w:rsid w:val="0053057A"/>
    <w:rsid w:val="00546473"/>
    <w:rsid w:val="00546A94"/>
    <w:rsid w:val="00560A29"/>
    <w:rsid w:val="005621EC"/>
    <w:rsid w:val="00563C83"/>
    <w:rsid w:val="00563FB7"/>
    <w:rsid w:val="00566749"/>
    <w:rsid w:val="00566C48"/>
    <w:rsid w:val="005855EB"/>
    <w:rsid w:val="005868B8"/>
    <w:rsid w:val="005909A2"/>
    <w:rsid w:val="0059245B"/>
    <w:rsid w:val="005A0B48"/>
    <w:rsid w:val="005A192B"/>
    <w:rsid w:val="005A5D05"/>
    <w:rsid w:val="005B5479"/>
    <w:rsid w:val="005C6649"/>
    <w:rsid w:val="005C720D"/>
    <w:rsid w:val="005E4AEE"/>
    <w:rsid w:val="005E63C1"/>
    <w:rsid w:val="005F2F3B"/>
    <w:rsid w:val="00605827"/>
    <w:rsid w:val="00612515"/>
    <w:rsid w:val="00613134"/>
    <w:rsid w:val="00621309"/>
    <w:rsid w:val="00634AF5"/>
    <w:rsid w:val="00644AA2"/>
    <w:rsid w:val="00646050"/>
    <w:rsid w:val="00646DCA"/>
    <w:rsid w:val="00647B0C"/>
    <w:rsid w:val="00654AE9"/>
    <w:rsid w:val="006659A7"/>
    <w:rsid w:val="00665B2A"/>
    <w:rsid w:val="006713CA"/>
    <w:rsid w:val="00674ABA"/>
    <w:rsid w:val="00676C5C"/>
    <w:rsid w:val="00677A36"/>
    <w:rsid w:val="00684699"/>
    <w:rsid w:val="00685F88"/>
    <w:rsid w:val="00687B7E"/>
    <w:rsid w:val="006A143E"/>
    <w:rsid w:val="006A27A6"/>
    <w:rsid w:val="006B129D"/>
    <w:rsid w:val="006D1756"/>
    <w:rsid w:val="006D375F"/>
    <w:rsid w:val="006D3AB3"/>
    <w:rsid w:val="006D529E"/>
    <w:rsid w:val="006F073B"/>
    <w:rsid w:val="006F33FF"/>
    <w:rsid w:val="007227A5"/>
    <w:rsid w:val="0072610F"/>
    <w:rsid w:val="007303D8"/>
    <w:rsid w:val="007641F5"/>
    <w:rsid w:val="00765FEF"/>
    <w:rsid w:val="00767C4D"/>
    <w:rsid w:val="00773CE3"/>
    <w:rsid w:val="00775EBD"/>
    <w:rsid w:val="00782581"/>
    <w:rsid w:val="00790A94"/>
    <w:rsid w:val="0079287D"/>
    <w:rsid w:val="007A0427"/>
    <w:rsid w:val="007A0BEF"/>
    <w:rsid w:val="007A0D38"/>
    <w:rsid w:val="007A1B85"/>
    <w:rsid w:val="007B7F73"/>
    <w:rsid w:val="007C3E9B"/>
    <w:rsid w:val="007D1613"/>
    <w:rsid w:val="007D250A"/>
    <w:rsid w:val="007F4D09"/>
    <w:rsid w:val="007F62D1"/>
    <w:rsid w:val="00804EC4"/>
    <w:rsid w:val="00806529"/>
    <w:rsid w:val="00824519"/>
    <w:rsid w:val="00834DBE"/>
    <w:rsid w:val="0084059A"/>
    <w:rsid w:val="00841ED0"/>
    <w:rsid w:val="00853FA8"/>
    <w:rsid w:val="00854071"/>
    <w:rsid w:val="00854FDF"/>
    <w:rsid w:val="00872538"/>
    <w:rsid w:val="00877021"/>
    <w:rsid w:val="00877FC2"/>
    <w:rsid w:val="00885618"/>
    <w:rsid w:val="00886684"/>
    <w:rsid w:val="008929D1"/>
    <w:rsid w:val="008948BE"/>
    <w:rsid w:val="008977D0"/>
    <w:rsid w:val="008A175B"/>
    <w:rsid w:val="008B23F7"/>
    <w:rsid w:val="008B2CC1"/>
    <w:rsid w:val="008B3FAB"/>
    <w:rsid w:val="008B60B2"/>
    <w:rsid w:val="008C2D2F"/>
    <w:rsid w:val="008C2FE6"/>
    <w:rsid w:val="008F1F70"/>
    <w:rsid w:val="0090731E"/>
    <w:rsid w:val="00916EE2"/>
    <w:rsid w:val="00922789"/>
    <w:rsid w:val="009378BE"/>
    <w:rsid w:val="00940793"/>
    <w:rsid w:val="00943E32"/>
    <w:rsid w:val="009449F2"/>
    <w:rsid w:val="00965EC2"/>
    <w:rsid w:val="00966A22"/>
    <w:rsid w:val="0096722F"/>
    <w:rsid w:val="009725F3"/>
    <w:rsid w:val="0097652C"/>
    <w:rsid w:val="00980843"/>
    <w:rsid w:val="009820CB"/>
    <w:rsid w:val="00987E9A"/>
    <w:rsid w:val="00992A2D"/>
    <w:rsid w:val="00997AAD"/>
    <w:rsid w:val="009A591F"/>
    <w:rsid w:val="009C0C04"/>
    <w:rsid w:val="009C338C"/>
    <w:rsid w:val="009E2791"/>
    <w:rsid w:val="009E3F6F"/>
    <w:rsid w:val="009E5F9F"/>
    <w:rsid w:val="009E72BA"/>
    <w:rsid w:val="009F2952"/>
    <w:rsid w:val="009F2A14"/>
    <w:rsid w:val="009F499F"/>
    <w:rsid w:val="00A04B6E"/>
    <w:rsid w:val="00A1570B"/>
    <w:rsid w:val="00A21684"/>
    <w:rsid w:val="00A25430"/>
    <w:rsid w:val="00A2622E"/>
    <w:rsid w:val="00A27748"/>
    <w:rsid w:val="00A30572"/>
    <w:rsid w:val="00A34B65"/>
    <w:rsid w:val="00A353ED"/>
    <w:rsid w:val="00A42DAF"/>
    <w:rsid w:val="00A43C0A"/>
    <w:rsid w:val="00A456E7"/>
    <w:rsid w:val="00A45BD8"/>
    <w:rsid w:val="00A46EE7"/>
    <w:rsid w:val="00A64371"/>
    <w:rsid w:val="00A869B7"/>
    <w:rsid w:val="00A908E3"/>
    <w:rsid w:val="00A94E39"/>
    <w:rsid w:val="00AA1EEF"/>
    <w:rsid w:val="00AC197C"/>
    <w:rsid w:val="00AC205C"/>
    <w:rsid w:val="00AC76CA"/>
    <w:rsid w:val="00AD38EE"/>
    <w:rsid w:val="00AF0A6B"/>
    <w:rsid w:val="00AF5108"/>
    <w:rsid w:val="00B05A69"/>
    <w:rsid w:val="00B1322D"/>
    <w:rsid w:val="00B21387"/>
    <w:rsid w:val="00B2247B"/>
    <w:rsid w:val="00B27CB2"/>
    <w:rsid w:val="00B30767"/>
    <w:rsid w:val="00B46D7E"/>
    <w:rsid w:val="00B54D7D"/>
    <w:rsid w:val="00B71605"/>
    <w:rsid w:val="00B83157"/>
    <w:rsid w:val="00B85937"/>
    <w:rsid w:val="00B9141D"/>
    <w:rsid w:val="00B9734B"/>
    <w:rsid w:val="00B97A85"/>
    <w:rsid w:val="00BA59F8"/>
    <w:rsid w:val="00BA63F6"/>
    <w:rsid w:val="00BA6DE5"/>
    <w:rsid w:val="00BA767A"/>
    <w:rsid w:val="00BB30F3"/>
    <w:rsid w:val="00BB78C7"/>
    <w:rsid w:val="00BC51F2"/>
    <w:rsid w:val="00BD1BF1"/>
    <w:rsid w:val="00BD1ECD"/>
    <w:rsid w:val="00BE55D6"/>
    <w:rsid w:val="00BE5857"/>
    <w:rsid w:val="00BE787E"/>
    <w:rsid w:val="00C11BFE"/>
    <w:rsid w:val="00C146FC"/>
    <w:rsid w:val="00C30B85"/>
    <w:rsid w:val="00C32F61"/>
    <w:rsid w:val="00C45642"/>
    <w:rsid w:val="00C47421"/>
    <w:rsid w:val="00C51744"/>
    <w:rsid w:val="00C553FB"/>
    <w:rsid w:val="00C556FE"/>
    <w:rsid w:val="00C61A8F"/>
    <w:rsid w:val="00C63443"/>
    <w:rsid w:val="00C634D0"/>
    <w:rsid w:val="00C67841"/>
    <w:rsid w:val="00C771EA"/>
    <w:rsid w:val="00C977DB"/>
    <w:rsid w:val="00CA2077"/>
    <w:rsid w:val="00CA3D77"/>
    <w:rsid w:val="00CA4166"/>
    <w:rsid w:val="00CB132F"/>
    <w:rsid w:val="00CB13CA"/>
    <w:rsid w:val="00CB1554"/>
    <w:rsid w:val="00CB2AEB"/>
    <w:rsid w:val="00CB5A5D"/>
    <w:rsid w:val="00CC5016"/>
    <w:rsid w:val="00CD1AAF"/>
    <w:rsid w:val="00CD3F54"/>
    <w:rsid w:val="00CE0A51"/>
    <w:rsid w:val="00CE0F4D"/>
    <w:rsid w:val="00CE6390"/>
    <w:rsid w:val="00CE7F31"/>
    <w:rsid w:val="00CF4536"/>
    <w:rsid w:val="00CF470A"/>
    <w:rsid w:val="00D01FB2"/>
    <w:rsid w:val="00D120D1"/>
    <w:rsid w:val="00D22BD4"/>
    <w:rsid w:val="00D30CC7"/>
    <w:rsid w:val="00D31C2F"/>
    <w:rsid w:val="00D409DF"/>
    <w:rsid w:val="00D40A98"/>
    <w:rsid w:val="00D424EC"/>
    <w:rsid w:val="00D45252"/>
    <w:rsid w:val="00D51422"/>
    <w:rsid w:val="00D57F87"/>
    <w:rsid w:val="00D57F90"/>
    <w:rsid w:val="00D71B4D"/>
    <w:rsid w:val="00D76F38"/>
    <w:rsid w:val="00D826FA"/>
    <w:rsid w:val="00D82EFA"/>
    <w:rsid w:val="00D90EE5"/>
    <w:rsid w:val="00D91625"/>
    <w:rsid w:val="00D93D55"/>
    <w:rsid w:val="00DB42CB"/>
    <w:rsid w:val="00DC3E50"/>
    <w:rsid w:val="00DE5771"/>
    <w:rsid w:val="00DE5854"/>
    <w:rsid w:val="00E00B14"/>
    <w:rsid w:val="00E210C4"/>
    <w:rsid w:val="00E213EE"/>
    <w:rsid w:val="00E2644B"/>
    <w:rsid w:val="00E335FE"/>
    <w:rsid w:val="00E42B9A"/>
    <w:rsid w:val="00E52C2C"/>
    <w:rsid w:val="00E532DC"/>
    <w:rsid w:val="00E66C2C"/>
    <w:rsid w:val="00E77D94"/>
    <w:rsid w:val="00EB50E5"/>
    <w:rsid w:val="00EC23FC"/>
    <w:rsid w:val="00EC4E49"/>
    <w:rsid w:val="00ED4C4F"/>
    <w:rsid w:val="00ED77FB"/>
    <w:rsid w:val="00EE2DF9"/>
    <w:rsid w:val="00EE45FA"/>
    <w:rsid w:val="00EE5748"/>
    <w:rsid w:val="00EF0146"/>
    <w:rsid w:val="00EF1543"/>
    <w:rsid w:val="00EF4EB2"/>
    <w:rsid w:val="00F06DF3"/>
    <w:rsid w:val="00F0720F"/>
    <w:rsid w:val="00F201C4"/>
    <w:rsid w:val="00F37F68"/>
    <w:rsid w:val="00F52AC0"/>
    <w:rsid w:val="00F62CDB"/>
    <w:rsid w:val="00F64B5E"/>
    <w:rsid w:val="00F66152"/>
    <w:rsid w:val="00F7721F"/>
    <w:rsid w:val="00F804DE"/>
    <w:rsid w:val="00F927D4"/>
    <w:rsid w:val="00FA4518"/>
    <w:rsid w:val="00FB3AF4"/>
    <w:rsid w:val="00FC3D36"/>
    <w:rsid w:val="00FC4C8A"/>
    <w:rsid w:val="00FD26A4"/>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access.wipo.int/trademarks_ren/?l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Nueva versión del servicio E-Renewal del Sistema de Madrid</vt:lpstr>
    </vt:vector>
  </TitlesOfParts>
  <Company>WIPO</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versión del servicio E-Renewal del Sistema de Madrid</dc:title>
  <dc:creator>YEGHIAZARYAN Lilit</dc:creator>
  <dc:description>JC - 2.4.2015</dc:description>
  <cp:lastModifiedBy>YEGHIAZARYAN Lilit</cp:lastModifiedBy>
  <cp:revision>40</cp:revision>
  <cp:lastPrinted>2015-05-05T07:55:00Z</cp:lastPrinted>
  <dcterms:created xsi:type="dcterms:W3CDTF">2015-03-30T07:48:00Z</dcterms:created>
  <dcterms:modified xsi:type="dcterms:W3CDTF">2015-05-05T07:55:00Z</dcterms:modified>
</cp:coreProperties>
</file>