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4469D7" w:rsidTr="00563C83">
        <w:tc>
          <w:tcPr>
            <w:tcW w:w="4513" w:type="dxa"/>
            <w:tcBorders>
              <w:bottom w:val="single" w:sz="4" w:space="0" w:color="auto"/>
            </w:tcBorders>
            <w:shd w:val="clear" w:color="auto" w:fill="auto"/>
            <w:tcMar>
              <w:bottom w:w="170" w:type="dxa"/>
            </w:tcMar>
          </w:tcPr>
          <w:p w:rsidR="00EC4E49" w:rsidRPr="004469D7" w:rsidRDefault="00EC4E49" w:rsidP="00CD330E">
            <w:pPr>
              <w:rPr>
                <w:lang w:val="es-ES_tradnl"/>
              </w:rPr>
            </w:pPr>
          </w:p>
        </w:tc>
        <w:tc>
          <w:tcPr>
            <w:tcW w:w="4337" w:type="dxa"/>
            <w:tcBorders>
              <w:bottom w:val="single" w:sz="4" w:space="0" w:color="auto"/>
            </w:tcBorders>
            <w:shd w:val="clear" w:color="auto" w:fill="auto"/>
            <w:tcMar>
              <w:left w:w="0" w:type="dxa"/>
              <w:right w:w="0" w:type="dxa"/>
            </w:tcMar>
          </w:tcPr>
          <w:p w:rsidR="00EC4E49" w:rsidRPr="004469D7" w:rsidRDefault="00CA51E7" w:rsidP="00CD330E">
            <w:pPr>
              <w:rPr>
                <w:lang w:val="es-ES_tradnl"/>
              </w:rPr>
            </w:pPr>
            <w:r w:rsidRPr="004469D7">
              <w:rPr>
                <w:noProof/>
                <w:lang w:eastAsia="en-US"/>
              </w:rPr>
              <w:drawing>
                <wp:inline distT="0" distB="0" distL="0" distR="0" wp14:anchorId="44B86387" wp14:editId="70CEFFF7">
                  <wp:extent cx="1828800" cy="1323975"/>
                  <wp:effectExtent l="0" t="0" r="0"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4469D7" w:rsidRDefault="00EC4E49" w:rsidP="00CD330E">
            <w:pPr>
              <w:jc w:val="right"/>
              <w:rPr>
                <w:lang w:val="es-ES_tradnl"/>
              </w:rPr>
            </w:pPr>
          </w:p>
        </w:tc>
      </w:tr>
      <w:tr w:rsidR="00D409DF" w:rsidRPr="004469D7"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4469D7" w:rsidRDefault="008B2CC1" w:rsidP="00CD330E">
            <w:pPr>
              <w:jc w:val="right"/>
              <w:rPr>
                <w:rFonts w:ascii="Arial Black" w:hAnsi="Arial Black"/>
                <w:caps/>
                <w:sz w:val="15"/>
                <w:lang w:val="es-ES_tradnl"/>
              </w:rPr>
            </w:pPr>
            <w:bookmarkStart w:id="0" w:name="Original"/>
            <w:bookmarkEnd w:id="0"/>
          </w:p>
        </w:tc>
      </w:tr>
      <w:tr w:rsidR="00D409DF" w:rsidRPr="004469D7" w:rsidTr="00B27CB2">
        <w:trPr>
          <w:trHeight w:hRule="exact" w:val="198"/>
        </w:trPr>
        <w:tc>
          <w:tcPr>
            <w:tcW w:w="9356" w:type="dxa"/>
            <w:gridSpan w:val="3"/>
            <w:shd w:val="clear" w:color="auto" w:fill="auto"/>
            <w:tcMar>
              <w:left w:w="0" w:type="dxa"/>
              <w:right w:w="0" w:type="dxa"/>
            </w:tcMar>
          </w:tcPr>
          <w:p w:rsidR="008B23F7" w:rsidRPr="004469D7" w:rsidRDefault="002715CF" w:rsidP="00552147">
            <w:pPr>
              <w:jc w:val="right"/>
              <w:rPr>
                <w:lang w:val="es-ES_tradnl"/>
              </w:rPr>
            </w:pPr>
            <w:r w:rsidRPr="004469D7">
              <w:rPr>
                <w:rFonts w:ascii="Arial Black" w:hAnsi="Arial Black"/>
                <w:caps/>
                <w:sz w:val="15"/>
                <w:lang w:val="es-ES_tradnl"/>
              </w:rPr>
              <w:t xml:space="preserve">AVISO </w:t>
            </w:r>
            <w:r w:rsidR="008B23F7" w:rsidRPr="004469D7">
              <w:rPr>
                <w:rFonts w:ascii="Arial Black" w:hAnsi="Arial Black"/>
                <w:caps/>
                <w:sz w:val="15"/>
                <w:lang w:val="es-ES_tradnl"/>
              </w:rPr>
              <w:t xml:space="preserve">NO. </w:t>
            </w:r>
            <w:r w:rsidR="00552147">
              <w:rPr>
                <w:rFonts w:ascii="Arial Black" w:hAnsi="Arial Black"/>
                <w:caps/>
                <w:sz w:val="15"/>
                <w:lang w:val="es-ES_tradnl"/>
              </w:rPr>
              <w:t>23</w:t>
            </w:r>
            <w:r w:rsidR="008B23F7" w:rsidRPr="004469D7">
              <w:rPr>
                <w:rFonts w:ascii="Arial Black" w:hAnsi="Arial Black"/>
                <w:caps/>
                <w:sz w:val="15"/>
                <w:lang w:val="es-ES_tradnl"/>
              </w:rPr>
              <w:t>/2014</w:t>
            </w:r>
          </w:p>
        </w:tc>
      </w:tr>
    </w:tbl>
    <w:p w:rsidR="008B2CC1" w:rsidRPr="004469D7" w:rsidRDefault="008B2CC1" w:rsidP="00CD330E">
      <w:pPr>
        <w:rPr>
          <w:lang w:val="es-ES_tradnl"/>
        </w:rPr>
      </w:pPr>
    </w:p>
    <w:p w:rsidR="008B2CC1" w:rsidRPr="004469D7" w:rsidRDefault="008B2CC1" w:rsidP="00CD330E">
      <w:pPr>
        <w:rPr>
          <w:lang w:val="es-ES_tradnl"/>
        </w:rPr>
      </w:pPr>
    </w:p>
    <w:p w:rsidR="008B2CC1" w:rsidRPr="004469D7" w:rsidRDefault="008B2CC1" w:rsidP="00CD330E">
      <w:pPr>
        <w:rPr>
          <w:lang w:val="es-ES_tradnl"/>
        </w:rPr>
      </w:pPr>
    </w:p>
    <w:p w:rsidR="00CC5016" w:rsidRPr="004469D7" w:rsidRDefault="00CC5016" w:rsidP="00CD330E">
      <w:pPr>
        <w:rPr>
          <w:lang w:val="es-ES_tradnl"/>
        </w:rPr>
      </w:pPr>
    </w:p>
    <w:p w:rsidR="00CC5016" w:rsidRPr="004469D7" w:rsidRDefault="00CC5016" w:rsidP="00CD330E">
      <w:pPr>
        <w:rPr>
          <w:lang w:val="es-ES_tradnl"/>
        </w:rPr>
      </w:pPr>
    </w:p>
    <w:p w:rsidR="00CC5016" w:rsidRPr="004469D7" w:rsidRDefault="005B09B2" w:rsidP="00CD330E">
      <w:pPr>
        <w:autoSpaceDE w:val="0"/>
        <w:autoSpaceDN w:val="0"/>
        <w:adjustRightInd w:val="0"/>
        <w:rPr>
          <w:b/>
          <w:bCs/>
          <w:sz w:val="28"/>
          <w:szCs w:val="28"/>
          <w:lang w:val="es-ES_tradnl"/>
        </w:rPr>
      </w:pPr>
      <w:r w:rsidRPr="005B09B2">
        <w:rPr>
          <w:b/>
          <w:bCs/>
          <w:sz w:val="28"/>
          <w:szCs w:val="28"/>
          <w:lang w:val="es-ES"/>
        </w:rPr>
        <w:t xml:space="preserve">Arreglo de Madrid relativo al Registro Internacional de Marcas y Protocolo concerniente a ese Arreglo </w:t>
      </w:r>
    </w:p>
    <w:p w:rsidR="00CC5016" w:rsidRPr="004469D7" w:rsidRDefault="00CC5016" w:rsidP="00CD330E">
      <w:pPr>
        <w:autoSpaceDE w:val="0"/>
        <w:autoSpaceDN w:val="0"/>
        <w:adjustRightInd w:val="0"/>
        <w:rPr>
          <w:bCs/>
          <w:szCs w:val="22"/>
          <w:lang w:val="es-ES_tradnl"/>
        </w:rPr>
      </w:pPr>
    </w:p>
    <w:p w:rsidR="00CC5016" w:rsidRPr="004469D7" w:rsidRDefault="00CC5016" w:rsidP="00CD330E">
      <w:pPr>
        <w:autoSpaceDE w:val="0"/>
        <w:autoSpaceDN w:val="0"/>
        <w:adjustRightInd w:val="0"/>
        <w:rPr>
          <w:bCs/>
          <w:szCs w:val="22"/>
          <w:lang w:val="es-ES_tradnl"/>
        </w:rPr>
      </w:pPr>
    </w:p>
    <w:p w:rsidR="00CC5016" w:rsidRPr="004469D7" w:rsidRDefault="00CC5016" w:rsidP="00CD330E">
      <w:pPr>
        <w:autoSpaceDE w:val="0"/>
        <w:autoSpaceDN w:val="0"/>
        <w:adjustRightInd w:val="0"/>
        <w:rPr>
          <w:bCs/>
          <w:szCs w:val="22"/>
          <w:lang w:val="es-ES_tradnl"/>
        </w:rPr>
      </w:pPr>
    </w:p>
    <w:p w:rsidR="004469D7" w:rsidRPr="004469D7" w:rsidRDefault="005208C7" w:rsidP="005208C7">
      <w:pPr>
        <w:autoSpaceDE w:val="0"/>
        <w:autoSpaceDN w:val="0"/>
        <w:adjustRightInd w:val="0"/>
        <w:rPr>
          <w:b/>
          <w:bCs/>
          <w:sz w:val="24"/>
          <w:szCs w:val="24"/>
          <w:lang w:val="es-ES_tradnl"/>
        </w:rPr>
      </w:pPr>
      <w:r w:rsidRPr="005208C7">
        <w:rPr>
          <w:b/>
          <w:bCs/>
          <w:sz w:val="24"/>
          <w:szCs w:val="24"/>
          <w:lang w:val="es-ES_tradnl"/>
        </w:rPr>
        <w:t xml:space="preserve">Modificaciones del Reglamento Común del Arreglo de Madrid y del Protocolo </w:t>
      </w:r>
      <w:r>
        <w:rPr>
          <w:b/>
          <w:bCs/>
          <w:sz w:val="24"/>
          <w:szCs w:val="24"/>
          <w:lang w:val="es-ES_tradnl"/>
        </w:rPr>
        <w:t>c</w:t>
      </w:r>
      <w:r w:rsidRPr="005208C7">
        <w:rPr>
          <w:b/>
          <w:bCs/>
          <w:sz w:val="24"/>
          <w:szCs w:val="24"/>
          <w:lang w:val="es-ES_tradnl"/>
        </w:rPr>
        <w:t>oncerniente a ese Arreglo</w:t>
      </w:r>
    </w:p>
    <w:p w:rsidR="00A04B6E" w:rsidRPr="004469D7" w:rsidRDefault="00A04B6E" w:rsidP="00CD330E">
      <w:pPr>
        <w:autoSpaceDE w:val="0"/>
        <w:autoSpaceDN w:val="0"/>
        <w:adjustRightInd w:val="0"/>
        <w:rPr>
          <w:szCs w:val="22"/>
          <w:lang w:val="es-ES_tradnl"/>
        </w:rPr>
      </w:pPr>
    </w:p>
    <w:p w:rsidR="009E4372" w:rsidRPr="004469D7" w:rsidRDefault="009E4372" w:rsidP="00CD330E">
      <w:pPr>
        <w:autoSpaceDE w:val="0"/>
        <w:autoSpaceDN w:val="0"/>
        <w:adjustRightInd w:val="0"/>
        <w:rPr>
          <w:szCs w:val="22"/>
          <w:lang w:val="es-ES_tradnl"/>
        </w:rPr>
      </w:pPr>
    </w:p>
    <w:p w:rsidR="009E4372" w:rsidRPr="004469D7" w:rsidRDefault="009E4372" w:rsidP="00BE7E22">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BE7E22">
        <w:rPr>
          <w:szCs w:val="22"/>
          <w:lang w:val="es-ES_tradnl"/>
        </w:rPr>
        <w:t xml:space="preserve">En su cuadragésimo octavo período de sesiones (28º extraordinario), que tuvo lugar en Ginebra del 22 al 30 de septiembre de 2014, la Asamblea de </w:t>
      </w:r>
      <w:r w:rsidR="00A53C29">
        <w:rPr>
          <w:szCs w:val="22"/>
          <w:lang w:val="es-ES_tradnl"/>
        </w:rPr>
        <w:t xml:space="preserve">la </w:t>
      </w:r>
      <w:r w:rsidR="00BE7E22">
        <w:rPr>
          <w:szCs w:val="22"/>
          <w:lang w:val="es-ES_tradnl"/>
        </w:rPr>
        <w:t xml:space="preserve">Unión de Madrid adoptó una nueva regla y otras modificaciones del Reglamento Común del Arreglo de Madrid relativo al Registro Internacional de Marcas y del Protocolo concerniente a ese Arreglo (el Reglamento Común) que entrarán en vigor el 1 de enero de </w:t>
      </w:r>
      <w:r w:rsidRPr="004469D7">
        <w:rPr>
          <w:szCs w:val="22"/>
          <w:lang w:val="es-ES_tradnl"/>
        </w:rPr>
        <w:t>2015.</w:t>
      </w:r>
      <w:r w:rsidR="00387B98" w:rsidRPr="004469D7">
        <w:rPr>
          <w:szCs w:val="22"/>
          <w:lang w:val="es-ES_tradnl"/>
        </w:rPr>
        <w:t xml:space="preserve">  </w:t>
      </w:r>
    </w:p>
    <w:p w:rsidR="004653E5" w:rsidRPr="004469D7" w:rsidRDefault="004653E5" w:rsidP="00CD330E">
      <w:pPr>
        <w:autoSpaceDE w:val="0"/>
        <w:autoSpaceDN w:val="0"/>
        <w:adjustRightInd w:val="0"/>
        <w:rPr>
          <w:b/>
          <w:szCs w:val="22"/>
          <w:lang w:val="es-ES_tradnl"/>
        </w:rPr>
      </w:pPr>
    </w:p>
    <w:p w:rsidR="009E4372" w:rsidRPr="004469D7" w:rsidRDefault="00BE7E22" w:rsidP="00387B98">
      <w:pPr>
        <w:pStyle w:val="Heading3"/>
        <w:rPr>
          <w:lang w:val="es-ES_tradnl"/>
        </w:rPr>
      </w:pPr>
      <w:r>
        <w:rPr>
          <w:lang w:val="es-ES_tradnl"/>
        </w:rPr>
        <w:t>Nueva Regla</w:t>
      </w:r>
      <w:r w:rsidR="009E4372" w:rsidRPr="004469D7">
        <w:rPr>
          <w:lang w:val="es-ES_tradnl"/>
        </w:rPr>
        <w:t xml:space="preserve"> 5</w:t>
      </w:r>
      <w:r w:rsidR="009E4372" w:rsidRPr="004469D7">
        <w:rPr>
          <w:i/>
          <w:lang w:val="es-ES_tradnl"/>
        </w:rPr>
        <w:t>bis</w:t>
      </w:r>
      <w:r w:rsidR="009179B4" w:rsidRPr="004469D7">
        <w:rPr>
          <w:lang w:val="es-ES_tradnl"/>
        </w:rPr>
        <w:t xml:space="preserve"> </w:t>
      </w:r>
      <w:r>
        <w:rPr>
          <w:lang w:val="es-ES_tradnl"/>
        </w:rPr>
        <w:t xml:space="preserve">y modificaciones de las Reglas </w:t>
      </w:r>
      <w:r w:rsidR="009179B4" w:rsidRPr="004469D7">
        <w:rPr>
          <w:lang w:val="es-ES_tradnl"/>
        </w:rPr>
        <w:t>20</w:t>
      </w:r>
      <w:r w:rsidR="009179B4" w:rsidRPr="004469D7">
        <w:rPr>
          <w:i/>
          <w:lang w:val="es-ES_tradnl"/>
        </w:rPr>
        <w:t>bis</w:t>
      </w:r>
      <w:r>
        <w:rPr>
          <w:i/>
          <w:lang w:val="es-ES_tradnl"/>
        </w:rPr>
        <w:t>.</w:t>
      </w:r>
      <w:r w:rsidR="009179B4" w:rsidRPr="004469D7">
        <w:rPr>
          <w:lang w:val="es-ES_tradnl"/>
        </w:rPr>
        <w:t xml:space="preserve">3) </w:t>
      </w:r>
      <w:r>
        <w:rPr>
          <w:lang w:val="es-ES_tradnl"/>
        </w:rPr>
        <w:t xml:space="preserve">y </w:t>
      </w:r>
      <w:r w:rsidR="009179B4" w:rsidRPr="004469D7">
        <w:rPr>
          <w:lang w:val="es-ES_tradnl"/>
        </w:rPr>
        <w:t>27</w:t>
      </w:r>
      <w:r>
        <w:rPr>
          <w:lang w:val="es-ES_tradnl"/>
        </w:rPr>
        <w:t>.</w:t>
      </w:r>
      <w:r w:rsidR="009179B4" w:rsidRPr="004469D7">
        <w:rPr>
          <w:lang w:val="es-ES_tradnl"/>
        </w:rPr>
        <w:t xml:space="preserve">1) </w:t>
      </w:r>
      <w:r w:rsidR="005B09B2">
        <w:rPr>
          <w:lang w:val="es-ES_tradnl"/>
        </w:rPr>
        <w:t>del Reglamento Común</w:t>
      </w:r>
      <w:proofErr w:type="gramStart"/>
      <w:r w:rsidR="005B09B2">
        <w:rPr>
          <w:lang w:val="es-ES_tradnl"/>
        </w:rPr>
        <w:t>:  C</w:t>
      </w:r>
      <w:r>
        <w:rPr>
          <w:lang w:val="es-ES_tradnl"/>
        </w:rPr>
        <w:t>ontinuación</w:t>
      </w:r>
      <w:proofErr w:type="gramEnd"/>
      <w:r>
        <w:rPr>
          <w:lang w:val="es-ES_tradnl"/>
        </w:rPr>
        <w:t xml:space="preserve"> de la tramitación </w:t>
      </w:r>
    </w:p>
    <w:p w:rsidR="009E4372" w:rsidRPr="004469D7" w:rsidRDefault="009E4372" w:rsidP="00CD330E">
      <w:pPr>
        <w:autoSpaceDE w:val="0"/>
        <w:autoSpaceDN w:val="0"/>
        <w:adjustRightInd w:val="0"/>
        <w:rPr>
          <w:szCs w:val="22"/>
          <w:lang w:val="es-ES_tradnl"/>
        </w:rPr>
      </w:pPr>
    </w:p>
    <w:p w:rsidR="009E4372" w:rsidRPr="004469D7" w:rsidRDefault="009E4372" w:rsidP="007D57B2">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7D57B2">
        <w:rPr>
          <w:szCs w:val="22"/>
          <w:lang w:val="es-ES_tradnl"/>
        </w:rPr>
        <w:t xml:space="preserve">En la nueva Regla </w:t>
      </w:r>
      <w:r w:rsidRPr="004469D7">
        <w:rPr>
          <w:szCs w:val="22"/>
          <w:lang w:val="es-ES_tradnl"/>
        </w:rPr>
        <w:t>5</w:t>
      </w:r>
      <w:r w:rsidRPr="004469D7">
        <w:rPr>
          <w:i/>
          <w:szCs w:val="22"/>
          <w:lang w:val="es-ES_tradnl"/>
        </w:rPr>
        <w:t>bis</w:t>
      </w:r>
      <w:r w:rsidRPr="004469D7">
        <w:rPr>
          <w:szCs w:val="22"/>
          <w:lang w:val="es-ES_tradnl"/>
        </w:rPr>
        <w:t xml:space="preserve"> </w:t>
      </w:r>
      <w:r w:rsidR="007D57B2">
        <w:rPr>
          <w:szCs w:val="22"/>
          <w:lang w:val="es-ES_tradnl"/>
        </w:rPr>
        <w:t>del Reglamento Común se preverá la continuación de la tramitación c</w:t>
      </w:r>
      <w:r w:rsidR="007D57B2" w:rsidRPr="007D57B2">
        <w:rPr>
          <w:szCs w:val="22"/>
          <w:lang w:val="es-ES_tradnl"/>
        </w:rPr>
        <w:t>uando un solicitante o un titular haya</w:t>
      </w:r>
      <w:r w:rsidR="00B518A6">
        <w:rPr>
          <w:szCs w:val="22"/>
          <w:lang w:val="es-ES_tradnl"/>
        </w:rPr>
        <w:t>n</w:t>
      </w:r>
      <w:r w:rsidR="007D57B2" w:rsidRPr="007D57B2">
        <w:rPr>
          <w:szCs w:val="22"/>
          <w:lang w:val="es-ES_tradnl"/>
        </w:rPr>
        <w:t xml:space="preserve"> </w:t>
      </w:r>
      <w:r w:rsidR="00881BAE">
        <w:rPr>
          <w:szCs w:val="22"/>
          <w:lang w:val="es-ES_tradnl"/>
        </w:rPr>
        <w:t>in</w:t>
      </w:r>
      <w:r w:rsidR="007D57B2" w:rsidRPr="007D57B2">
        <w:rPr>
          <w:szCs w:val="22"/>
          <w:lang w:val="es-ES_tradnl"/>
        </w:rPr>
        <w:t xml:space="preserve">cumplido </w:t>
      </w:r>
      <w:r w:rsidR="007D57B2">
        <w:rPr>
          <w:szCs w:val="22"/>
          <w:lang w:val="es-ES_tradnl"/>
        </w:rPr>
        <w:t>determinados plazos.</w:t>
      </w:r>
      <w:r w:rsidR="00387B98" w:rsidRPr="004469D7">
        <w:rPr>
          <w:szCs w:val="22"/>
          <w:lang w:val="es-ES_tradnl"/>
        </w:rPr>
        <w:t xml:space="preserve"> </w:t>
      </w:r>
    </w:p>
    <w:p w:rsidR="009E4372" w:rsidRPr="004469D7" w:rsidRDefault="009E4372" w:rsidP="00CD330E">
      <w:pPr>
        <w:autoSpaceDE w:val="0"/>
        <w:autoSpaceDN w:val="0"/>
        <w:adjustRightInd w:val="0"/>
        <w:rPr>
          <w:szCs w:val="22"/>
          <w:lang w:val="es-ES_tradnl"/>
        </w:rPr>
      </w:pPr>
    </w:p>
    <w:p w:rsidR="009E4372" w:rsidRPr="004469D7" w:rsidRDefault="009E4372" w:rsidP="00CD330E">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7D57B2">
        <w:rPr>
          <w:szCs w:val="22"/>
          <w:lang w:val="es-ES_tradnl"/>
        </w:rPr>
        <w:t>La continuación de la tramitación estará disponible únicamente con respecto a los plazos relativos a:</w:t>
      </w:r>
    </w:p>
    <w:p w:rsidR="00EE4919" w:rsidRPr="004469D7" w:rsidRDefault="00EE4919" w:rsidP="00CD330E">
      <w:pPr>
        <w:autoSpaceDE w:val="0"/>
        <w:autoSpaceDN w:val="0"/>
        <w:adjustRightInd w:val="0"/>
        <w:rPr>
          <w:szCs w:val="22"/>
          <w:lang w:val="es-ES_tradnl"/>
        </w:rPr>
      </w:pPr>
    </w:p>
    <w:p w:rsidR="00EE4919" w:rsidRPr="004469D7" w:rsidRDefault="007D57B2" w:rsidP="005B09B2">
      <w:pPr>
        <w:pStyle w:val="ListParagraph"/>
        <w:numPr>
          <w:ilvl w:val="0"/>
          <w:numId w:val="9"/>
        </w:numPr>
        <w:autoSpaceDE w:val="0"/>
        <w:autoSpaceDN w:val="0"/>
        <w:adjustRightInd w:val="0"/>
        <w:ind w:left="0" w:firstLine="567"/>
        <w:rPr>
          <w:szCs w:val="22"/>
          <w:lang w:val="es-ES_tradnl"/>
        </w:rPr>
      </w:pPr>
      <w:r>
        <w:rPr>
          <w:szCs w:val="22"/>
          <w:lang w:val="es-ES_tradnl"/>
        </w:rPr>
        <w:t xml:space="preserve">una solicitud internacional, conforme a lo dispuesto en la Regla </w:t>
      </w:r>
      <w:r w:rsidR="00AC27B5" w:rsidRPr="004469D7">
        <w:rPr>
          <w:szCs w:val="22"/>
          <w:lang w:val="es-ES_tradnl"/>
        </w:rPr>
        <w:t>11</w:t>
      </w:r>
      <w:r>
        <w:rPr>
          <w:szCs w:val="22"/>
          <w:lang w:val="es-ES_tradnl"/>
        </w:rPr>
        <w:t>.</w:t>
      </w:r>
      <w:r w:rsidR="00AC27B5" w:rsidRPr="004469D7">
        <w:rPr>
          <w:szCs w:val="22"/>
          <w:lang w:val="es-ES_tradnl"/>
        </w:rPr>
        <w:t>2) o</w:t>
      </w:r>
      <w:r w:rsidR="009E56CA" w:rsidRPr="004469D7">
        <w:rPr>
          <w:szCs w:val="22"/>
          <w:lang w:val="es-ES_tradnl"/>
        </w:rPr>
        <w:t> </w:t>
      </w:r>
      <w:r w:rsidR="00AC27B5" w:rsidRPr="004469D7">
        <w:rPr>
          <w:szCs w:val="22"/>
          <w:lang w:val="es-ES_tradnl"/>
        </w:rPr>
        <w:t xml:space="preserve">3) </w:t>
      </w:r>
      <w:r>
        <w:rPr>
          <w:szCs w:val="22"/>
          <w:lang w:val="es-ES_tradnl"/>
        </w:rPr>
        <w:t>del Reglamento Común</w:t>
      </w:r>
      <w:r w:rsidR="00AC27B5" w:rsidRPr="004469D7">
        <w:rPr>
          <w:szCs w:val="22"/>
          <w:lang w:val="es-ES_tradnl"/>
        </w:rPr>
        <w:t>;</w:t>
      </w:r>
      <w:r w:rsidR="009E56CA" w:rsidRPr="004469D7">
        <w:rPr>
          <w:szCs w:val="22"/>
          <w:lang w:val="es-ES_tradnl"/>
        </w:rPr>
        <w:t xml:space="preserve">  </w:t>
      </w:r>
    </w:p>
    <w:p w:rsidR="009E56CA" w:rsidRPr="005D1B1F" w:rsidRDefault="009E56CA" w:rsidP="005D1B1F">
      <w:pPr>
        <w:autoSpaceDE w:val="0"/>
        <w:autoSpaceDN w:val="0"/>
        <w:adjustRightInd w:val="0"/>
        <w:rPr>
          <w:szCs w:val="22"/>
          <w:lang w:val="es-ES_tradnl"/>
        </w:rPr>
      </w:pPr>
    </w:p>
    <w:p w:rsidR="00AC27B5" w:rsidRPr="004469D7" w:rsidRDefault="007D57B2" w:rsidP="009E56CA">
      <w:pPr>
        <w:pStyle w:val="ListParagraph"/>
        <w:numPr>
          <w:ilvl w:val="0"/>
          <w:numId w:val="9"/>
        </w:numPr>
        <w:autoSpaceDE w:val="0"/>
        <w:autoSpaceDN w:val="0"/>
        <w:adjustRightInd w:val="0"/>
        <w:ind w:left="0" w:firstLine="567"/>
        <w:rPr>
          <w:szCs w:val="22"/>
          <w:lang w:val="es-ES_tradnl"/>
        </w:rPr>
      </w:pPr>
      <w:r>
        <w:rPr>
          <w:szCs w:val="22"/>
          <w:lang w:val="es-ES_tradnl"/>
        </w:rPr>
        <w:t>una petición de inscripción de licencias, conf</w:t>
      </w:r>
      <w:r w:rsidR="005D1B1F">
        <w:rPr>
          <w:szCs w:val="22"/>
          <w:lang w:val="es-ES_tradnl"/>
        </w:rPr>
        <w:t>orme a lo dispuesto en la Regla </w:t>
      </w:r>
      <w:r w:rsidR="00AC27B5" w:rsidRPr="004469D7">
        <w:rPr>
          <w:szCs w:val="22"/>
          <w:lang w:val="es-ES_tradnl"/>
        </w:rPr>
        <w:t>20</w:t>
      </w:r>
      <w:r w:rsidR="00AC27B5" w:rsidRPr="004469D7">
        <w:rPr>
          <w:i/>
          <w:szCs w:val="22"/>
          <w:lang w:val="es-ES_tradnl"/>
        </w:rPr>
        <w:t>bis</w:t>
      </w:r>
      <w:r>
        <w:rPr>
          <w:i/>
          <w:szCs w:val="22"/>
          <w:lang w:val="es-ES_tradnl"/>
        </w:rPr>
        <w:t>.</w:t>
      </w:r>
      <w:r w:rsidR="00AC27B5" w:rsidRPr="004469D7">
        <w:rPr>
          <w:szCs w:val="22"/>
          <w:lang w:val="es-ES_tradnl"/>
        </w:rPr>
        <w:t xml:space="preserve">2) </w:t>
      </w:r>
      <w:r>
        <w:rPr>
          <w:szCs w:val="22"/>
          <w:lang w:val="es-ES_tradnl"/>
        </w:rPr>
        <w:t>del Reglamento Común</w:t>
      </w:r>
      <w:r w:rsidR="00AC27B5" w:rsidRPr="004469D7">
        <w:rPr>
          <w:szCs w:val="22"/>
          <w:lang w:val="es-ES_tradnl"/>
        </w:rPr>
        <w:t>;</w:t>
      </w:r>
      <w:r w:rsidR="009E56CA" w:rsidRPr="004469D7">
        <w:rPr>
          <w:szCs w:val="22"/>
          <w:lang w:val="es-ES_tradnl"/>
        </w:rPr>
        <w:t xml:space="preserve">  </w:t>
      </w:r>
    </w:p>
    <w:p w:rsidR="009E56CA" w:rsidRPr="005D1B1F" w:rsidRDefault="009E56CA" w:rsidP="005D1B1F">
      <w:pPr>
        <w:autoSpaceDE w:val="0"/>
        <w:autoSpaceDN w:val="0"/>
        <w:adjustRightInd w:val="0"/>
        <w:rPr>
          <w:szCs w:val="22"/>
          <w:lang w:val="es-ES_tradnl"/>
        </w:rPr>
      </w:pPr>
    </w:p>
    <w:p w:rsidR="00AC27B5" w:rsidRPr="004469D7" w:rsidRDefault="007D57B2" w:rsidP="009E56CA">
      <w:pPr>
        <w:pStyle w:val="ListParagraph"/>
        <w:numPr>
          <w:ilvl w:val="0"/>
          <w:numId w:val="9"/>
        </w:numPr>
        <w:autoSpaceDE w:val="0"/>
        <w:autoSpaceDN w:val="0"/>
        <w:adjustRightInd w:val="0"/>
        <w:ind w:left="0" w:firstLine="567"/>
        <w:rPr>
          <w:szCs w:val="22"/>
          <w:lang w:val="es-ES_tradnl"/>
        </w:rPr>
      </w:pPr>
      <w:r>
        <w:rPr>
          <w:szCs w:val="22"/>
          <w:lang w:val="es-ES_tradnl"/>
        </w:rPr>
        <w:t>una designación posterior, conforme a lo dispuesto en la Regla</w:t>
      </w:r>
      <w:r w:rsidR="00AC27B5" w:rsidRPr="004469D7">
        <w:rPr>
          <w:szCs w:val="22"/>
          <w:lang w:val="es-ES_tradnl"/>
        </w:rPr>
        <w:t xml:space="preserve"> 24</w:t>
      </w:r>
      <w:r>
        <w:rPr>
          <w:szCs w:val="22"/>
          <w:lang w:val="es-ES_tradnl"/>
        </w:rPr>
        <w:t>.</w:t>
      </w:r>
      <w:r w:rsidR="00AC27B5" w:rsidRPr="004469D7">
        <w:rPr>
          <w:szCs w:val="22"/>
          <w:lang w:val="es-ES_tradnl"/>
        </w:rPr>
        <w:t xml:space="preserve">5)b) </w:t>
      </w:r>
      <w:r>
        <w:rPr>
          <w:szCs w:val="22"/>
          <w:lang w:val="es-ES_tradnl"/>
        </w:rPr>
        <w:t>del Reglamento Común</w:t>
      </w:r>
      <w:r w:rsidR="00AC27B5" w:rsidRPr="004469D7">
        <w:rPr>
          <w:szCs w:val="22"/>
          <w:lang w:val="es-ES_tradnl"/>
        </w:rPr>
        <w:t>;</w:t>
      </w:r>
      <w:r w:rsidR="009E56CA" w:rsidRPr="004469D7">
        <w:rPr>
          <w:szCs w:val="22"/>
          <w:lang w:val="es-ES_tradnl"/>
        </w:rPr>
        <w:t xml:space="preserve">  </w:t>
      </w:r>
    </w:p>
    <w:p w:rsidR="009E56CA" w:rsidRPr="005D1B1F" w:rsidRDefault="009E56CA" w:rsidP="005D1B1F">
      <w:pPr>
        <w:autoSpaceDE w:val="0"/>
        <w:autoSpaceDN w:val="0"/>
        <w:adjustRightInd w:val="0"/>
        <w:rPr>
          <w:szCs w:val="22"/>
          <w:lang w:val="es-ES_tradnl"/>
        </w:rPr>
      </w:pPr>
    </w:p>
    <w:p w:rsidR="00AC27B5" w:rsidRPr="004469D7" w:rsidRDefault="007D57B2" w:rsidP="009E56CA">
      <w:pPr>
        <w:pStyle w:val="ListParagraph"/>
        <w:numPr>
          <w:ilvl w:val="0"/>
          <w:numId w:val="9"/>
        </w:numPr>
        <w:autoSpaceDE w:val="0"/>
        <w:autoSpaceDN w:val="0"/>
        <w:adjustRightInd w:val="0"/>
        <w:ind w:left="0" w:firstLine="567"/>
        <w:rPr>
          <w:szCs w:val="22"/>
          <w:lang w:val="es-ES_tradnl"/>
        </w:rPr>
      </w:pPr>
      <w:r>
        <w:rPr>
          <w:szCs w:val="22"/>
          <w:lang w:val="es-ES_tradnl"/>
        </w:rPr>
        <w:t xml:space="preserve">una petición de inscripción </w:t>
      </w:r>
      <w:r w:rsidR="00736568">
        <w:rPr>
          <w:szCs w:val="22"/>
          <w:lang w:val="es-ES_tradnl"/>
        </w:rPr>
        <w:t xml:space="preserve">de una modificación </w:t>
      </w:r>
      <w:r>
        <w:rPr>
          <w:szCs w:val="22"/>
          <w:lang w:val="es-ES_tradnl"/>
        </w:rPr>
        <w:t xml:space="preserve">o </w:t>
      </w:r>
      <w:r w:rsidR="00DB5CC6">
        <w:rPr>
          <w:szCs w:val="22"/>
          <w:lang w:val="es-ES_tradnl"/>
        </w:rPr>
        <w:t xml:space="preserve">de </w:t>
      </w:r>
      <w:r>
        <w:rPr>
          <w:szCs w:val="22"/>
          <w:lang w:val="es-ES_tradnl"/>
        </w:rPr>
        <w:t>una cancelación</w:t>
      </w:r>
      <w:r w:rsidR="00AC27B5" w:rsidRPr="004469D7">
        <w:rPr>
          <w:szCs w:val="22"/>
          <w:lang w:val="es-ES_tradnl"/>
        </w:rPr>
        <w:t xml:space="preserve">, </w:t>
      </w:r>
      <w:r>
        <w:rPr>
          <w:szCs w:val="22"/>
          <w:lang w:val="es-ES_tradnl"/>
        </w:rPr>
        <w:t xml:space="preserve">conforme a lo dispuesto en la Regla </w:t>
      </w:r>
      <w:r w:rsidR="00AC27B5" w:rsidRPr="004469D7">
        <w:rPr>
          <w:szCs w:val="22"/>
          <w:lang w:val="es-ES_tradnl"/>
        </w:rPr>
        <w:t>26</w:t>
      </w:r>
      <w:r>
        <w:rPr>
          <w:szCs w:val="22"/>
          <w:lang w:val="es-ES_tradnl"/>
        </w:rPr>
        <w:t>.</w:t>
      </w:r>
      <w:r w:rsidR="00AC27B5" w:rsidRPr="004469D7">
        <w:rPr>
          <w:szCs w:val="22"/>
          <w:lang w:val="es-ES_tradnl"/>
        </w:rPr>
        <w:t xml:space="preserve">2) </w:t>
      </w:r>
      <w:r>
        <w:rPr>
          <w:szCs w:val="22"/>
          <w:lang w:val="es-ES_tradnl"/>
        </w:rPr>
        <w:t>del Reglamento Común</w:t>
      </w:r>
      <w:r w:rsidR="00AC27B5" w:rsidRPr="004469D7">
        <w:rPr>
          <w:szCs w:val="22"/>
          <w:lang w:val="es-ES_tradnl"/>
        </w:rPr>
        <w:t>;</w:t>
      </w:r>
      <w:r w:rsidR="009E56CA" w:rsidRPr="004469D7">
        <w:rPr>
          <w:szCs w:val="22"/>
          <w:lang w:val="es-ES_tradnl"/>
        </w:rPr>
        <w:t xml:space="preserve">  </w:t>
      </w:r>
    </w:p>
    <w:p w:rsidR="009E56CA" w:rsidRPr="005D1B1F" w:rsidRDefault="009E56CA" w:rsidP="005D1B1F">
      <w:pPr>
        <w:autoSpaceDE w:val="0"/>
        <w:autoSpaceDN w:val="0"/>
        <w:adjustRightInd w:val="0"/>
        <w:rPr>
          <w:szCs w:val="22"/>
          <w:lang w:val="es-ES_tradnl"/>
        </w:rPr>
      </w:pPr>
    </w:p>
    <w:p w:rsidR="00AC27B5" w:rsidRPr="004469D7" w:rsidRDefault="00DB5CC6" w:rsidP="009E56CA">
      <w:pPr>
        <w:pStyle w:val="ListParagraph"/>
        <w:numPr>
          <w:ilvl w:val="0"/>
          <w:numId w:val="9"/>
        </w:numPr>
        <w:autoSpaceDE w:val="0"/>
        <w:autoSpaceDN w:val="0"/>
        <w:adjustRightInd w:val="0"/>
        <w:ind w:left="0" w:firstLine="567"/>
        <w:rPr>
          <w:szCs w:val="22"/>
          <w:lang w:val="es-ES_tradnl"/>
        </w:rPr>
      </w:pPr>
      <w:r>
        <w:rPr>
          <w:szCs w:val="22"/>
          <w:lang w:val="es-ES_tradnl"/>
        </w:rPr>
        <w:t xml:space="preserve">el pago de la segunda parte de la tasa individual, conforme a lo dispuesto en la Regla </w:t>
      </w:r>
      <w:r w:rsidR="00AC27B5" w:rsidRPr="004469D7">
        <w:rPr>
          <w:szCs w:val="22"/>
          <w:lang w:val="es-ES_tradnl"/>
        </w:rPr>
        <w:t>34</w:t>
      </w:r>
      <w:r>
        <w:rPr>
          <w:szCs w:val="22"/>
          <w:lang w:val="es-ES_tradnl"/>
        </w:rPr>
        <w:t>.</w:t>
      </w:r>
      <w:r w:rsidR="00AC27B5" w:rsidRPr="004469D7">
        <w:rPr>
          <w:szCs w:val="22"/>
          <w:lang w:val="es-ES_tradnl"/>
        </w:rPr>
        <w:t>3)</w:t>
      </w:r>
      <w:r>
        <w:rPr>
          <w:szCs w:val="22"/>
          <w:lang w:val="es-ES_tradnl"/>
        </w:rPr>
        <w:t>c)</w:t>
      </w:r>
      <w:r w:rsidR="00AC27B5" w:rsidRPr="004469D7">
        <w:rPr>
          <w:szCs w:val="22"/>
          <w:lang w:val="es-ES_tradnl"/>
        </w:rPr>
        <w:t xml:space="preserve">iii) </w:t>
      </w:r>
      <w:r>
        <w:rPr>
          <w:szCs w:val="22"/>
          <w:lang w:val="es-ES_tradnl"/>
        </w:rPr>
        <w:t>del Reglamento Común</w:t>
      </w:r>
      <w:r w:rsidR="00AC27B5" w:rsidRPr="004469D7">
        <w:rPr>
          <w:szCs w:val="22"/>
          <w:lang w:val="es-ES_tradnl"/>
        </w:rPr>
        <w:t xml:space="preserve">; </w:t>
      </w:r>
      <w:r w:rsidR="009E56CA" w:rsidRPr="004469D7">
        <w:rPr>
          <w:szCs w:val="22"/>
          <w:lang w:val="es-ES_tradnl"/>
        </w:rPr>
        <w:t xml:space="preserve"> </w:t>
      </w:r>
      <w:r>
        <w:rPr>
          <w:szCs w:val="22"/>
          <w:lang w:val="es-ES_tradnl"/>
        </w:rPr>
        <w:t>y</w:t>
      </w:r>
    </w:p>
    <w:p w:rsidR="009E56CA" w:rsidRPr="005D1B1F" w:rsidRDefault="009E56CA" w:rsidP="005D1B1F">
      <w:pPr>
        <w:autoSpaceDE w:val="0"/>
        <w:autoSpaceDN w:val="0"/>
        <w:adjustRightInd w:val="0"/>
        <w:rPr>
          <w:szCs w:val="22"/>
          <w:lang w:val="es-ES_tradnl"/>
        </w:rPr>
      </w:pPr>
    </w:p>
    <w:p w:rsidR="009E56CA" w:rsidRPr="00DB5CC6" w:rsidRDefault="00DB5CC6" w:rsidP="00933CC8">
      <w:pPr>
        <w:pStyle w:val="ListParagraph"/>
        <w:numPr>
          <w:ilvl w:val="0"/>
          <w:numId w:val="9"/>
        </w:numPr>
        <w:autoSpaceDE w:val="0"/>
        <w:autoSpaceDN w:val="0"/>
        <w:adjustRightInd w:val="0"/>
        <w:ind w:left="0" w:firstLine="567"/>
        <w:rPr>
          <w:szCs w:val="22"/>
          <w:lang w:val="es-ES_tradnl"/>
        </w:rPr>
      </w:pPr>
      <w:r w:rsidRPr="00DB5CC6">
        <w:rPr>
          <w:szCs w:val="22"/>
          <w:lang w:val="es-ES_tradnl"/>
        </w:rPr>
        <w:t xml:space="preserve">una petición de </w:t>
      </w:r>
      <w:r w:rsidR="000071C9">
        <w:rPr>
          <w:szCs w:val="22"/>
          <w:lang w:val="es-ES_tradnl"/>
        </w:rPr>
        <w:t>continuación de los efectos</w:t>
      </w:r>
      <w:r w:rsidRPr="00DB5CC6">
        <w:rPr>
          <w:szCs w:val="22"/>
          <w:lang w:val="es-ES_tradnl"/>
        </w:rPr>
        <w:t xml:space="preserve"> </w:t>
      </w:r>
      <w:r w:rsidR="000071C9">
        <w:rPr>
          <w:szCs w:val="22"/>
          <w:lang w:val="es-ES_tradnl"/>
        </w:rPr>
        <w:t>d</w:t>
      </w:r>
      <w:r w:rsidRPr="00DB5CC6">
        <w:rPr>
          <w:szCs w:val="22"/>
          <w:lang w:val="es-ES_tradnl"/>
        </w:rPr>
        <w:t>el registro internacional en un Estado suceso</w:t>
      </w:r>
      <w:r w:rsidR="00EC0B23">
        <w:rPr>
          <w:szCs w:val="22"/>
          <w:lang w:val="es-ES_tradnl"/>
        </w:rPr>
        <w:t>r</w:t>
      </w:r>
      <w:r w:rsidRPr="00DB5CC6">
        <w:rPr>
          <w:szCs w:val="22"/>
          <w:lang w:val="es-ES_tradnl"/>
        </w:rPr>
        <w:t xml:space="preserve"> y </w:t>
      </w:r>
      <w:r w:rsidR="00EA3F14">
        <w:rPr>
          <w:szCs w:val="22"/>
          <w:lang w:val="es-ES_tradnl"/>
        </w:rPr>
        <w:t xml:space="preserve">el pago de </w:t>
      </w:r>
      <w:r w:rsidRPr="00DB5CC6">
        <w:rPr>
          <w:szCs w:val="22"/>
          <w:lang w:val="es-ES_tradnl"/>
        </w:rPr>
        <w:t>la</w:t>
      </w:r>
      <w:r w:rsidR="00EA3F14">
        <w:rPr>
          <w:szCs w:val="22"/>
          <w:lang w:val="es-ES_tradnl"/>
        </w:rPr>
        <w:t>s</w:t>
      </w:r>
      <w:r w:rsidRPr="00DB5CC6">
        <w:rPr>
          <w:szCs w:val="22"/>
          <w:lang w:val="es-ES_tradnl"/>
        </w:rPr>
        <w:t xml:space="preserve"> tasa</w:t>
      </w:r>
      <w:r w:rsidR="00EA3F14">
        <w:rPr>
          <w:szCs w:val="22"/>
          <w:lang w:val="es-ES_tradnl"/>
        </w:rPr>
        <w:t>s</w:t>
      </w:r>
      <w:r w:rsidRPr="00DB5CC6">
        <w:rPr>
          <w:szCs w:val="22"/>
          <w:lang w:val="es-ES_tradnl"/>
        </w:rPr>
        <w:t xml:space="preserve"> relativa</w:t>
      </w:r>
      <w:r w:rsidR="00EA3F14">
        <w:rPr>
          <w:szCs w:val="22"/>
          <w:lang w:val="es-ES_tradnl"/>
        </w:rPr>
        <w:t>s</w:t>
      </w:r>
      <w:r w:rsidRPr="00DB5CC6">
        <w:rPr>
          <w:szCs w:val="22"/>
          <w:lang w:val="es-ES_tradnl"/>
        </w:rPr>
        <w:t xml:space="preserve"> a esa petición, conforme a lo dispuesto en la Regla</w:t>
      </w:r>
      <w:r w:rsidR="005B09B2">
        <w:rPr>
          <w:szCs w:val="22"/>
          <w:lang w:val="es-ES_tradnl"/>
        </w:rPr>
        <w:t> </w:t>
      </w:r>
      <w:r w:rsidR="00AC27B5" w:rsidRPr="00DB5CC6">
        <w:rPr>
          <w:szCs w:val="22"/>
          <w:lang w:val="es-ES_tradnl"/>
        </w:rPr>
        <w:t>39</w:t>
      </w:r>
      <w:r w:rsidRPr="00DB5CC6">
        <w:rPr>
          <w:szCs w:val="22"/>
          <w:lang w:val="es-ES_tradnl"/>
        </w:rPr>
        <w:t>.</w:t>
      </w:r>
      <w:r w:rsidR="00AC27B5" w:rsidRPr="00DB5CC6">
        <w:rPr>
          <w:szCs w:val="22"/>
          <w:lang w:val="es-ES_tradnl"/>
        </w:rPr>
        <w:t xml:space="preserve">1) </w:t>
      </w:r>
      <w:r w:rsidRPr="00DB5CC6">
        <w:rPr>
          <w:szCs w:val="22"/>
          <w:lang w:val="es-ES_tradnl"/>
        </w:rPr>
        <w:t>del Reglamento Común</w:t>
      </w:r>
      <w:r w:rsidR="00AC27B5" w:rsidRPr="00DB5CC6">
        <w:rPr>
          <w:szCs w:val="22"/>
          <w:lang w:val="es-ES_tradnl"/>
        </w:rPr>
        <w:t>.</w:t>
      </w:r>
      <w:r w:rsidR="005B09B2">
        <w:rPr>
          <w:szCs w:val="22"/>
          <w:lang w:val="es-ES_tradnl"/>
        </w:rPr>
        <w:t xml:space="preserve">  </w:t>
      </w:r>
    </w:p>
    <w:p w:rsidR="00933CC8" w:rsidRPr="004469D7" w:rsidRDefault="009E56CA" w:rsidP="00933CC8">
      <w:pPr>
        <w:autoSpaceDE w:val="0"/>
        <w:autoSpaceDN w:val="0"/>
        <w:adjustRightInd w:val="0"/>
        <w:rPr>
          <w:szCs w:val="22"/>
          <w:lang w:val="es-ES_tradnl"/>
        </w:rPr>
      </w:pPr>
      <w:r w:rsidRPr="004469D7">
        <w:rPr>
          <w:szCs w:val="22"/>
          <w:lang w:val="es-ES_tradnl"/>
        </w:rPr>
        <w:lastRenderedPageBreak/>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465BCE">
        <w:rPr>
          <w:szCs w:val="22"/>
          <w:lang w:val="es-ES_tradnl"/>
        </w:rPr>
        <w:t xml:space="preserve">La continuación de la tramitación podrá solicitarse en el plazo de dos meses contados a partir del vencimiento del plazo en cuestión, presentando el nuevo formulario oficial MM20 (véase el Anexo III) a la Oficina Internacional y tras el pago de una tasa de 200 francos suizos.  Junto con la petición, se cumplirán los requisitos a los que se aplicaba el plazo en cuestión.  </w:t>
      </w:r>
      <w:r w:rsidR="0042361D">
        <w:rPr>
          <w:szCs w:val="22"/>
          <w:lang w:val="es-ES_tradnl"/>
        </w:rPr>
        <w:t>La</w:t>
      </w:r>
      <w:r w:rsidR="005B09B2">
        <w:rPr>
          <w:szCs w:val="22"/>
          <w:lang w:val="es-ES_tradnl"/>
        </w:rPr>
        <w:t> </w:t>
      </w:r>
      <w:r w:rsidR="0042361D">
        <w:rPr>
          <w:szCs w:val="22"/>
          <w:lang w:val="es-ES_tradnl"/>
        </w:rPr>
        <w:t>continuación de la tramitación no podrá solicitarse antes de que haya vencido el plazo pertinente.</w:t>
      </w:r>
    </w:p>
    <w:p w:rsidR="00362B5A" w:rsidRPr="004469D7" w:rsidRDefault="00362B5A" w:rsidP="00933CC8">
      <w:pPr>
        <w:autoSpaceDE w:val="0"/>
        <w:autoSpaceDN w:val="0"/>
        <w:adjustRightInd w:val="0"/>
        <w:rPr>
          <w:szCs w:val="22"/>
          <w:lang w:val="es-ES_tradnl"/>
        </w:rPr>
      </w:pPr>
    </w:p>
    <w:p w:rsidR="00796E07" w:rsidRPr="004469D7" w:rsidRDefault="00362B5A"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42361D">
        <w:rPr>
          <w:szCs w:val="22"/>
          <w:lang w:val="es-ES_tradnl"/>
        </w:rPr>
        <w:t xml:space="preserve">Las peticiones </w:t>
      </w:r>
      <w:r w:rsidR="00A53C29">
        <w:rPr>
          <w:szCs w:val="22"/>
          <w:lang w:val="es-ES_tradnl"/>
        </w:rPr>
        <w:t xml:space="preserve">de continuación de la tramitación </w:t>
      </w:r>
      <w:r w:rsidR="0042361D" w:rsidRPr="0042361D">
        <w:rPr>
          <w:szCs w:val="22"/>
          <w:lang w:val="es-ES_tradnl"/>
        </w:rPr>
        <w:t>que no cumpla</w:t>
      </w:r>
      <w:r w:rsidR="0042361D">
        <w:rPr>
          <w:szCs w:val="22"/>
          <w:lang w:val="es-ES_tradnl"/>
        </w:rPr>
        <w:t>n</w:t>
      </w:r>
      <w:r w:rsidR="0042361D" w:rsidRPr="0042361D">
        <w:rPr>
          <w:szCs w:val="22"/>
          <w:lang w:val="es-ES_tradnl"/>
        </w:rPr>
        <w:t xml:space="preserve"> con los </w:t>
      </w:r>
      <w:r w:rsidR="00A53C29">
        <w:rPr>
          <w:szCs w:val="22"/>
          <w:lang w:val="es-ES_tradnl"/>
        </w:rPr>
        <w:t>requisitos previamente mencionados</w:t>
      </w:r>
      <w:r w:rsidR="0042361D" w:rsidRPr="0042361D">
        <w:rPr>
          <w:szCs w:val="22"/>
          <w:lang w:val="es-ES_tradnl"/>
        </w:rPr>
        <w:t xml:space="preserve"> no se considerará</w:t>
      </w:r>
      <w:r w:rsidR="0042361D">
        <w:rPr>
          <w:szCs w:val="22"/>
          <w:lang w:val="es-ES_tradnl"/>
        </w:rPr>
        <w:t>n</w:t>
      </w:r>
      <w:r w:rsidR="0042361D" w:rsidRPr="0042361D">
        <w:rPr>
          <w:szCs w:val="22"/>
          <w:lang w:val="es-ES_tradnl"/>
        </w:rPr>
        <w:t xml:space="preserve"> como tal</w:t>
      </w:r>
      <w:r w:rsidR="0042361D">
        <w:rPr>
          <w:szCs w:val="22"/>
          <w:lang w:val="es-ES_tradnl"/>
        </w:rPr>
        <w:t>es</w:t>
      </w:r>
      <w:r w:rsidR="0042361D" w:rsidRPr="0042361D">
        <w:rPr>
          <w:szCs w:val="22"/>
          <w:lang w:val="es-ES_tradnl"/>
        </w:rPr>
        <w:t xml:space="preserve"> y </w:t>
      </w:r>
      <w:r w:rsidR="0042361D">
        <w:rPr>
          <w:szCs w:val="22"/>
          <w:lang w:val="es-ES_tradnl"/>
        </w:rPr>
        <w:t>la Oficina Internacional</w:t>
      </w:r>
      <w:r w:rsidR="0042361D" w:rsidRPr="0042361D">
        <w:rPr>
          <w:szCs w:val="22"/>
          <w:lang w:val="es-ES_tradnl"/>
        </w:rPr>
        <w:t xml:space="preserve"> notificará al solicitante o al titular a tal efecto.  </w:t>
      </w:r>
    </w:p>
    <w:p w:rsidR="00796E07" w:rsidRPr="004469D7" w:rsidRDefault="00796E07" w:rsidP="00933CC8">
      <w:pPr>
        <w:autoSpaceDE w:val="0"/>
        <w:autoSpaceDN w:val="0"/>
        <w:adjustRightInd w:val="0"/>
        <w:rPr>
          <w:szCs w:val="22"/>
          <w:lang w:val="es-ES_tradnl"/>
        </w:rPr>
      </w:pPr>
    </w:p>
    <w:p w:rsidR="0042361D" w:rsidRDefault="00796E07" w:rsidP="0042361D">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42361D">
        <w:rPr>
          <w:szCs w:val="22"/>
          <w:lang w:val="es-ES_tradnl"/>
        </w:rPr>
        <w:t>La Oficina Internac</w:t>
      </w:r>
      <w:r w:rsidRPr="004469D7">
        <w:rPr>
          <w:szCs w:val="22"/>
          <w:lang w:val="es-ES_tradnl"/>
        </w:rPr>
        <w:t xml:space="preserve">ional </w:t>
      </w:r>
      <w:r w:rsidR="0042361D">
        <w:rPr>
          <w:szCs w:val="22"/>
          <w:lang w:val="es-ES_tradnl"/>
        </w:rPr>
        <w:t xml:space="preserve">seguirá tramitando la solicitud internacional, la designación posterior, la petición o el pago respecto de los que se haya recibido </w:t>
      </w:r>
      <w:r w:rsidR="00110F2F">
        <w:rPr>
          <w:szCs w:val="22"/>
          <w:lang w:val="es-ES_tradnl"/>
        </w:rPr>
        <w:t>debidamente</w:t>
      </w:r>
      <w:r w:rsidR="0042361D">
        <w:rPr>
          <w:szCs w:val="22"/>
          <w:lang w:val="es-ES_tradnl"/>
        </w:rPr>
        <w:t xml:space="preserve"> la petición de continuación de la tramitación</w:t>
      </w:r>
      <w:r w:rsidR="006C77A7" w:rsidRPr="004469D7">
        <w:rPr>
          <w:szCs w:val="22"/>
          <w:lang w:val="es-ES_tradnl"/>
        </w:rPr>
        <w:t xml:space="preserve">.  </w:t>
      </w:r>
      <w:r w:rsidR="0042361D">
        <w:rPr>
          <w:szCs w:val="22"/>
          <w:lang w:val="es-ES_tradnl"/>
        </w:rPr>
        <w:t>La Oficina Internacional inscribirá este hecho en el Registro Internacional y notificará al solicitante o al titular a tal efecto.</w:t>
      </w:r>
    </w:p>
    <w:p w:rsidR="006C77A7" w:rsidRPr="004469D7" w:rsidRDefault="006C77A7" w:rsidP="00933CC8">
      <w:pPr>
        <w:autoSpaceDE w:val="0"/>
        <w:autoSpaceDN w:val="0"/>
        <w:adjustRightInd w:val="0"/>
        <w:rPr>
          <w:szCs w:val="22"/>
          <w:lang w:val="es-ES_tradnl"/>
        </w:rPr>
      </w:pPr>
    </w:p>
    <w:p w:rsidR="00362B5A" w:rsidRPr="004469D7" w:rsidRDefault="001D0ACC" w:rsidP="0042361D">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42361D">
        <w:rPr>
          <w:szCs w:val="22"/>
          <w:lang w:val="es-ES_tradnl"/>
        </w:rPr>
        <w:t xml:space="preserve">Tras la inscripción de la continuación de la tramitación, las licencias inscritas en virtud de la Regla </w:t>
      </w:r>
      <w:r w:rsidR="00C86A22" w:rsidRPr="004469D7">
        <w:rPr>
          <w:szCs w:val="22"/>
          <w:lang w:val="es-ES_tradnl"/>
        </w:rPr>
        <w:t>20</w:t>
      </w:r>
      <w:r w:rsidR="00C86A22" w:rsidRPr="004469D7">
        <w:rPr>
          <w:i/>
          <w:szCs w:val="22"/>
          <w:lang w:val="es-ES_tradnl"/>
        </w:rPr>
        <w:t>bis</w:t>
      </w:r>
      <w:r w:rsidR="0042361D">
        <w:rPr>
          <w:i/>
          <w:szCs w:val="22"/>
          <w:lang w:val="es-ES_tradnl"/>
        </w:rPr>
        <w:t>.</w:t>
      </w:r>
      <w:r w:rsidR="00C86A22" w:rsidRPr="004469D7">
        <w:rPr>
          <w:szCs w:val="22"/>
          <w:lang w:val="es-ES_tradnl"/>
        </w:rPr>
        <w:t xml:space="preserve">3) </w:t>
      </w:r>
      <w:r w:rsidR="0042361D">
        <w:rPr>
          <w:szCs w:val="22"/>
          <w:lang w:val="es-ES_tradnl"/>
        </w:rPr>
        <w:t xml:space="preserve">del Reglamento Común y </w:t>
      </w:r>
      <w:r w:rsidR="00736568">
        <w:rPr>
          <w:szCs w:val="22"/>
          <w:lang w:val="es-ES_tradnl"/>
        </w:rPr>
        <w:t>las modificaciones y las cancelaciones inscrita</w:t>
      </w:r>
      <w:r w:rsidR="0042361D">
        <w:rPr>
          <w:szCs w:val="22"/>
          <w:lang w:val="es-ES_tradnl"/>
        </w:rPr>
        <w:t xml:space="preserve">s en virtud de la Regla </w:t>
      </w:r>
      <w:r w:rsidR="00C86A22" w:rsidRPr="004469D7">
        <w:rPr>
          <w:szCs w:val="22"/>
          <w:lang w:val="es-ES_tradnl"/>
        </w:rPr>
        <w:t>27</w:t>
      </w:r>
      <w:r w:rsidR="0042361D">
        <w:rPr>
          <w:szCs w:val="22"/>
          <w:lang w:val="es-ES_tradnl"/>
        </w:rPr>
        <w:t>.</w:t>
      </w:r>
      <w:r w:rsidR="00C86A22" w:rsidRPr="004469D7">
        <w:rPr>
          <w:szCs w:val="22"/>
          <w:lang w:val="es-ES_tradnl"/>
        </w:rPr>
        <w:t xml:space="preserve">1) </w:t>
      </w:r>
      <w:r w:rsidR="0042361D">
        <w:rPr>
          <w:szCs w:val="22"/>
          <w:lang w:val="es-ES_tradnl"/>
        </w:rPr>
        <w:t>del Reglamento Común se inscribirán con la fecha en la que venció el plazo establecido para cumplir con el requisito correspondiente.</w:t>
      </w:r>
      <w:r w:rsidR="00593591" w:rsidRPr="004469D7">
        <w:rPr>
          <w:szCs w:val="22"/>
          <w:lang w:val="es-ES_tradnl"/>
        </w:rPr>
        <w:t xml:space="preserve"> </w:t>
      </w:r>
    </w:p>
    <w:p w:rsidR="00A0256B" w:rsidRPr="004469D7" w:rsidRDefault="00A0256B" w:rsidP="00933CC8">
      <w:pPr>
        <w:autoSpaceDE w:val="0"/>
        <w:autoSpaceDN w:val="0"/>
        <w:adjustRightInd w:val="0"/>
        <w:rPr>
          <w:szCs w:val="22"/>
          <w:lang w:val="es-ES_tradnl"/>
        </w:rPr>
      </w:pPr>
    </w:p>
    <w:p w:rsidR="0086719D" w:rsidRDefault="00A0256B"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42361D">
        <w:rPr>
          <w:szCs w:val="22"/>
          <w:lang w:val="es-ES_tradnl"/>
        </w:rPr>
        <w:t xml:space="preserve">La continuación de la tramitación podrá solicitarse </w:t>
      </w:r>
      <w:r w:rsidR="0086719D">
        <w:rPr>
          <w:szCs w:val="22"/>
          <w:lang w:val="es-ES_tradnl"/>
        </w:rPr>
        <w:t>cuando el plazo establecido para cumplir con los requisitos en cuestión venza el 1 de enero de 2015 o después de esa fecha.</w:t>
      </w:r>
    </w:p>
    <w:p w:rsidR="005D0B23" w:rsidRPr="004469D7" w:rsidRDefault="005D0B23" w:rsidP="00933CC8">
      <w:pPr>
        <w:autoSpaceDE w:val="0"/>
        <w:autoSpaceDN w:val="0"/>
        <w:adjustRightInd w:val="0"/>
        <w:rPr>
          <w:szCs w:val="22"/>
          <w:lang w:val="es-ES_tradnl"/>
        </w:rPr>
      </w:pPr>
    </w:p>
    <w:p w:rsidR="005D0B23" w:rsidRPr="004469D7" w:rsidRDefault="0086719D" w:rsidP="00593591">
      <w:pPr>
        <w:pStyle w:val="Heading3"/>
        <w:rPr>
          <w:lang w:val="es-ES_tradnl"/>
        </w:rPr>
      </w:pPr>
      <w:r>
        <w:rPr>
          <w:lang w:val="es-ES_tradnl"/>
        </w:rPr>
        <w:t>Modificaciones de la Regla</w:t>
      </w:r>
      <w:r w:rsidR="00593591" w:rsidRPr="004469D7">
        <w:rPr>
          <w:lang w:val="es-ES_tradnl"/>
        </w:rPr>
        <w:t xml:space="preserve"> </w:t>
      </w:r>
      <w:r w:rsidR="005D0B23" w:rsidRPr="004469D7">
        <w:rPr>
          <w:lang w:val="es-ES_tradnl"/>
        </w:rPr>
        <w:t>30</w:t>
      </w:r>
      <w:r>
        <w:rPr>
          <w:lang w:val="es-ES_tradnl"/>
        </w:rPr>
        <w:t xml:space="preserve"> del Reglamento Común</w:t>
      </w:r>
      <w:r w:rsidR="009179B4" w:rsidRPr="004469D7">
        <w:rPr>
          <w:lang w:val="es-ES_tradnl"/>
        </w:rPr>
        <w:t>:</w:t>
      </w:r>
      <w:r w:rsidR="005D0B23" w:rsidRPr="004469D7">
        <w:rPr>
          <w:lang w:val="es-ES_tradnl"/>
        </w:rPr>
        <w:t xml:space="preserve"> </w:t>
      </w:r>
      <w:r w:rsidR="00593591" w:rsidRPr="004469D7">
        <w:rPr>
          <w:lang w:val="es-ES_tradnl"/>
        </w:rPr>
        <w:t xml:space="preserve"> </w:t>
      </w:r>
      <w:r w:rsidRPr="0086719D">
        <w:rPr>
          <w:lang w:val="es-ES_tradnl"/>
        </w:rPr>
        <w:t>Detalles relativos a la renovación</w:t>
      </w:r>
    </w:p>
    <w:p w:rsidR="005D0B23" w:rsidRPr="004469D7" w:rsidRDefault="005D0B23" w:rsidP="00933CC8">
      <w:pPr>
        <w:autoSpaceDE w:val="0"/>
        <w:autoSpaceDN w:val="0"/>
        <w:adjustRightInd w:val="0"/>
        <w:rPr>
          <w:szCs w:val="22"/>
          <w:lang w:val="es-ES_tradnl"/>
        </w:rPr>
      </w:pPr>
    </w:p>
    <w:p w:rsidR="005D0B23" w:rsidRPr="004469D7" w:rsidRDefault="00B64468"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86719D">
        <w:rPr>
          <w:szCs w:val="22"/>
          <w:lang w:val="es-ES_tradnl"/>
        </w:rPr>
        <w:t>Las modificaciones de la Regla 30 del Regl</w:t>
      </w:r>
      <w:r w:rsidR="00110F2F">
        <w:rPr>
          <w:szCs w:val="22"/>
          <w:lang w:val="es-ES_tradnl"/>
        </w:rPr>
        <w:t>amento Común cambiarán la mane</w:t>
      </w:r>
      <w:r w:rsidR="0086719D">
        <w:rPr>
          <w:szCs w:val="22"/>
          <w:lang w:val="es-ES_tradnl"/>
        </w:rPr>
        <w:t>r</w:t>
      </w:r>
      <w:r w:rsidR="00110F2F">
        <w:rPr>
          <w:szCs w:val="22"/>
          <w:lang w:val="es-ES_tradnl"/>
        </w:rPr>
        <w:t>a</w:t>
      </w:r>
      <w:r w:rsidR="0086719D">
        <w:rPr>
          <w:szCs w:val="22"/>
          <w:lang w:val="es-ES_tradnl"/>
        </w:rPr>
        <w:t xml:space="preserve"> en que se renueva el registro internacional.</w:t>
      </w:r>
    </w:p>
    <w:p w:rsidR="00B64468" w:rsidRPr="004469D7" w:rsidRDefault="00B64468" w:rsidP="00933CC8">
      <w:pPr>
        <w:autoSpaceDE w:val="0"/>
        <w:autoSpaceDN w:val="0"/>
        <w:adjustRightInd w:val="0"/>
        <w:rPr>
          <w:szCs w:val="22"/>
          <w:lang w:val="es-ES_tradnl"/>
        </w:rPr>
      </w:pPr>
    </w:p>
    <w:p w:rsidR="005232F8" w:rsidRDefault="00B64468"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5232F8">
        <w:rPr>
          <w:szCs w:val="22"/>
          <w:lang w:val="es-ES_tradnl"/>
        </w:rPr>
        <w:t xml:space="preserve">Tras una decisión inscrita en virtud de la Regla </w:t>
      </w:r>
      <w:r w:rsidRPr="004469D7">
        <w:rPr>
          <w:szCs w:val="22"/>
          <w:lang w:val="es-ES_tradnl"/>
        </w:rPr>
        <w:t>18</w:t>
      </w:r>
      <w:r w:rsidRPr="004469D7">
        <w:rPr>
          <w:i/>
          <w:szCs w:val="22"/>
          <w:lang w:val="es-ES_tradnl"/>
        </w:rPr>
        <w:t>ter</w:t>
      </w:r>
      <w:r w:rsidR="005232F8">
        <w:rPr>
          <w:i/>
          <w:szCs w:val="22"/>
          <w:lang w:val="es-ES_tradnl"/>
        </w:rPr>
        <w:t>.</w:t>
      </w:r>
      <w:r w:rsidRPr="004469D7">
        <w:rPr>
          <w:szCs w:val="22"/>
          <w:lang w:val="es-ES_tradnl"/>
        </w:rPr>
        <w:t>5)</w:t>
      </w:r>
      <w:r w:rsidR="00E05D9A" w:rsidRPr="004469D7">
        <w:rPr>
          <w:szCs w:val="22"/>
          <w:lang w:val="es-ES_tradnl"/>
        </w:rPr>
        <w:t xml:space="preserve"> </w:t>
      </w:r>
      <w:r w:rsidR="005232F8">
        <w:rPr>
          <w:szCs w:val="22"/>
          <w:lang w:val="es-ES_tradnl"/>
        </w:rPr>
        <w:t>y sin otras instrucciones del titular, el registro internacional se renovará únicamente para los productos y servicios</w:t>
      </w:r>
      <w:r w:rsidR="00F95086">
        <w:rPr>
          <w:szCs w:val="22"/>
          <w:lang w:val="es-ES_tradnl"/>
        </w:rPr>
        <w:t xml:space="preserve">, si los hubiere, </w:t>
      </w:r>
      <w:r w:rsidR="005232F8">
        <w:rPr>
          <w:szCs w:val="22"/>
          <w:lang w:val="es-ES_tradnl"/>
        </w:rPr>
        <w:t>que estén protegidos efectivamente</w:t>
      </w:r>
      <w:r w:rsidR="00F95086">
        <w:rPr>
          <w:szCs w:val="22"/>
          <w:lang w:val="es-ES_tradnl"/>
        </w:rPr>
        <w:t xml:space="preserve"> </w:t>
      </w:r>
      <w:r w:rsidR="005232F8">
        <w:rPr>
          <w:szCs w:val="22"/>
          <w:lang w:val="es-ES_tradnl"/>
        </w:rPr>
        <w:t>en relación con la Parte Contratante designada en cuestión.</w:t>
      </w:r>
    </w:p>
    <w:p w:rsidR="007742C7" w:rsidRPr="004469D7" w:rsidRDefault="007742C7" w:rsidP="00933CC8">
      <w:pPr>
        <w:autoSpaceDE w:val="0"/>
        <w:autoSpaceDN w:val="0"/>
        <w:adjustRightInd w:val="0"/>
        <w:rPr>
          <w:szCs w:val="22"/>
          <w:lang w:val="es-ES_tradnl"/>
        </w:rPr>
      </w:pPr>
    </w:p>
    <w:p w:rsidR="00D835ED" w:rsidRDefault="007742C7" w:rsidP="00D835ED">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F95086">
        <w:rPr>
          <w:szCs w:val="22"/>
          <w:lang w:val="es-ES_tradnl"/>
        </w:rPr>
        <w:t xml:space="preserve">El titular podrá seguir utilizando el formulario </w:t>
      </w:r>
      <w:r w:rsidRPr="004469D7">
        <w:rPr>
          <w:szCs w:val="22"/>
          <w:lang w:val="es-ES_tradnl"/>
        </w:rPr>
        <w:t>MM11 (</w:t>
      </w:r>
      <w:r w:rsidR="00D835ED">
        <w:rPr>
          <w:szCs w:val="22"/>
          <w:lang w:val="es-ES_tradnl"/>
        </w:rPr>
        <w:t xml:space="preserve">véase el Anexo </w:t>
      </w:r>
      <w:r w:rsidRPr="004469D7">
        <w:rPr>
          <w:szCs w:val="22"/>
          <w:lang w:val="es-ES_tradnl"/>
        </w:rPr>
        <w:t xml:space="preserve">IV) </w:t>
      </w:r>
      <w:r w:rsidR="00D835ED">
        <w:rPr>
          <w:szCs w:val="22"/>
          <w:lang w:val="es-ES_tradnl"/>
        </w:rPr>
        <w:t xml:space="preserve">para solicitar la renovación de un registro internacional.  El titular deberá indicar, en el apartado 3 de ese formulario, </w:t>
      </w:r>
      <w:r w:rsidR="00D835ED" w:rsidRPr="005D1B1F">
        <w:rPr>
          <w:b/>
          <w:i/>
          <w:szCs w:val="22"/>
          <w:u w:val="single"/>
          <w:lang w:val="es-ES_tradnl"/>
        </w:rPr>
        <w:t>todas</w:t>
      </w:r>
      <w:r w:rsidR="00D835ED">
        <w:rPr>
          <w:szCs w:val="22"/>
          <w:lang w:val="es-ES_tradnl"/>
        </w:rPr>
        <w:t xml:space="preserve"> las Partes Contratantes designadas respecto de las que se renovará el registro internacional marcando las casillas correspondientes a esas Partes Contratantes.</w:t>
      </w:r>
    </w:p>
    <w:p w:rsidR="00C34504" w:rsidRPr="004469D7" w:rsidRDefault="00C34504" w:rsidP="00933CC8">
      <w:pPr>
        <w:autoSpaceDE w:val="0"/>
        <w:autoSpaceDN w:val="0"/>
        <w:adjustRightInd w:val="0"/>
        <w:rPr>
          <w:szCs w:val="22"/>
          <w:lang w:val="es-ES_tradnl"/>
        </w:rPr>
      </w:pPr>
    </w:p>
    <w:p w:rsidR="001A49A9" w:rsidRDefault="00C34504"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1A49A9">
        <w:rPr>
          <w:szCs w:val="22"/>
          <w:lang w:val="es-ES_tradnl"/>
        </w:rPr>
        <w:t xml:space="preserve">El titular podrá seguir optando por renovar un registro internacional para todos los productos y servicios en cuestión en relación con una Parte Contratante designada en la que se haya denegado total o parcialmente la protección de la marca.  </w:t>
      </w:r>
      <w:r w:rsidRPr="004469D7">
        <w:rPr>
          <w:szCs w:val="22"/>
          <w:lang w:val="es-ES_tradnl"/>
        </w:rPr>
        <w:t xml:space="preserve"> </w:t>
      </w:r>
      <w:r w:rsidR="001A49A9">
        <w:rPr>
          <w:szCs w:val="22"/>
          <w:lang w:val="es-ES_tradnl"/>
        </w:rPr>
        <w:t>Esto podrá ser necesario cuando aún esté pendiente el resultado de otros procedimientos en esa Parte Contratante.</w:t>
      </w:r>
    </w:p>
    <w:p w:rsidR="00C34504" w:rsidRPr="004469D7" w:rsidRDefault="00C34504" w:rsidP="00933CC8">
      <w:pPr>
        <w:autoSpaceDE w:val="0"/>
        <w:autoSpaceDN w:val="0"/>
        <w:adjustRightInd w:val="0"/>
        <w:rPr>
          <w:szCs w:val="22"/>
          <w:lang w:val="es-ES_tradnl"/>
        </w:rPr>
      </w:pPr>
    </w:p>
    <w:p w:rsidR="001A49A9" w:rsidRDefault="00F46336"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1A49A9">
        <w:rPr>
          <w:szCs w:val="22"/>
          <w:lang w:val="es-ES_tradnl"/>
        </w:rPr>
        <w:t>Cuando se haya denegado total</w:t>
      </w:r>
      <w:r w:rsidR="00192C95">
        <w:rPr>
          <w:szCs w:val="22"/>
          <w:lang w:val="es-ES_tradnl"/>
        </w:rPr>
        <w:t>mente</w:t>
      </w:r>
      <w:r w:rsidR="001A49A9">
        <w:rPr>
          <w:szCs w:val="22"/>
          <w:lang w:val="es-ES_tradnl"/>
        </w:rPr>
        <w:t xml:space="preserve"> la protección de la marca en una Parte Contratante designada y el titular desee renovar el registro internacional en relación con esa Parte Contratante, deberá indicar esa circunstancia en el apartado 3 del formulario</w:t>
      </w:r>
      <w:r w:rsidR="005B09B2">
        <w:rPr>
          <w:szCs w:val="22"/>
          <w:lang w:val="es-ES_tradnl"/>
        </w:rPr>
        <w:t> </w:t>
      </w:r>
      <w:r w:rsidRPr="004469D7">
        <w:rPr>
          <w:szCs w:val="22"/>
          <w:lang w:val="es-ES_tradnl"/>
        </w:rPr>
        <w:t xml:space="preserve">MM11 </w:t>
      </w:r>
      <w:r w:rsidR="001A49A9">
        <w:rPr>
          <w:szCs w:val="22"/>
          <w:lang w:val="es-ES_tradnl"/>
        </w:rPr>
        <w:t>marcando la casilla correspondiente a la Parte Contratante designada en cuestión.  El registro se renovará para todos los productos y servicios en cuestión en relación con esa Parte Contratante.</w:t>
      </w:r>
    </w:p>
    <w:p w:rsidR="005D08B3" w:rsidRPr="004469D7" w:rsidRDefault="005D08B3" w:rsidP="00933CC8">
      <w:pPr>
        <w:autoSpaceDE w:val="0"/>
        <w:autoSpaceDN w:val="0"/>
        <w:adjustRightInd w:val="0"/>
        <w:rPr>
          <w:szCs w:val="22"/>
          <w:lang w:val="es-ES_tradnl"/>
        </w:rPr>
      </w:pPr>
    </w:p>
    <w:p w:rsidR="005D08B3" w:rsidRPr="004469D7" w:rsidRDefault="005D08B3" w:rsidP="00933CC8">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1A49A9">
        <w:rPr>
          <w:szCs w:val="22"/>
          <w:lang w:val="es-ES_tradnl"/>
        </w:rPr>
        <w:t>Cuando se haya denegado parcialmente la protección de la marca en una Parte Contratante designada y el titular desee renovar el registro internacional para todos los productos y servicios en relación con esa Parte Contratante, deberá indicar esa circunstancia en los apartados 3 y 4 del formulario MM11, marcando en ambos apartados las casillas correspondientes a la Parte Contratante designada en cuestión.</w:t>
      </w:r>
    </w:p>
    <w:p w:rsidR="005D08B3" w:rsidRPr="004469D7" w:rsidRDefault="005D08B3" w:rsidP="00933CC8">
      <w:pPr>
        <w:autoSpaceDE w:val="0"/>
        <w:autoSpaceDN w:val="0"/>
        <w:adjustRightInd w:val="0"/>
        <w:rPr>
          <w:szCs w:val="22"/>
          <w:lang w:val="es-ES_tradnl"/>
        </w:rPr>
      </w:pPr>
    </w:p>
    <w:p w:rsidR="005D08B3" w:rsidRPr="004469D7" w:rsidRDefault="005D08B3" w:rsidP="007742C7">
      <w:pPr>
        <w:keepNext/>
        <w:keepLines/>
        <w:autoSpaceDE w:val="0"/>
        <w:autoSpaceDN w:val="0"/>
        <w:adjustRightInd w:val="0"/>
        <w:rPr>
          <w:szCs w:val="22"/>
          <w:lang w:val="es-ES_tradnl"/>
        </w:rPr>
      </w:pPr>
      <w:r w:rsidRPr="004469D7">
        <w:rPr>
          <w:szCs w:val="22"/>
          <w:lang w:val="es-ES_tradnl"/>
        </w:rPr>
        <w:lastRenderedPageBreak/>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1E7EAA">
        <w:rPr>
          <w:szCs w:val="22"/>
          <w:lang w:val="es-ES_tradnl"/>
        </w:rPr>
        <w:t>La manera en que el titular desee renovar el registro internacional influirá en la cuantía de la tasa de renovación que ha de abonarse en relación con una Parte Contratante designada que haya efectuado la declaración de que desea recibir una tasa individual, cuando esa tasa individual deba calcularse teniendo en cuenta el número de clases de la Clasificación Internacional de Productos y Servicios (la Clasificación de Niza) respecto de las que se solicite la renovación.</w:t>
      </w:r>
    </w:p>
    <w:p w:rsidR="009E4372" w:rsidRPr="004469D7" w:rsidRDefault="009E4372" w:rsidP="00CD330E">
      <w:pPr>
        <w:autoSpaceDE w:val="0"/>
        <w:autoSpaceDN w:val="0"/>
        <w:adjustRightInd w:val="0"/>
        <w:rPr>
          <w:szCs w:val="22"/>
          <w:lang w:val="es-ES_tradnl"/>
        </w:rPr>
      </w:pPr>
    </w:p>
    <w:p w:rsidR="0063766B" w:rsidRDefault="00593591" w:rsidP="00CD330E">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63766B">
        <w:rPr>
          <w:szCs w:val="22"/>
          <w:lang w:val="es-ES_tradnl"/>
        </w:rPr>
        <w:t>Las modificaciones de la Regla 30 del Reglamento Común se aplica</w:t>
      </w:r>
      <w:r w:rsidR="00110F2F">
        <w:rPr>
          <w:szCs w:val="22"/>
          <w:lang w:val="es-ES_tradnl"/>
        </w:rPr>
        <w:t>rá</w:t>
      </w:r>
      <w:r w:rsidR="0063766B">
        <w:rPr>
          <w:szCs w:val="22"/>
          <w:lang w:val="es-ES_tradnl"/>
        </w:rPr>
        <w:t xml:space="preserve">n a los registros internacionales respecto de los que se solicite la renovación el 1 de enero de 2015 o después de esa fecha y </w:t>
      </w:r>
      <w:r w:rsidR="00943C2D">
        <w:rPr>
          <w:szCs w:val="22"/>
          <w:lang w:val="es-ES_tradnl"/>
        </w:rPr>
        <w:t xml:space="preserve">respecto de los </w:t>
      </w:r>
      <w:r w:rsidR="0063766B">
        <w:rPr>
          <w:szCs w:val="22"/>
          <w:lang w:val="es-ES_tradnl"/>
        </w:rPr>
        <w:t xml:space="preserve">que </w:t>
      </w:r>
      <w:r w:rsidR="00110F2F">
        <w:rPr>
          <w:szCs w:val="22"/>
          <w:lang w:val="es-ES_tradnl"/>
        </w:rPr>
        <w:t>deba</w:t>
      </w:r>
      <w:r w:rsidR="0063766B">
        <w:rPr>
          <w:szCs w:val="22"/>
          <w:lang w:val="es-ES_tradnl"/>
        </w:rPr>
        <w:t>n renovarse en esa fecha o posteriormente.</w:t>
      </w:r>
    </w:p>
    <w:p w:rsidR="009179B4" w:rsidRPr="004469D7" w:rsidRDefault="009179B4" w:rsidP="00CD330E">
      <w:pPr>
        <w:autoSpaceDE w:val="0"/>
        <w:autoSpaceDN w:val="0"/>
        <w:adjustRightInd w:val="0"/>
        <w:rPr>
          <w:szCs w:val="22"/>
          <w:lang w:val="es-ES_tradnl"/>
        </w:rPr>
      </w:pPr>
    </w:p>
    <w:p w:rsidR="009179B4" w:rsidRPr="004469D7" w:rsidRDefault="0056148F" w:rsidP="008A1761">
      <w:pPr>
        <w:pStyle w:val="Heading3"/>
        <w:rPr>
          <w:lang w:val="es-ES_tradnl"/>
        </w:rPr>
      </w:pPr>
      <w:r>
        <w:rPr>
          <w:lang w:val="es-ES_tradnl"/>
        </w:rPr>
        <w:t xml:space="preserve">Modificaciones de la Regla </w:t>
      </w:r>
      <w:r w:rsidR="009179B4" w:rsidRPr="004469D7">
        <w:rPr>
          <w:lang w:val="es-ES_tradnl"/>
        </w:rPr>
        <w:t xml:space="preserve"> 31 </w:t>
      </w:r>
      <w:r>
        <w:rPr>
          <w:lang w:val="es-ES_tradnl"/>
        </w:rPr>
        <w:t>del Reglamento Común</w:t>
      </w:r>
      <w:r w:rsidR="009179B4" w:rsidRPr="004469D7">
        <w:rPr>
          <w:lang w:val="es-ES_tradnl"/>
        </w:rPr>
        <w:t xml:space="preserve">:  </w:t>
      </w:r>
      <w:r>
        <w:rPr>
          <w:lang w:val="es-ES_tradnl"/>
        </w:rPr>
        <w:t>Inscripción de la renovación</w:t>
      </w:r>
      <w:r w:rsidR="009179B4" w:rsidRPr="004469D7">
        <w:rPr>
          <w:lang w:val="es-ES_tradnl"/>
        </w:rPr>
        <w:t xml:space="preserve">; </w:t>
      </w:r>
      <w:r w:rsidR="008A1761" w:rsidRPr="004469D7">
        <w:rPr>
          <w:lang w:val="es-ES_tradnl"/>
        </w:rPr>
        <w:t xml:space="preserve"> </w:t>
      </w:r>
      <w:r>
        <w:rPr>
          <w:lang w:val="es-ES_tradnl"/>
        </w:rPr>
        <w:t xml:space="preserve">notificación y certificado </w:t>
      </w:r>
    </w:p>
    <w:p w:rsidR="009179B4" w:rsidRPr="004469D7" w:rsidRDefault="009179B4" w:rsidP="00CD330E">
      <w:pPr>
        <w:autoSpaceDE w:val="0"/>
        <w:autoSpaceDN w:val="0"/>
        <w:adjustRightInd w:val="0"/>
        <w:rPr>
          <w:szCs w:val="22"/>
          <w:lang w:val="es-ES_tradnl"/>
        </w:rPr>
      </w:pPr>
    </w:p>
    <w:p w:rsidR="0056148F" w:rsidRDefault="009179B4" w:rsidP="00CD330E">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56148F">
        <w:rPr>
          <w:szCs w:val="22"/>
          <w:lang w:val="es-ES_tradnl"/>
        </w:rPr>
        <w:t>En las modificaciones de la Regla 31 se preverá el envío de una notificación al titular y a su mandatario, si lo hubiere, cuando no se haya renovado un registro internacional o cuando no se haya renovado en relación con una Parte Contratante designada.</w:t>
      </w:r>
    </w:p>
    <w:p w:rsidR="0056148F" w:rsidRDefault="0056148F" w:rsidP="00CD330E">
      <w:pPr>
        <w:autoSpaceDE w:val="0"/>
        <w:autoSpaceDN w:val="0"/>
        <w:adjustRightInd w:val="0"/>
        <w:rPr>
          <w:szCs w:val="22"/>
          <w:lang w:val="es-ES_tradnl"/>
        </w:rPr>
      </w:pPr>
    </w:p>
    <w:p w:rsidR="0056148F" w:rsidRDefault="009179B4" w:rsidP="00CD330E">
      <w:pPr>
        <w:autoSpaceDE w:val="0"/>
        <w:autoSpaceDN w:val="0"/>
        <w:adjustRightInd w:val="0"/>
        <w:rPr>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56148F">
        <w:rPr>
          <w:szCs w:val="22"/>
          <w:lang w:val="es-ES_tradnl"/>
        </w:rPr>
        <w:t>Las modificaciones de la Regla 31 del Reglamento Común se aplicarán a los re</w:t>
      </w:r>
      <w:r w:rsidR="00EB2E88">
        <w:rPr>
          <w:szCs w:val="22"/>
          <w:lang w:val="es-ES_tradnl"/>
        </w:rPr>
        <w:t>gistros internacionales que deba</w:t>
      </w:r>
      <w:r w:rsidR="0056148F">
        <w:rPr>
          <w:szCs w:val="22"/>
          <w:lang w:val="es-ES_tradnl"/>
        </w:rPr>
        <w:t>n renovarse el 1 de enero de 2015 o después de esa fecha.</w:t>
      </w:r>
    </w:p>
    <w:p w:rsidR="008A1761" w:rsidRPr="004469D7" w:rsidRDefault="008A1761" w:rsidP="00CD330E">
      <w:pPr>
        <w:autoSpaceDE w:val="0"/>
        <w:autoSpaceDN w:val="0"/>
        <w:adjustRightInd w:val="0"/>
        <w:rPr>
          <w:szCs w:val="22"/>
          <w:lang w:val="es-ES_tradnl"/>
        </w:rPr>
      </w:pPr>
    </w:p>
    <w:p w:rsidR="008A1761" w:rsidRPr="004469D7" w:rsidRDefault="008A1761" w:rsidP="008A1761">
      <w:pPr>
        <w:pStyle w:val="Default"/>
        <w:rPr>
          <w:sz w:val="22"/>
          <w:szCs w:val="22"/>
          <w:lang w:val="es-ES_tradnl"/>
        </w:rPr>
      </w:pPr>
      <w:r w:rsidRPr="004469D7">
        <w:rPr>
          <w:szCs w:val="22"/>
          <w:lang w:val="es-ES_tradnl"/>
        </w:rPr>
        <w:fldChar w:fldCharType="begin"/>
      </w:r>
      <w:r w:rsidRPr="004469D7">
        <w:rPr>
          <w:szCs w:val="22"/>
          <w:lang w:val="es-ES_tradnl"/>
        </w:rPr>
        <w:instrText xml:space="preserve"> AUTONUM  </w:instrText>
      </w:r>
      <w:r w:rsidRPr="004469D7">
        <w:rPr>
          <w:szCs w:val="22"/>
          <w:lang w:val="es-ES_tradnl"/>
        </w:rPr>
        <w:fldChar w:fldCharType="end"/>
      </w:r>
      <w:r w:rsidRPr="004469D7">
        <w:rPr>
          <w:szCs w:val="22"/>
          <w:lang w:val="es-ES_tradnl"/>
        </w:rPr>
        <w:tab/>
      </w:r>
      <w:r w:rsidR="002715CF" w:rsidRPr="004469D7">
        <w:rPr>
          <w:sz w:val="22"/>
          <w:szCs w:val="22"/>
          <w:lang w:val="es-ES_tradnl"/>
        </w:rPr>
        <w:t xml:space="preserve">En los Anexos I y II del presente documento figura el texto modificado del Reglamento Común y la Tabla de tasas.  </w:t>
      </w:r>
    </w:p>
    <w:p w:rsidR="008A1761" w:rsidRPr="004469D7" w:rsidRDefault="008A1761" w:rsidP="00CD330E">
      <w:pPr>
        <w:autoSpaceDE w:val="0"/>
        <w:autoSpaceDN w:val="0"/>
        <w:adjustRightInd w:val="0"/>
        <w:rPr>
          <w:szCs w:val="22"/>
          <w:lang w:val="es-ES_tradnl"/>
        </w:rPr>
      </w:pPr>
    </w:p>
    <w:p w:rsidR="000E73ED" w:rsidRPr="004469D7" w:rsidRDefault="000E73ED" w:rsidP="00CD330E">
      <w:pPr>
        <w:rPr>
          <w:lang w:val="es-ES_tradnl"/>
        </w:rPr>
      </w:pPr>
    </w:p>
    <w:p w:rsidR="003C2450" w:rsidRPr="004469D7" w:rsidRDefault="003C2450" w:rsidP="00CD330E">
      <w:pPr>
        <w:rPr>
          <w:lang w:val="es-ES_tradnl"/>
        </w:rPr>
      </w:pPr>
    </w:p>
    <w:p w:rsidR="004936FC" w:rsidRPr="004469D7" w:rsidRDefault="00552147" w:rsidP="00CD330E">
      <w:pPr>
        <w:pStyle w:val="Endofdocument-Annex"/>
        <w:rPr>
          <w:lang w:val="es-ES_tradnl"/>
        </w:rPr>
      </w:pPr>
      <w:r>
        <w:rPr>
          <w:lang w:val="es-ES_tradnl"/>
        </w:rPr>
        <w:t>18</w:t>
      </w:r>
      <w:bookmarkStart w:id="1" w:name="_GoBack"/>
      <w:bookmarkEnd w:id="1"/>
      <w:r w:rsidR="002715CF" w:rsidRPr="004469D7">
        <w:rPr>
          <w:lang w:val="es-ES_tradnl"/>
        </w:rPr>
        <w:t xml:space="preserve"> de diciembre de</w:t>
      </w:r>
      <w:r w:rsidR="006F33FF" w:rsidRPr="004469D7">
        <w:rPr>
          <w:lang w:val="es-ES_tradnl"/>
        </w:rPr>
        <w:t xml:space="preserve"> 2014</w:t>
      </w:r>
    </w:p>
    <w:p w:rsidR="008A1761" w:rsidRPr="004469D7" w:rsidRDefault="008A1761" w:rsidP="00CD330E">
      <w:pPr>
        <w:pStyle w:val="Endofdocument-Annex"/>
        <w:rPr>
          <w:lang w:val="es-ES_tradnl"/>
        </w:rPr>
      </w:pPr>
    </w:p>
    <w:p w:rsidR="008A1761" w:rsidRPr="004469D7" w:rsidRDefault="008A1761" w:rsidP="00CD330E">
      <w:pPr>
        <w:pStyle w:val="Endofdocument-Annex"/>
        <w:rPr>
          <w:lang w:val="es-ES_tradnl"/>
        </w:rPr>
        <w:sectPr w:rsidR="008A1761" w:rsidRPr="004469D7" w:rsidSect="003C2450">
          <w:headerReference w:type="default" r:id="rId10"/>
          <w:endnotePr>
            <w:numFmt w:val="decimal"/>
          </w:endnotePr>
          <w:pgSz w:w="11907" w:h="16840" w:code="9"/>
          <w:pgMar w:top="567" w:right="1134" w:bottom="851" w:left="1418" w:header="510" w:footer="1021" w:gutter="0"/>
          <w:cols w:space="720"/>
          <w:titlePg/>
        </w:sectPr>
      </w:pPr>
    </w:p>
    <w:p w:rsidR="00A5004F" w:rsidRPr="004469D7" w:rsidRDefault="005208C7" w:rsidP="008A1761">
      <w:pPr>
        <w:pStyle w:val="Endofdocument-Annex"/>
        <w:ind w:left="0"/>
        <w:jc w:val="center"/>
        <w:rPr>
          <w:b/>
          <w:lang w:val="es-ES_tradnl"/>
        </w:rPr>
      </w:pPr>
      <w:r>
        <w:rPr>
          <w:b/>
          <w:lang w:val="es-ES_tradnl"/>
        </w:rPr>
        <w:t>Modificaciones p</w:t>
      </w:r>
      <w:r w:rsidR="00A5004F" w:rsidRPr="004469D7">
        <w:rPr>
          <w:b/>
          <w:lang w:val="es-ES_tradnl"/>
        </w:rPr>
        <w:t xml:space="preserve">ropuestas del </w:t>
      </w:r>
    </w:p>
    <w:p w:rsidR="00A5004F" w:rsidRPr="004469D7" w:rsidRDefault="00A5004F" w:rsidP="008A1761">
      <w:pPr>
        <w:pStyle w:val="Endofdocument-Annex"/>
        <w:ind w:left="0"/>
        <w:jc w:val="center"/>
        <w:rPr>
          <w:b/>
          <w:lang w:val="es-ES_tradnl"/>
        </w:rPr>
      </w:pPr>
      <w:r w:rsidRPr="004469D7">
        <w:rPr>
          <w:b/>
          <w:lang w:val="es-ES_tradnl"/>
        </w:rPr>
        <w:t xml:space="preserve">Reglamento Común del Arreglo de Madrid </w:t>
      </w:r>
    </w:p>
    <w:p w:rsidR="00A5004F" w:rsidRPr="004469D7" w:rsidRDefault="00A5004F" w:rsidP="008A1761">
      <w:pPr>
        <w:pStyle w:val="Endofdocument-Annex"/>
        <w:ind w:left="0"/>
        <w:jc w:val="center"/>
        <w:rPr>
          <w:b/>
          <w:lang w:val="es-ES_tradnl"/>
        </w:rPr>
      </w:pPr>
      <w:r w:rsidRPr="004469D7">
        <w:rPr>
          <w:b/>
          <w:lang w:val="es-ES_tradnl"/>
        </w:rPr>
        <w:t xml:space="preserve">relativo al Registro Internacional de Marcas </w:t>
      </w:r>
    </w:p>
    <w:p w:rsidR="008A1761" w:rsidRPr="004469D7" w:rsidRDefault="00A5004F" w:rsidP="008A1761">
      <w:pPr>
        <w:pStyle w:val="Endofdocument-Annex"/>
        <w:ind w:left="0"/>
        <w:jc w:val="center"/>
        <w:rPr>
          <w:b/>
          <w:lang w:val="es-ES_tradnl"/>
        </w:rPr>
      </w:pPr>
      <w:r w:rsidRPr="004469D7">
        <w:rPr>
          <w:b/>
          <w:lang w:val="es-ES_tradnl"/>
        </w:rPr>
        <w:t>y d</w:t>
      </w:r>
      <w:r w:rsidR="005208C7">
        <w:rPr>
          <w:b/>
          <w:lang w:val="es-ES_tradnl"/>
        </w:rPr>
        <w:t>el Protocolo c</w:t>
      </w:r>
      <w:r w:rsidRPr="004469D7">
        <w:rPr>
          <w:b/>
          <w:lang w:val="es-ES_tradnl"/>
        </w:rPr>
        <w:t>oncerniente a ese Arreglo</w:t>
      </w:r>
    </w:p>
    <w:p w:rsidR="002643BF" w:rsidRPr="004469D7" w:rsidRDefault="002643BF" w:rsidP="008A1761">
      <w:pPr>
        <w:pStyle w:val="Endofdocument-Annex"/>
        <w:ind w:left="0"/>
        <w:jc w:val="center"/>
        <w:rPr>
          <w:lang w:val="es-ES_tradnl"/>
        </w:rPr>
      </w:pPr>
    </w:p>
    <w:p w:rsidR="008A1761" w:rsidRPr="004469D7" w:rsidRDefault="008A1761" w:rsidP="008A1761">
      <w:pPr>
        <w:pStyle w:val="Endofdocument-Annex"/>
        <w:ind w:left="0"/>
        <w:jc w:val="center"/>
        <w:rPr>
          <w:lang w:val="es-ES_tradnl"/>
        </w:rPr>
      </w:pPr>
      <w:r w:rsidRPr="004469D7">
        <w:rPr>
          <w:lang w:val="es-ES_tradnl"/>
        </w:rPr>
        <w:t>(</w:t>
      </w:r>
      <w:r w:rsidR="002643BF" w:rsidRPr="004469D7">
        <w:rPr>
          <w:lang w:val="es-ES_tradnl"/>
        </w:rPr>
        <w:t>en vigor el 1 de enero de</w:t>
      </w:r>
      <w:r w:rsidRPr="004469D7">
        <w:rPr>
          <w:lang w:val="es-ES_tradnl"/>
        </w:rPr>
        <w:t xml:space="preserve"> 2015)</w:t>
      </w:r>
    </w:p>
    <w:p w:rsidR="008A1761" w:rsidRPr="004469D7" w:rsidRDefault="008A1761" w:rsidP="008A1761">
      <w:pPr>
        <w:pStyle w:val="Endofdocument-Annex"/>
        <w:ind w:left="0"/>
        <w:jc w:val="center"/>
        <w:rPr>
          <w:lang w:val="es-ES_tradnl"/>
        </w:rPr>
      </w:pPr>
    </w:p>
    <w:p w:rsidR="008A1761" w:rsidRPr="004469D7" w:rsidRDefault="008A1761" w:rsidP="008A1761">
      <w:pPr>
        <w:rPr>
          <w:lang w:val="es-ES_tradnl"/>
        </w:rPr>
      </w:pPr>
      <w:r w:rsidRPr="004469D7">
        <w:rPr>
          <w:lang w:val="es-ES_tradnl"/>
        </w:rPr>
        <w:t>[…]</w:t>
      </w:r>
    </w:p>
    <w:p w:rsidR="008A1761" w:rsidRPr="004469D7" w:rsidRDefault="008A1761" w:rsidP="008A1761">
      <w:pPr>
        <w:pStyle w:val="Endofdocument-Annex"/>
        <w:ind w:left="0"/>
        <w:rPr>
          <w:lang w:val="es-ES_tradnl"/>
        </w:rPr>
      </w:pPr>
    </w:p>
    <w:p w:rsidR="008A1761" w:rsidRPr="004469D7" w:rsidRDefault="008A1761" w:rsidP="008A1761">
      <w:pPr>
        <w:pStyle w:val="Endofdocument-Annex"/>
        <w:ind w:left="0"/>
        <w:rPr>
          <w:lang w:val="es-ES_tradnl"/>
        </w:rPr>
      </w:pPr>
    </w:p>
    <w:p w:rsidR="002643BF" w:rsidRPr="004469D7" w:rsidRDefault="002643BF" w:rsidP="002643BF">
      <w:pPr>
        <w:jc w:val="center"/>
        <w:rPr>
          <w:b/>
          <w:lang w:val="es-ES_tradnl"/>
        </w:rPr>
      </w:pPr>
      <w:r w:rsidRPr="004469D7">
        <w:rPr>
          <w:b/>
          <w:lang w:val="es-ES_tradnl"/>
        </w:rPr>
        <w:t>Capítulo 1</w:t>
      </w:r>
    </w:p>
    <w:p w:rsidR="002643BF" w:rsidRPr="004469D7" w:rsidRDefault="002643BF" w:rsidP="002643BF">
      <w:pPr>
        <w:jc w:val="center"/>
        <w:rPr>
          <w:lang w:val="es-ES_tradnl"/>
        </w:rPr>
      </w:pPr>
      <w:r w:rsidRPr="004469D7">
        <w:rPr>
          <w:b/>
          <w:lang w:val="es-ES_tradnl"/>
        </w:rPr>
        <w:t>Disposiciones generales</w:t>
      </w:r>
    </w:p>
    <w:p w:rsidR="002643BF" w:rsidRPr="004469D7" w:rsidRDefault="002643BF" w:rsidP="002643BF">
      <w:pPr>
        <w:jc w:val="center"/>
        <w:rPr>
          <w:lang w:val="es-ES_tradnl"/>
        </w:rPr>
      </w:pPr>
    </w:p>
    <w:p w:rsidR="002643BF" w:rsidRPr="004469D7" w:rsidRDefault="002643BF" w:rsidP="002643BF">
      <w:pPr>
        <w:rPr>
          <w:lang w:val="es-ES_tradnl"/>
        </w:rPr>
      </w:pPr>
      <w:r w:rsidRPr="004469D7">
        <w:rPr>
          <w:lang w:val="es-ES_tradnl"/>
        </w:rPr>
        <w:tab/>
        <w:t>[…]</w:t>
      </w:r>
    </w:p>
    <w:p w:rsidR="002643BF" w:rsidRPr="004469D7" w:rsidRDefault="002643BF" w:rsidP="002643BF">
      <w:pPr>
        <w:rPr>
          <w:lang w:val="es-ES_tradnl"/>
        </w:rPr>
      </w:pPr>
    </w:p>
    <w:p w:rsidR="002643BF" w:rsidRPr="004469D7" w:rsidRDefault="002643BF" w:rsidP="002643BF">
      <w:pPr>
        <w:rPr>
          <w:lang w:val="es-ES_tradnl"/>
        </w:rPr>
      </w:pPr>
    </w:p>
    <w:p w:rsidR="005B09B2" w:rsidRPr="00F0206E" w:rsidRDefault="005B09B2" w:rsidP="005B09B2">
      <w:pPr>
        <w:tabs>
          <w:tab w:val="left" w:pos="567"/>
          <w:tab w:val="left" w:pos="1134"/>
          <w:tab w:val="left" w:pos="1701"/>
          <w:tab w:val="left" w:pos="2268"/>
        </w:tabs>
        <w:jc w:val="center"/>
        <w:rPr>
          <w:i/>
          <w:lang w:val="es-ES_tradnl"/>
        </w:rPr>
      </w:pPr>
      <w:bookmarkStart w:id="3" w:name="P174_27412"/>
      <w:bookmarkStart w:id="4" w:name="P177_27909"/>
      <w:bookmarkEnd w:id="3"/>
      <w:bookmarkEnd w:id="4"/>
      <w:r w:rsidRPr="00F0206E">
        <w:rPr>
          <w:i/>
          <w:lang w:val="es-ES_tradnl"/>
        </w:rPr>
        <w:t>Regla 5bis</w:t>
      </w:r>
    </w:p>
    <w:p w:rsidR="005B09B2" w:rsidRPr="00F0206E" w:rsidRDefault="005B09B2" w:rsidP="005B09B2">
      <w:pPr>
        <w:tabs>
          <w:tab w:val="left" w:pos="567"/>
          <w:tab w:val="left" w:pos="1134"/>
          <w:tab w:val="left" w:pos="1701"/>
          <w:tab w:val="left" w:pos="2268"/>
        </w:tabs>
        <w:jc w:val="center"/>
        <w:rPr>
          <w:i/>
          <w:lang w:val="es-ES_tradnl"/>
        </w:rPr>
      </w:pPr>
      <w:r w:rsidRPr="00F0206E">
        <w:rPr>
          <w:i/>
          <w:lang w:val="es-ES_tradnl"/>
        </w:rPr>
        <w:t>Continuación de la tramitación</w:t>
      </w:r>
    </w:p>
    <w:p w:rsidR="005B09B2" w:rsidRPr="00973E7A" w:rsidRDefault="005B09B2" w:rsidP="005B09B2">
      <w:pPr>
        <w:tabs>
          <w:tab w:val="left" w:pos="567"/>
          <w:tab w:val="left" w:pos="1134"/>
          <w:tab w:val="left" w:pos="1701"/>
          <w:tab w:val="left" w:pos="2268"/>
        </w:tabs>
        <w:rPr>
          <w:lang w:val="es-ES_tradnl"/>
        </w:rPr>
      </w:pPr>
    </w:p>
    <w:p w:rsidR="005B09B2" w:rsidRPr="00973E7A" w:rsidRDefault="005B09B2" w:rsidP="005B09B2">
      <w:pPr>
        <w:tabs>
          <w:tab w:val="left" w:pos="567"/>
          <w:tab w:val="left" w:pos="1134"/>
          <w:tab w:val="left" w:pos="1701"/>
          <w:tab w:val="left" w:pos="2268"/>
        </w:tabs>
        <w:rPr>
          <w:lang w:val="es-ES_tradnl"/>
        </w:rPr>
      </w:pPr>
      <w:r w:rsidRPr="00973E7A">
        <w:rPr>
          <w:lang w:val="es-ES_tradnl"/>
        </w:rPr>
        <w:tab/>
        <w:t>1)</w:t>
      </w:r>
      <w:r w:rsidRPr="00973E7A">
        <w:rPr>
          <w:lang w:val="es-ES_tradnl"/>
        </w:rPr>
        <w:tab/>
      </w:r>
      <w:r w:rsidRPr="00D316BD">
        <w:rPr>
          <w:i/>
          <w:lang w:val="es-ES_tradnl"/>
        </w:rPr>
        <w:t>[Petición]</w:t>
      </w:r>
      <w:r>
        <w:rPr>
          <w:lang w:val="es-ES_tradnl"/>
        </w:rPr>
        <w:t>  a)  </w:t>
      </w:r>
      <w:r w:rsidRPr="00973E7A">
        <w:rPr>
          <w:lang w:val="es-ES_tradnl"/>
        </w:rPr>
        <w:t xml:space="preserve">Cuando un solicitante o un titular no haya cumplido </w:t>
      </w:r>
      <w:r>
        <w:rPr>
          <w:lang w:val="es-ES_tradnl"/>
        </w:rPr>
        <w:t xml:space="preserve">cualquiera de los </w:t>
      </w:r>
      <w:r w:rsidRPr="00973E7A">
        <w:rPr>
          <w:lang w:val="es-ES_tradnl"/>
        </w:rPr>
        <w:t>plazo</w:t>
      </w:r>
      <w:r>
        <w:rPr>
          <w:lang w:val="es-ES_tradnl"/>
        </w:rPr>
        <w:t>s especificados o a los que se refieren</w:t>
      </w:r>
      <w:r w:rsidRPr="00973E7A">
        <w:rPr>
          <w:lang w:val="es-ES_tradnl"/>
        </w:rPr>
        <w:t xml:space="preserve"> las Reglas 11.2) y 11.3), 20</w:t>
      </w:r>
      <w:r w:rsidRPr="00F0206E">
        <w:rPr>
          <w:i/>
          <w:lang w:val="es-ES_tradnl"/>
        </w:rPr>
        <w:t>bis</w:t>
      </w:r>
      <w:r w:rsidRPr="00973E7A">
        <w:rPr>
          <w:lang w:val="es-ES_tradnl"/>
        </w:rPr>
        <w:t>.2), 24.5)b), 26.2)</w:t>
      </w:r>
      <w:r>
        <w:rPr>
          <w:lang w:val="es-ES_tradnl"/>
        </w:rPr>
        <w:t>, 34.3)c)iii) y 39.1)</w:t>
      </w:r>
      <w:r w:rsidRPr="00973E7A">
        <w:rPr>
          <w:lang w:val="es-ES_tradnl"/>
        </w:rPr>
        <w:t>, la Oficina Internacional continuará</w:t>
      </w:r>
      <w:r>
        <w:rPr>
          <w:lang w:val="es-ES_tradnl"/>
        </w:rPr>
        <w:t xml:space="preserve">, no obstante, </w:t>
      </w:r>
      <w:r w:rsidRPr="00973E7A">
        <w:rPr>
          <w:lang w:val="es-ES_tradnl"/>
        </w:rPr>
        <w:t xml:space="preserve">la tramitación </w:t>
      </w:r>
      <w:r>
        <w:rPr>
          <w:lang w:val="es-ES_tradnl"/>
        </w:rPr>
        <w:t xml:space="preserve">de </w:t>
      </w:r>
      <w:r w:rsidRPr="00973E7A">
        <w:rPr>
          <w:lang w:val="es-ES_tradnl"/>
        </w:rPr>
        <w:t xml:space="preserve">la solicitud </w:t>
      </w:r>
      <w:r>
        <w:rPr>
          <w:lang w:val="es-ES_tradnl"/>
        </w:rPr>
        <w:t xml:space="preserve">internacional, la designación posterior, el pago o la petición </w:t>
      </w:r>
      <w:r w:rsidRPr="00973E7A">
        <w:rPr>
          <w:lang w:val="es-ES_tradnl"/>
        </w:rPr>
        <w:t>en cuestión, si:</w:t>
      </w:r>
      <w:r>
        <w:rPr>
          <w:lang w:val="es-ES_tradnl"/>
        </w:rPr>
        <w:t xml:space="preserve">  </w:t>
      </w:r>
    </w:p>
    <w:p w:rsidR="005B09B2" w:rsidRPr="00973E7A" w:rsidRDefault="005B09B2" w:rsidP="005B09B2">
      <w:pPr>
        <w:tabs>
          <w:tab w:val="left" w:pos="567"/>
          <w:tab w:val="left" w:pos="1134"/>
          <w:tab w:val="left" w:pos="1701"/>
          <w:tab w:val="left" w:pos="2268"/>
        </w:tabs>
        <w:rPr>
          <w:lang w:val="es-ES_tradnl"/>
        </w:rPr>
      </w:pPr>
      <w:r>
        <w:rPr>
          <w:lang w:val="es-ES_tradnl"/>
        </w:rPr>
        <w:tab/>
      </w:r>
      <w:r>
        <w:rPr>
          <w:lang w:val="es-ES_tradnl"/>
        </w:rPr>
        <w:tab/>
      </w:r>
      <w:r>
        <w:rPr>
          <w:lang w:val="es-ES_tradnl"/>
        </w:rPr>
        <w:tab/>
        <w:t>i</w:t>
      </w:r>
      <w:r w:rsidRPr="00973E7A">
        <w:rPr>
          <w:lang w:val="es-ES_tradnl"/>
        </w:rPr>
        <w:t>)</w:t>
      </w:r>
      <w:r w:rsidRPr="00973E7A">
        <w:rPr>
          <w:lang w:val="es-ES_tradnl"/>
        </w:rPr>
        <w:tab/>
        <w:t xml:space="preserve">se </w:t>
      </w:r>
      <w:r>
        <w:rPr>
          <w:lang w:val="es-ES_tradnl"/>
        </w:rPr>
        <w:t xml:space="preserve">presenta </w:t>
      </w:r>
      <w:r w:rsidRPr="00AA7592">
        <w:rPr>
          <w:lang w:val="es-ES_tradnl"/>
        </w:rPr>
        <w:t xml:space="preserve">a la Oficina Internacional </w:t>
      </w:r>
      <w:r w:rsidRPr="00973E7A">
        <w:rPr>
          <w:lang w:val="es-ES_tradnl"/>
        </w:rPr>
        <w:t>una petición a tal efecto</w:t>
      </w:r>
      <w:r>
        <w:rPr>
          <w:lang w:val="es-ES_tradnl"/>
        </w:rPr>
        <w:t>,</w:t>
      </w:r>
      <w:r w:rsidRPr="00973E7A">
        <w:rPr>
          <w:lang w:val="es-ES_tradnl"/>
        </w:rPr>
        <w:t xml:space="preserve"> en </w:t>
      </w:r>
      <w:r>
        <w:rPr>
          <w:lang w:val="es-ES_tradnl"/>
        </w:rPr>
        <w:t>el</w:t>
      </w:r>
      <w:r w:rsidRPr="00973E7A">
        <w:rPr>
          <w:lang w:val="es-ES_tradnl"/>
        </w:rPr>
        <w:t xml:space="preserve"> formulario oficial firmado por el solicitante o el titular; </w:t>
      </w:r>
      <w:r>
        <w:rPr>
          <w:lang w:val="es-ES_tradnl"/>
        </w:rPr>
        <w:t xml:space="preserve"> y,</w:t>
      </w:r>
      <w:r w:rsidRPr="00973E7A">
        <w:rPr>
          <w:lang w:val="es-ES_tradnl"/>
        </w:rPr>
        <w:t xml:space="preserve"> </w:t>
      </w:r>
    </w:p>
    <w:p w:rsidR="005B09B2" w:rsidRPr="00973E7A" w:rsidRDefault="005B09B2" w:rsidP="005B09B2">
      <w:pPr>
        <w:tabs>
          <w:tab w:val="left" w:pos="567"/>
          <w:tab w:val="left" w:pos="1134"/>
          <w:tab w:val="left" w:pos="1701"/>
          <w:tab w:val="left" w:pos="2268"/>
        </w:tabs>
        <w:rPr>
          <w:lang w:val="es-ES_tradnl"/>
        </w:rPr>
      </w:pPr>
      <w:r>
        <w:rPr>
          <w:lang w:val="es-ES_tradnl"/>
        </w:rPr>
        <w:tab/>
      </w:r>
      <w:r>
        <w:rPr>
          <w:lang w:val="es-ES_tradnl"/>
        </w:rPr>
        <w:tab/>
      </w:r>
      <w:r>
        <w:rPr>
          <w:lang w:val="es-ES_tradnl"/>
        </w:rPr>
        <w:tab/>
        <w:t>ii</w:t>
      </w:r>
      <w:r w:rsidRPr="00973E7A">
        <w:rPr>
          <w:lang w:val="es-ES_tradnl"/>
        </w:rPr>
        <w:t>)</w:t>
      </w:r>
      <w:r w:rsidRPr="00973E7A">
        <w:rPr>
          <w:lang w:val="es-ES_tradnl"/>
        </w:rPr>
        <w:tab/>
      </w:r>
      <w:r>
        <w:rPr>
          <w:lang w:val="es-ES_tradnl"/>
        </w:rPr>
        <w:t xml:space="preserve">se recibe </w:t>
      </w:r>
      <w:r w:rsidRPr="00973E7A">
        <w:rPr>
          <w:lang w:val="es-ES_tradnl"/>
        </w:rPr>
        <w:t xml:space="preserve">la petición, se paga la tasa </w:t>
      </w:r>
      <w:r>
        <w:rPr>
          <w:lang w:val="es-ES_tradnl"/>
        </w:rPr>
        <w:t>especificada</w:t>
      </w:r>
      <w:r w:rsidRPr="00973E7A">
        <w:rPr>
          <w:lang w:val="es-ES_tradnl"/>
        </w:rPr>
        <w:t xml:space="preserve"> en la Tabla de </w:t>
      </w:r>
      <w:r>
        <w:rPr>
          <w:lang w:val="es-ES_tradnl"/>
        </w:rPr>
        <w:t>t</w:t>
      </w:r>
      <w:r w:rsidRPr="00973E7A">
        <w:rPr>
          <w:lang w:val="es-ES_tradnl"/>
        </w:rPr>
        <w:t>asas y</w:t>
      </w:r>
      <w:r>
        <w:rPr>
          <w:lang w:val="es-ES_tradnl"/>
        </w:rPr>
        <w:t>,</w:t>
      </w:r>
      <w:r w:rsidRPr="00973E7A">
        <w:rPr>
          <w:lang w:val="es-ES_tradnl"/>
        </w:rPr>
        <w:t xml:space="preserve"> junto con la petición</w:t>
      </w:r>
      <w:r>
        <w:rPr>
          <w:lang w:val="es-ES_tradnl"/>
        </w:rPr>
        <w:t>,</w:t>
      </w:r>
      <w:r w:rsidRPr="00973E7A">
        <w:rPr>
          <w:lang w:val="es-ES_tradnl"/>
        </w:rPr>
        <w:t xml:space="preserve"> se cumplen todos los requisitos </w:t>
      </w:r>
      <w:r>
        <w:rPr>
          <w:lang w:val="es-ES_tradnl"/>
        </w:rPr>
        <w:t xml:space="preserve">a los que </w:t>
      </w:r>
      <w:r w:rsidRPr="00973E7A">
        <w:rPr>
          <w:lang w:val="es-ES_tradnl"/>
        </w:rPr>
        <w:t>se aplicaba el plazo para esa actuación, dentro d</w:t>
      </w:r>
      <w:r>
        <w:rPr>
          <w:lang w:val="es-ES_tradnl"/>
        </w:rPr>
        <w:t>el plazo de dos meses a partir de</w:t>
      </w:r>
      <w:r w:rsidRPr="00973E7A">
        <w:rPr>
          <w:lang w:val="es-ES_tradnl"/>
        </w:rPr>
        <w:t xml:space="preserve"> la fecha de expiración del plazo en cuestión.  </w:t>
      </w:r>
    </w:p>
    <w:p w:rsidR="005B09B2" w:rsidRPr="00973E7A" w:rsidRDefault="005B09B2" w:rsidP="005B09B2">
      <w:pPr>
        <w:tabs>
          <w:tab w:val="left" w:pos="567"/>
          <w:tab w:val="left" w:pos="1134"/>
          <w:tab w:val="left" w:pos="1701"/>
          <w:tab w:val="left" w:pos="2268"/>
        </w:tabs>
        <w:rPr>
          <w:lang w:val="es-ES_tradnl"/>
        </w:rPr>
      </w:pPr>
      <w:r>
        <w:rPr>
          <w:lang w:val="es-ES_tradnl"/>
        </w:rPr>
        <w:tab/>
      </w:r>
      <w:r>
        <w:rPr>
          <w:lang w:val="es-ES_tradnl"/>
        </w:rPr>
        <w:tab/>
        <w:t>b</w:t>
      </w:r>
      <w:r w:rsidRPr="00973E7A">
        <w:rPr>
          <w:lang w:val="es-ES_tradnl"/>
        </w:rPr>
        <w:t>)</w:t>
      </w:r>
      <w:r w:rsidRPr="00973E7A">
        <w:rPr>
          <w:lang w:val="es-ES_tradnl"/>
        </w:rPr>
        <w:tab/>
      </w:r>
      <w:r>
        <w:rPr>
          <w:lang w:val="es-ES_tradnl"/>
        </w:rPr>
        <w:t>Toda</w:t>
      </w:r>
      <w:r w:rsidRPr="00973E7A">
        <w:rPr>
          <w:lang w:val="es-ES_tradnl"/>
        </w:rPr>
        <w:t xml:space="preserve"> petición que no cumpla con los </w:t>
      </w:r>
      <w:r>
        <w:rPr>
          <w:lang w:val="es-ES_tradnl"/>
        </w:rPr>
        <w:t xml:space="preserve">puntos i) y ii) del </w:t>
      </w:r>
      <w:r w:rsidRPr="00973E7A">
        <w:rPr>
          <w:lang w:val="es-ES_tradnl"/>
        </w:rPr>
        <w:t xml:space="preserve">apartado a) no se considerará </w:t>
      </w:r>
      <w:r>
        <w:rPr>
          <w:lang w:val="es-ES_tradnl"/>
        </w:rPr>
        <w:t>como tal y se notificará al solicitante o al titular a tal efecto</w:t>
      </w:r>
      <w:r w:rsidRPr="00973E7A">
        <w:rPr>
          <w:lang w:val="es-ES_tradnl"/>
        </w:rPr>
        <w:t xml:space="preserve">.  </w:t>
      </w:r>
    </w:p>
    <w:p w:rsidR="005B09B2" w:rsidRPr="00973E7A" w:rsidRDefault="005B09B2" w:rsidP="005B09B2">
      <w:pPr>
        <w:tabs>
          <w:tab w:val="left" w:pos="567"/>
          <w:tab w:val="left" w:pos="1134"/>
          <w:tab w:val="left" w:pos="1701"/>
          <w:tab w:val="left" w:pos="2268"/>
        </w:tabs>
        <w:rPr>
          <w:lang w:val="es-ES_tradnl"/>
        </w:rPr>
      </w:pPr>
    </w:p>
    <w:p w:rsidR="005B09B2" w:rsidRPr="00973E7A" w:rsidRDefault="005B09B2" w:rsidP="005B09B2">
      <w:pPr>
        <w:tabs>
          <w:tab w:val="left" w:pos="567"/>
          <w:tab w:val="left" w:pos="1134"/>
          <w:tab w:val="left" w:pos="1701"/>
          <w:tab w:val="left" w:pos="2268"/>
        </w:tabs>
        <w:rPr>
          <w:lang w:val="es-ES_tradnl"/>
        </w:rPr>
      </w:pPr>
      <w:r>
        <w:rPr>
          <w:lang w:val="es-ES_tradnl"/>
        </w:rPr>
        <w:tab/>
        <w:t>2</w:t>
      </w:r>
      <w:r w:rsidRPr="00973E7A">
        <w:rPr>
          <w:lang w:val="es-ES_tradnl"/>
        </w:rPr>
        <w:t>)</w:t>
      </w:r>
      <w:r w:rsidRPr="00973E7A">
        <w:rPr>
          <w:lang w:val="es-ES_tradnl"/>
        </w:rPr>
        <w:tab/>
      </w:r>
      <w:r w:rsidRPr="00F0206E">
        <w:rPr>
          <w:i/>
          <w:lang w:val="es-ES_tradnl"/>
        </w:rPr>
        <w:t>[Inscripción y notificación]</w:t>
      </w:r>
      <w:r>
        <w:rPr>
          <w:lang w:val="es-ES_tradnl"/>
        </w:rPr>
        <w:t>  </w:t>
      </w:r>
      <w:r w:rsidRPr="00973E7A">
        <w:rPr>
          <w:lang w:val="es-ES_tradnl"/>
        </w:rPr>
        <w:t xml:space="preserve">La Oficina Internacional inscribirá </w:t>
      </w:r>
      <w:r>
        <w:rPr>
          <w:lang w:val="es-ES_tradnl"/>
        </w:rPr>
        <w:t xml:space="preserve">en el Registro Internacional </w:t>
      </w:r>
      <w:r w:rsidRPr="00973E7A">
        <w:rPr>
          <w:lang w:val="es-ES_tradnl"/>
        </w:rPr>
        <w:t xml:space="preserve">toda </w:t>
      </w:r>
      <w:r w:rsidRPr="00FD7648">
        <w:rPr>
          <w:lang w:val="es-ES_tradnl"/>
        </w:rPr>
        <w:t>continuación de la tramitación y lo notificará al</w:t>
      </w:r>
      <w:r>
        <w:rPr>
          <w:lang w:val="es-ES_tradnl"/>
        </w:rPr>
        <w:t xml:space="preserve"> solicitante o</w:t>
      </w:r>
      <w:r w:rsidRPr="00FD7648">
        <w:rPr>
          <w:lang w:val="es-ES_tradnl"/>
        </w:rPr>
        <w:t xml:space="preserve"> </w:t>
      </w:r>
      <w:r>
        <w:rPr>
          <w:lang w:val="es-ES_tradnl"/>
        </w:rPr>
        <w:t xml:space="preserve">al </w:t>
      </w:r>
      <w:r w:rsidRPr="00FD7648">
        <w:rPr>
          <w:lang w:val="es-ES_tradnl"/>
        </w:rPr>
        <w:t>titular.</w:t>
      </w:r>
      <w:r>
        <w:rPr>
          <w:lang w:val="es-ES_tradnl"/>
        </w:rPr>
        <w:t xml:space="preserve">  </w:t>
      </w:r>
    </w:p>
    <w:p w:rsidR="002643BF" w:rsidRPr="004469D7" w:rsidRDefault="002643BF" w:rsidP="002643BF">
      <w:pPr>
        <w:ind w:firstLine="567"/>
        <w:rPr>
          <w:iCs/>
          <w:lang w:val="es-ES_tradnl"/>
        </w:rPr>
      </w:pPr>
    </w:p>
    <w:p w:rsidR="002643BF" w:rsidRPr="004469D7" w:rsidRDefault="002643BF" w:rsidP="002643BF">
      <w:pPr>
        <w:ind w:firstLine="567"/>
        <w:rPr>
          <w:iCs/>
          <w:lang w:val="es-ES_tradnl"/>
        </w:rPr>
      </w:pPr>
    </w:p>
    <w:p w:rsidR="002643BF" w:rsidRPr="004469D7" w:rsidRDefault="002643BF" w:rsidP="002643BF">
      <w:pPr>
        <w:ind w:firstLine="567"/>
        <w:rPr>
          <w:iCs/>
          <w:lang w:val="es-ES_tradnl"/>
        </w:rPr>
      </w:pPr>
    </w:p>
    <w:p w:rsidR="002643BF" w:rsidRPr="004469D7" w:rsidRDefault="002643BF" w:rsidP="002643BF">
      <w:pPr>
        <w:jc w:val="center"/>
        <w:rPr>
          <w:b/>
          <w:szCs w:val="30"/>
          <w:lang w:val="es-ES_tradnl"/>
        </w:rPr>
      </w:pPr>
      <w:r w:rsidRPr="004469D7">
        <w:rPr>
          <w:b/>
          <w:szCs w:val="30"/>
          <w:lang w:val="es-ES_tradnl"/>
        </w:rPr>
        <w:t>Capítulo 4</w:t>
      </w:r>
    </w:p>
    <w:p w:rsidR="002643BF" w:rsidRPr="004469D7" w:rsidRDefault="002643BF" w:rsidP="002643BF">
      <w:pPr>
        <w:jc w:val="center"/>
        <w:rPr>
          <w:b/>
          <w:szCs w:val="30"/>
          <w:lang w:val="es-ES_tradnl"/>
        </w:rPr>
      </w:pPr>
      <w:r w:rsidRPr="004469D7">
        <w:rPr>
          <w:b/>
          <w:szCs w:val="30"/>
          <w:lang w:val="es-ES_tradnl"/>
        </w:rPr>
        <w:t xml:space="preserve">Hechos ocurridos en las Partes Contratantes </w:t>
      </w:r>
      <w:r w:rsidRPr="004469D7">
        <w:rPr>
          <w:b/>
          <w:szCs w:val="30"/>
          <w:lang w:val="es-ES_tradnl"/>
        </w:rPr>
        <w:br/>
        <w:t>que afectan a los registros internacionales</w:t>
      </w:r>
    </w:p>
    <w:p w:rsidR="002643BF" w:rsidRPr="004469D7" w:rsidRDefault="002643BF" w:rsidP="002643BF">
      <w:pPr>
        <w:rPr>
          <w:lang w:val="es-ES_tradnl"/>
        </w:rPr>
      </w:pPr>
    </w:p>
    <w:p w:rsidR="002643BF" w:rsidRPr="004469D7" w:rsidRDefault="002643BF" w:rsidP="002643BF">
      <w:pPr>
        <w:rPr>
          <w:lang w:val="es-ES_tradnl"/>
        </w:rPr>
      </w:pPr>
      <w:r w:rsidRPr="004469D7">
        <w:rPr>
          <w:lang w:val="es-ES_tradnl"/>
        </w:rPr>
        <w:tab/>
        <w:t>[…]</w:t>
      </w:r>
    </w:p>
    <w:p w:rsidR="002643BF" w:rsidRPr="004469D7" w:rsidRDefault="002643BF" w:rsidP="002643BF">
      <w:pPr>
        <w:jc w:val="center"/>
        <w:rPr>
          <w:b/>
          <w:szCs w:val="30"/>
          <w:lang w:val="es-ES_tradnl"/>
        </w:rPr>
      </w:pPr>
    </w:p>
    <w:p w:rsidR="002643BF" w:rsidRPr="004469D7" w:rsidRDefault="002643BF" w:rsidP="002643BF">
      <w:pPr>
        <w:jc w:val="center"/>
        <w:rPr>
          <w:b/>
          <w:szCs w:val="30"/>
          <w:lang w:val="es-ES_tradnl"/>
        </w:rPr>
      </w:pPr>
    </w:p>
    <w:p w:rsidR="005B09B2" w:rsidRPr="00754465" w:rsidRDefault="005B09B2" w:rsidP="005B09B2">
      <w:pPr>
        <w:jc w:val="center"/>
        <w:rPr>
          <w:i/>
          <w:szCs w:val="30"/>
          <w:lang w:val="es-ES"/>
        </w:rPr>
      </w:pPr>
      <w:r w:rsidRPr="00754465">
        <w:rPr>
          <w:i/>
          <w:szCs w:val="30"/>
          <w:lang w:val="es-ES_tradnl"/>
        </w:rPr>
        <w:t>Regla 20</w:t>
      </w:r>
      <w:r w:rsidRPr="00426754">
        <w:rPr>
          <w:i/>
          <w:szCs w:val="30"/>
          <w:lang w:val="es-ES_tradnl"/>
        </w:rPr>
        <w:t>bis</w:t>
      </w:r>
    </w:p>
    <w:p w:rsidR="005B09B2" w:rsidRPr="00754465" w:rsidRDefault="005B09B2" w:rsidP="005B09B2">
      <w:pPr>
        <w:jc w:val="center"/>
        <w:rPr>
          <w:i/>
          <w:szCs w:val="30"/>
          <w:lang w:val="es-ES"/>
        </w:rPr>
      </w:pPr>
      <w:r w:rsidRPr="00754465">
        <w:rPr>
          <w:i/>
          <w:szCs w:val="30"/>
          <w:lang w:val="es-ES_tradnl"/>
        </w:rPr>
        <w:t>Licencias</w:t>
      </w:r>
    </w:p>
    <w:p w:rsidR="005B09B2" w:rsidRPr="00754465" w:rsidRDefault="005B09B2" w:rsidP="005B09B2">
      <w:pPr>
        <w:jc w:val="center"/>
        <w:rPr>
          <w:b/>
          <w:szCs w:val="30"/>
          <w:lang w:val="es-ES"/>
        </w:rPr>
      </w:pPr>
    </w:p>
    <w:p w:rsidR="005B09B2" w:rsidRPr="00754465" w:rsidRDefault="005B09B2" w:rsidP="005B09B2">
      <w:pPr>
        <w:rPr>
          <w:szCs w:val="30"/>
          <w:lang w:val="es-ES"/>
        </w:rPr>
      </w:pPr>
    </w:p>
    <w:p w:rsidR="005B09B2" w:rsidRPr="00754465" w:rsidRDefault="005B09B2" w:rsidP="005B09B2">
      <w:pPr>
        <w:rPr>
          <w:lang w:val="es-ES"/>
        </w:rPr>
      </w:pPr>
      <w:r w:rsidRPr="00754465">
        <w:rPr>
          <w:lang w:val="es-ES"/>
        </w:rPr>
        <w:tab/>
        <w:t>[…]</w:t>
      </w:r>
    </w:p>
    <w:p w:rsidR="005B09B2" w:rsidRPr="00754465" w:rsidRDefault="005B09B2" w:rsidP="005B09B2">
      <w:pPr>
        <w:jc w:val="center"/>
        <w:rPr>
          <w:b/>
          <w:szCs w:val="30"/>
          <w:lang w:val="es-ES"/>
        </w:rPr>
      </w:pPr>
    </w:p>
    <w:p w:rsidR="005B09B2" w:rsidRPr="00754465" w:rsidRDefault="005B09B2" w:rsidP="005B09B2">
      <w:pPr>
        <w:rPr>
          <w:i/>
          <w:lang w:val="es-ES"/>
        </w:rPr>
      </w:pPr>
      <w:r w:rsidRPr="00754465">
        <w:rPr>
          <w:szCs w:val="30"/>
          <w:lang w:val="es-ES"/>
        </w:rPr>
        <w:tab/>
        <w:t>3)</w:t>
      </w:r>
      <w:r w:rsidRPr="00754465">
        <w:rPr>
          <w:szCs w:val="30"/>
          <w:lang w:val="es-ES"/>
        </w:rPr>
        <w:tab/>
      </w:r>
      <w:r w:rsidRPr="00754465">
        <w:rPr>
          <w:i/>
          <w:szCs w:val="30"/>
          <w:lang w:val="es-ES"/>
        </w:rPr>
        <w:t>[</w:t>
      </w:r>
      <w:r w:rsidRPr="00754465">
        <w:rPr>
          <w:i/>
          <w:szCs w:val="30"/>
          <w:lang w:val="es-ES_tradnl"/>
        </w:rPr>
        <w:t>Inscripción y notificación]</w:t>
      </w:r>
      <w:r>
        <w:rPr>
          <w:i/>
          <w:szCs w:val="30"/>
          <w:lang w:val="es-ES_tradnl"/>
        </w:rPr>
        <w:t>  </w:t>
      </w:r>
    </w:p>
    <w:p w:rsidR="005B09B2" w:rsidRPr="00754465" w:rsidRDefault="005B09B2" w:rsidP="005B09B2">
      <w:pPr>
        <w:rPr>
          <w:lang w:val="es-ES_tradnl"/>
        </w:rPr>
      </w:pPr>
      <w:r w:rsidRPr="00754465">
        <w:rPr>
          <w:lang w:val="es-ES"/>
        </w:rPr>
        <w:tab/>
      </w:r>
      <w:r w:rsidRPr="00754465">
        <w:rPr>
          <w:lang w:val="es-ES"/>
        </w:rPr>
        <w:tab/>
      </w:r>
      <w:r w:rsidRPr="00754465">
        <w:rPr>
          <w:lang w:val="es-ES_tradnl"/>
        </w:rPr>
        <w:t>[…]</w:t>
      </w:r>
    </w:p>
    <w:p w:rsidR="005B09B2" w:rsidRPr="00754465" w:rsidRDefault="005B09B2" w:rsidP="005B09B2">
      <w:pPr>
        <w:rPr>
          <w:iCs/>
          <w:lang w:val="es-ES_tradnl"/>
        </w:rPr>
      </w:pPr>
      <w:r w:rsidRPr="00754465">
        <w:rPr>
          <w:lang w:val="es-ES_tradnl"/>
        </w:rPr>
        <w:tab/>
      </w:r>
      <w:r w:rsidRPr="00754465">
        <w:rPr>
          <w:lang w:val="es-ES_tradnl"/>
        </w:rPr>
        <w:tab/>
        <w:t>c)</w:t>
      </w:r>
      <w:r w:rsidRPr="00754465">
        <w:rPr>
          <w:iCs/>
          <w:lang w:val="es-ES_tradnl"/>
        </w:rPr>
        <w:tab/>
        <w:t xml:space="preserve">No obstante lo dispuesto en el apartado b), cuando se haya inscrito </w:t>
      </w:r>
      <w:r>
        <w:rPr>
          <w:iCs/>
          <w:lang w:val="es-ES_tradnl"/>
        </w:rPr>
        <w:t>l</w:t>
      </w:r>
      <w:r w:rsidRPr="00754465">
        <w:rPr>
          <w:iCs/>
          <w:lang w:val="es-ES_tradnl"/>
        </w:rPr>
        <w:t>a continuación de la tramitación en virtud de lo dispuesto en la Regla 5</w:t>
      </w:r>
      <w:r w:rsidRPr="0012467C">
        <w:rPr>
          <w:i/>
          <w:iCs/>
          <w:lang w:val="es-ES_tradnl"/>
        </w:rPr>
        <w:t>bis</w:t>
      </w:r>
      <w:r w:rsidRPr="0012467C">
        <w:rPr>
          <w:iCs/>
          <w:lang w:val="es-ES_tradnl"/>
        </w:rPr>
        <w:t>, se inscribirá la licencia</w:t>
      </w:r>
      <w:r w:rsidRPr="00754465">
        <w:rPr>
          <w:iCs/>
          <w:lang w:val="es-ES_tradnl"/>
        </w:rPr>
        <w:t xml:space="preserve"> </w:t>
      </w:r>
      <w:r w:rsidRPr="00D86449">
        <w:rPr>
          <w:iCs/>
          <w:lang w:val="es-ES_tradnl"/>
        </w:rPr>
        <w:t>en el Registro Internacional con la fecha de expiración del plazo mencionado en el párrafo 2)b).</w:t>
      </w:r>
      <w:r w:rsidRPr="00754465">
        <w:rPr>
          <w:iCs/>
          <w:lang w:val="es-ES_tradnl"/>
        </w:rPr>
        <w:t xml:space="preserve"> </w:t>
      </w:r>
    </w:p>
    <w:p w:rsidR="005B09B2" w:rsidRPr="00754465" w:rsidRDefault="005B09B2" w:rsidP="005B09B2">
      <w:pPr>
        <w:rPr>
          <w:lang w:val="es-ES_tradnl"/>
        </w:rPr>
      </w:pPr>
    </w:p>
    <w:p w:rsidR="005B09B2" w:rsidRPr="00754465" w:rsidRDefault="005B09B2" w:rsidP="005B09B2">
      <w:pPr>
        <w:ind w:firstLine="567"/>
        <w:rPr>
          <w:lang w:val="es-ES"/>
        </w:rPr>
      </w:pPr>
      <w:r w:rsidRPr="00754465">
        <w:rPr>
          <w:lang w:val="es-ES"/>
        </w:rPr>
        <w:t>[…]</w:t>
      </w:r>
    </w:p>
    <w:p w:rsidR="002643BF" w:rsidRPr="004469D7" w:rsidRDefault="002643BF" w:rsidP="005B09B2">
      <w:pPr>
        <w:ind w:firstLine="567"/>
        <w:rPr>
          <w:lang w:val="es-ES_tradnl"/>
        </w:rPr>
      </w:pPr>
    </w:p>
    <w:p w:rsidR="005D1B1F" w:rsidRDefault="005D1B1F" w:rsidP="002643BF">
      <w:pPr>
        <w:rPr>
          <w:szCs w:val="30"/>
          <w:lang w:val="es-ES_tradnl"/>
        </w:rPr>
        <w:sectPr w:rsidR="005D1B1F" w:rsidSect="005D1B1F">
          <w:headerReference w:type="default" r:id="rId11"/>
          <w:headerReference w:type="first" r:id="rId12"/>
          <w:endnotePr>
            <w:numFmt w:val="decimal"/>
          </w:endnotePr>
          <w:pgSz w:w="11907" w:h="16840" w:code="9"/>
          <w:pgMar w:top="567" w:right="1134" w:bottom="851" w:left="1418" w:header="510" w:footer="1021" w:gutter="0"/>
          <w:pgNumType w:start="2"/>
          <w:cols w:space="720"/>
          <w:titlePg/>
        </w:sectPr>
      </w:pPr>
    </w:p>
    <w:p w:rsidR="002643BF" w:rsidRPr="004469D7" w:rsidRDefault="002643BF" w:rsidP="005D1B1F">
      <w:pPr>
        <w:pStyle w:val="Endofdocument-Annex"/>
        <w:ind w:left="0"/>
        <w:rPr>
          <w:lang w:val="es-ES_tradnl"/>
        </w:rPr>
      </w:pPr>
    </w:p>
    <w:p w:rsidR="002643BF" w:rsidRPr="004469D7" w:rsidRDefault="002643BF" w:rsidP="005D1B1F">
      <w:pPr>
        <w:jc w:val="center"/>
        <w:rPr>
          <w:b/>
          <w:szCs w:val="30"/>
          <w:lang w:val="es-ES_tradnl"/>
        </w:rPr>
      </w:pPr>
      <w:r w:rsidRPr="004469D7">
        <w:rPr>
          <w:b/>
          <w:szCs w:val="30"/>
          <w:lang w:val="es-ES_tradnl"/>
        </w:rPr>
        <w:t>Capítulo 5</w:t>
      </w:r>
    </w:p>
    <w:p w:rsidR="002643BF" w:rsidRPr="004469D7" w:rsidRDefault="002643BF" w:rsidP="005D1B1F">
      <w:pPr>
        <w:jc w:val="center"/>
        <w:rPr>
          <w:b/>
          <w:szCs w:val="30"/>
          <w:lang w:val="es-ES_tradnl"/>
        </w:rPr>
      </w:pPr>
      <w:r w:rsidRPr="004469D7">
        <w:rPr>
          <w:b/>
          <w:szCs w:val="30"/>
          <w:lang w:val="es-ES_tradnl"/>
        </w:rPr>
        <w:t>Designaciones posteriores;  modificaciones</w:t>
      </w:r>
    </w:p>
    <w:p w:rsidR="002643BF" w:rsidRPr="004469D7" w:rsidRDefault="002643BF" w:rsidP="005D1B1F">
      <w:pPr>
        <w:jc w:val="center"/>
        <w:rPr>
          <w:b/>
          <w:szCs w:val="30"/>
          <w:lang w:val="es-ES_tradnl"/>
        </w:rPr>
      </w:pPr>
    </w:p>
    <w:p w:rsidR="002643BF" w:rsidRPr="004469D7" w:rsidRDefault="002643BF" w:rsidP="005D1B1F">
      <w:pPr>
        <w:rPr>
          <w:szCs w:val="30"/>
          <w:lang w:val="es-ES_tradnl"/>
        </w:rPr>
      </w:pPr>
    </w:p>
    <w:p w:rsidR="002643BF" w:rsidRPr="004469D7" w:rsidRDefault="002643BF" w:rsidP="005D1B1F">
      <w:pPr>
        <w:rPr>
          <w:lang w:val="es-ES_tradnl"/>
        </w:rPr>
      </w:pPr>
      <w:r w:rsidRPr="004469D7">
        <w:rPr>
          <w:lang w:val="es-ES_tradnl"/>
        </w:rPr>
        <w:tab/>
        <w:t>[…]</w:t>
      </w:r>
    </w:p>
    <w:p w:rsidR="002643BF" w:rsidRPr="005D1B1F" w:rsidRDefault="002643BF" w:rsidP="002643BF">
      <w:pPr>
        <w:jc w:val="center"/>
        <w:rPr>
          <w:szCs w:val="30"/>
          <w:lang w:val="es-ES_tradnl"/>
        </w:rPr>
      </w:pPr>
    </w:p>
    <w:p w:rsidR="002643BF" w:rsidRPr="005D1B1F" w:rsidRDefault="002643BF" w:rsidP="002643BF">
      <w:pPr>
        <w:jc w:val="center"/>
        <w:rPr>
          <w:szCs w:val="30"/>
          <w:lang w:val="es-ES_tradnl"/>
        </w:rPr>
      </w:pPr>
    </w:p>
    <w:p w:rsidR="005B09B2" w:rsidRPr="00754465" w:rsidRDefault="005B09B2" w:rsidP="005B09B2">
      <w:pPr>
        <w:jc w:val="center"/>
        <w:rPr>
          <w:i/>
          <w:szCs w:val="30"/>
          <w:lang w:val="es-ES"/>
        </w:rPr>
      </w:pPr>
      <w:r w:rsidRPr="00754465">
        <w:rPr>
          <w:i/>
          <w:szCs w:val="30"/>
          <w:lang w:val="es-ES_tradnl"/>
        </w:rPr>
        <w:t>Regla 27</w:t>
      </w:r>
    </w:p>
    <w:p w:rsidR="005B09B2" w:rsidRPr="00754465" w:rsidRDefault="005B09B2" w:rsidP="005B09B2">
      <w:pPr>
        <w:jc w:val="center"/>
        <w:rPr>
          <w:i/>
          <w:iCs/>
          <w:szCs w:val="30"/>
          <w:lang w:val="es-ES_tradnl"/>
        </w:rPr>
      </w:pPr>
      <w:r w:rsidRPr="00754465">
        <w:rPr>
          <w:i/>
          <w:iCs/>
          <w:szCs w:val="30"/>
          <w:lang w:val="es-ES_tradnl"/>
        </w:rPr>
        <w:t>Inscripción y notificación de una modificación o de una cancelación;</w:t>
      </w:r>
      <w:r w:rsidRPr="00754465">
        <w:rPr>
          <w:i/>
          <w:iCs/>
          <w:szCs w:val="30"/>
          <w:lang w:val="es-ES"/>
        </w:rPr>
        <w:br/>
      </w:r>
      <w:r w:rsidRPr="00754465">
        <w:rPr>
          <w:i/>
          <w:iCs/>
          <w:szCs w:val="30"/>
          <w:lang w:val="es-ES_tradnl"/>
        </w:rPr>
        <w:t xml:space="preserve">Fusión de registros internacionales;  Declaración de que un cambio de titularidad </w:t>
      </w:r>
      <w:r w:rsidRPr="00754465">
        <w:rPr>
          <w:i/>
          <w:iCs/>
          <w:szCs w:val="30"/>
          <w:lang w:val="es-ES_tradnl"/>
        </w:rPr>
        <w:br/>
        <w:t>o una limitación no tiene efecto</w:t>
      </w:r>
    </w:p>
    <w:p w:rsidR="005B09B2" w:rsidRPr="00754465" w:rsidRDefault="005B09B2" w:rsidP="005B09B2">
      <w:pPr>
        <w:jc w:val="center"/>
        <w:rPr>
          <w:iCs/>
          <w:szCs w:val="30"/>
          <w:lang w:val="es-ES_tradnl"/>
        </w:rPr>
      </w:pPr>
    </w:p>
    <w:p w:rsidR="005B09B2" w:rsidRPr="00754465" w:rsidRDefault="005B09B2" w:rsidP="005B09B2">
      <w:pPr>
        <w:ind w:firstLine="567"/>
        <w:rPr>
          <w:iCs/>
          <w:szCs w:val="30"/>
          <w:lang w:val="es-ES"/>
        </w:rPr>
      </w:pPr>
      <w:r w:rsidRPr="00754465">
        <w:rPr>
          <w:iCs/>
          <w:szCs w:val="30"/>
          <w:lang w:val="es-ES_tradnl"/>
        </w:rPr>
        <w:t>1)</w:t>
      </w:r>
      <w:r w:rsidRPr="00754465">
        <w:rPr>
          <w:i/>
          <w:iCs/>
          <w:szCs w:val="30"/>
          <w:lang w:val="es-ES_tradnl"/>
        </w:rPr>
        <w:tab/>
        <w:t>[Inscripción y notificación de una modificación o de una cancelación]</w:t>
      </w:r>
      <w:r w:rsidRPr="00754465">
        <w:rPr>
          <w:i/>
          <w:iCs/>
          <w:szCs w:val="30"/>
          <w:lang w:val="es-ES"/>
        </w:rPr>
        <w:t>  </w:t>
      </w:r>
    </w:p>
    <w:p w:rsidR="005B09B2" w:rsidRPr="00754465" w:rsidRDefault="005B09B2" w:rsidP="005B09B2">
      <w:pPr>
        <w:ind w:left="567" w:firstLine="567"/>
        <w:rPr>
          <w:lang w:val="es-ES_tradnl"/>
        </w:rPr>
      </w:pPr>
      <w:r w:rsidRPr="00754465">
        <w:rPr>
          <w:lang w:val="es-ES_tradnl"/>
        </w:rPr>
        <w:t>[…]</w:t>
      </w:r>
    </w:p>
    <w:p w:rsidR="005B09B2" w:rsidRPr="0012467C" w:rsidRDefault="005B09B2" w:rsidP="005B09B2">
      <w:pPr>
        <w:ind w:firstLine="1134"/>
        <w:rPr>
          <w:lang w:val="es-ES_tradnl"/>
        </w:rPr>
      </w:pPr>
      <w:r w:rsidRPr="00754465">
        <w:rPr>
          <w:iCs/>
          <w:lang w:val="es-ES_tradnl"/>
        </w:rPr>
        <w:t>c)</w:t>
      </w:r>
      <w:r w:rsidRPr="00754465">
        <w:rPr>
          <w:iCs/>
          <w:lang w:val="es-ES_tradnl"/>
        </w:rPr>
        <w:tab/>
        <w:t xml:space="preserve">No obstante lo dispuesto en el apartado b), cuando se haya inscrito </w:t>
      </w:r>
      <w:r>
        <w:rPr>
          <w:iCs/>
          <w:lang w:val="es-ES_tradnl"/>
        </w:rPr>
        <w:t>l</w:t>
      </w:r>
      <w:r w:rsidRPr="00754465">
        <w:rPr>
          <w:iCs/>
          <w:lang w:val="es-ES_tradnl"/>
        </w:rPr>
        <w:t>a continuación de la tramitación en virtud de lo dispuesto en la Regla</w:t>
      </w:r>
      <w:r>
        <w:rPr>
          <w:iCs/>
          <w:lang w:val="es-ES_tradnl"/>
        </w:rPr>
        <w:t> </w:t>
      </w:r>
      <w:r w:rsidRPr="00754465">
        <w:rPr>
          <w:iCs/>
          <w:lang w:val="es-ES_tradnl"/>
        </w:rPr>
        <w:t>5</w:t>
      </w:r>
      <w:r w:rsidRPr="00754465">
        <w:rPr>
          <w:i/>
          <w:iCs/>
          <w:lang w:val="es-ES_tradnl"/>
        </w:rPr>
        <w:t>bis</w:t>
      </w:r>
      <w:r w:rsidRPr="0012467C">
        <w:rPr>
          <w:iCs/>
          <w:lang w:val="es-ES_tradnl"/>
        </w:rPr>
        <w:t xml:space="preserve">, se inscribirá la modificación o la cancelación </w:t>
      </w:r>
      <w:r>
        <w:rPr>
          <w:iCs/>
          <w:lang w:val="es-ES_tradnl"/>
        </w:rPr>
        <w:t>en el Registro Internacional con</w:t>
      </w:r>
      <w:r w:rsidRPr="0012467C">
        <w:rPr>
          <w:iCs/>
          <w:lang w:val="es-ES_tradnl"/>
        </w:rPr>
        <w:t xml:space="preserve"> la fecha de expiración del plazo mencionado en la Regla</w:t>
      </w:r>
      <w:r>
        <w:rPr>
          <w:iCs/>
          <w:lang w:val="es-ES_tradnl"/>
        </w:rPr>
        <w:t> </w:t>
      </w:r>
      <w:r w:rsidRPr="0012467C">
        <w:rPr>
          <w:iCs/>
          <w:lang w:val="es-ES_tradnl"/>
        </w:rPr>
        <w:t>26.2), con la salvedad de que, cuando se haya hecho una petici</w:t>
      </w:r>
      <w:r w:rsidRPr="00754465">
        <w:rPr>
          <w:iCs/>
          <w:lang w:val="es-ES_tradnl"/>
        </w:rPr>
        <w:t>ón de conformidad con la</w:t>
      </w:r>
      <w:r>
        <w:rPr>
          <w:iCs/>
          <w:lang w:val="es-ES_tradnl"/>
        </w:rPr>
        <w:t> </w:t>
      </w:r>
      <w:r w:rsidRPr="00754465">
        <w:rPr>
          <w:iCs/>
          <w:lang w:val="es-ES_tradnl"/>
        </w:rPr>
        <w:t>Regla</w:t>
      </w:r>
      <w:r>
        <w:rPr>
          <w:iCs/>
          <w:lang w:val="es-ES_tradnl"/>
        </w:rPr>
        <w:t> </w:t>
      </w:r>
      <w:r w:rsidRPr="00754465">
        <w:rPr>
          <w:iCs/>
          <w:lang w:val="es-ES_tradnl"/>
        </w:rPr>
        <w:t>25.2)c), la inscripción puede ser realizada en una fecha ulterior.</w:t>
      </w:r>
      <w:r w:rsidRPr="0012467C">
        <w:rPr>
          <w:iCs/>
          <w:lang w:val="es-ES_tradnl"/>
        </w:rPr>
        <w:t xml:space="preserve"> </w:t>
      </w:r>
      <w:r>
        <w:rPr>
          <w:iCs/>
          <w:lang w:val="es-ES_tradnl"/>
        </w:rPr>
        <w:t xml:space="preserve"> </w:t>
      </w:r>
    </w:p>
    <w:p w:rsidR="002643BF" w:rsidRPr="004469D7" w:rsidRDefault="002643BF" w:rsidP="002643BF">
      <w:pPr>
        <w:jc w:val="center"/>
        <w:rPr>
          <w:szCs w:val="30"/>
          <w:lang w:val="es-ES_tradnl"/>
        </w:rPr>
      </w:pPr>
    </w:p>
    <w:p w:rsidR="002643BF" w:rsidRPr="004469D7" w:rsidRDefault="002643BF" w:rsidP="002643BF">
      <w:pPr>
        <w:jc w:val="center"/>
        <w:rPr>
          <w:szCs w:val="30"/>
          <w:lang w:val="es-ES_tradnl"/>
        </w:rPr>
      </w:pPr>
    </w:p>
    <w:p w:rsidR="002643BF" w:rsidRPr="004469D7" w:rsidRDefault="002643BF" w:rsidP="002643BF">
      <w:pPr>
        <w:jc w:val="center"/>
        <w:rPr>
          <w:szCs w:val="30"/>
          <w:lang w:val="es-ES_tradnl"/>
        </w:rPr>
      </w:pPr>
    </w:p>
    <w:p w:rsidR="005B09B2" w:rsidRPr="00754465" w:rsidRDefault="005B09B2" w:rsidP="005B09B2">
      <w:pPr>
        <w:jc w:val="center"/>
        <w:rPr>
          <w:b/>
          <w:szCs w:val="30"/>
          <w:lang w:val="es-ES"/>
        </w:rPr>
      </w:pPr>
      <w:r w:rsidRPr="00754465">
        <w:rPr>
          <w:b/>
          <w:szCs w:val="30"/>
          <w:lang w:val="es-ES_tradnl"/>
        </w:rPr>
        <w:t>Capítulo 6</w:t>
      </w:r>
    </w:p>
    <w:p w:rsidR="005B09B2" w:rsidRPr="00754465" w:rsidRDefault="005B09B2" w:rsidP="005B09B2">
      <w:pPr>
        <w:jc w:val="center"/>
        <w:rPr>
          <w:szCs w:val="30"/>
          <w:lang w:val="es-ES"/>
        </w:rPr>
      </w:pPr>
      <w:r w:rsidRPr="00754465">
        <w:rPr>
          <w:b/>
          <w:szCs w:val="30"/>
          <w:lang w:val="es-ES_tradnl"/>
        </w:rPr>
        <w:t>Renovaciones</w:t>
      </w:r>
    </w:p>
    <w:p w:rsidR="005B09B2" w:rsidRPr="00754465" w:rsidRDefault="005B09B2" w:rsidP="005B09B2">
      <w:pPr>
        <w:rPr>
          <w:szCs w:val="30"/>
          <w:lang w:val="es-ES"/>
        </w:rPr>
      </w:pPr>
    </w:p>
    <w:p w:rsidR="005B09B2" w:rsidRPr="00754465" w:rsidRDefault="005B09B2" w:rsidP="005B09B2">
      <w:pPr>
        <w:rPr>
          <w:lang w:val="es-ES"/>
        </w:rPr>
      </w:pPr>
      <w:r w:rsidRPr="00754465">
        <w:rPr>
          <w:lang w:val="es-ES"/>
        </w:rPr>
        <w:tab/>
        <w:t>[…]</w:t>
      </w:r>
    </w:p>
    <w:p w:rsidR="005B09B2" w:rsidRPr="00754465" w:rsidRDefault="005B09B2" w:rsidP="005B09B2">
      <w:pPr>
        <w:rPr>
          <w:lang w:val="es-ES"/>
        </w:rPr>
      </w:pPr>
    </w:p>
    <w:p w:rsidR="005B09B2" w:rsidRPr="00754465" w:rsidRDefault="005B09B2" w:rsidP="005B09B2">
      <w:pPr>
        <w:rPr>
          <w:lang w:val="es-ES"/>
        </w:rPr>
      </w:pPr>
    </w:p>
    <w:p w:rsidR="005B09B2" w:rsidRPr="00754465" w:rsidRDefault="005B09B2" w:rsidP="005B09B2">
      <w:pPr>
        <w:jc w:val="center"/>
        <w:rPr>
          <w:i/>
          <w:szCs w:val="30"/>
          <w:lang w:val="es-ES"/>
        </w:rPr>
      </w:pPr>
      <w:r w:rsidRPr="00754465">
        <w:rPr>
          <w:i/>
          <w:szCs w:val="30"/>
          <w:lang w:val="es-ES_tradnl"/>
        </w:rPr>
        <w:t>Regla 30</w:t>
      </w:r>
    </w:p>
    <w:p w:rsidR="005B09B2" w:rsidRPr="00754465" w:rsidRDefault="005B09B2" w:rsidP="005B09B2">
      <w:pPr>
        <w:jc w:val="center"/>
        <w:rPr>
          <w:szCs w:val="30"/>
          <w:lang w:val="es-ES"/>
        </w:rPr>
      </w:pPr>
      <w:r w:rsidRPr="00754465">
        <w:rPr>
          <w:i/>
          <w:szCs w:val="30"/>
          <w:lang w:val="es-ES_tradnl"/>
        </w:rPr>
        <w:t>Detalles relativos a la renovación</w:t>
      </w:r>
    </w:p>
    <w:p w:rsidR="005B09B2" w:rsidRPr="00754465" w:rsidRDefault="005B09B2" w:rsidP="005B09B2">
      <w:pPr>
        <w:rPr>
          <w:lang w:val="es-ES"/>
        </w:rPr>
      </w:pPr>
    </w:p>
    <w:p w:rsidR="005B09B2" w:rsidRPr="00754465" w:rsidRDefault="005B09B2" w:rsidP="005B09B2">
      <w:pPr>
        <w:rPr>
          <w:lang w:val="es-ES"/>
        </w:rPr>
      </w:pPr>
      <w:r w:rsidRPr="00754465">
        <w:rPr>
          <w:lang w:val="es-ES"/>
        </w:rPr>
        <w:tab/>
      </w:r>
      <w:r w:rsidRPr="00754465">
        <w:rPr>
          <w:lang w:val="es-ES_tradnl"/>
        </w:rPr>
        <w:t>1)</w:t>
      </w:r>
      <w:r w:rsidRPr="00754465">
        <w:rPr>
          <w:lang w:val="es-ES_tradnl"/>
        </w:rPr>
        <w:tab/>
      </w:r>
      <w:r w:rsidRPr="00754465">
        <w:rPr>
          <w:i/>
          <w:lang w:val="es-ES_tradnl"/>
        </w:rPr>
        <w:t>[Tasas]</w:t>
      </w:r>
      <w:r w:rsidRPr="00754465">
        <w:rPr>
          <w:lang w:val="es-ES_tradnl"/>
        </w:rPr>
        <w:t>  a)  El registro internacional se renovará previo pago, a más tardar en la fecha en que deba renovarse ese registro, de</w:t>
      </w:r>
      <w:r w:rsidRPr="00754465">
        <w:rPr>
          <w:lang w:val="es-ES"/>
        </w:rPr>
        <w:t xml:space="preserve"> </w:t>
      </w:r>
    </w:p>
    <w:p w:rsidR="005B09B2" w:rsidRPr="00754465" w:rsidRDefault="005B09B2" w:rsidP="005B09B2">
      <w:pPr>
        <w:ind w:left="1134" w:firstLine="567"/>
        <w:rPr>
          <w:lang w:val="es-ES_tradnl"/>
        </w:rPr>
      </w:pPr>
      <w:r w:rsidRPr="00754465">
        <w:rPr>
          <w:lang w:val="es-ES_tradnl"/>
        </w:rPr>
        <w:t>[…]</w:t>
      </w:r>
    </w:p>
    <w:p w:rsidR="005B09B2" w:rsidRDefault="005B09B2" w:rsidP="005B09B2">
      <w:pPr>
        <w:ind w:firstLine="1134"/>
        <w:rPr>
          <w:lang w:val="es-ES"/>
        </w:rPr>
      </w:pPr>
      <w:r w:rsidRPr="00754465">
        <w:rPr>
          <w:lang w:val="es-ES_tradnl"/>
        </w:rPr>
        <w:tab/>
        <w:t>iii)</w:t>
      </w:r>
      <w:r w:rsidRPr="00754465">
        <w:rPr>
          <w:lang w:val="es-ES_tradnl"/>
        </w:rPr>
        <w:tab/>
      </w:r>
      <w:r w:rsidRPr="009A4B5D">
        <w:rPr>
          <w:lang w:val="es-ES"/>
        </w:rPr>
        <w:t xml:space="preserve">el complemento de tasa o la tasa individual, según proceda, por cada Parte Contratante designada en relación con la cual no se haya inscrito </w:t>
      </w:r>
      <w:r w:rsidRPr="00EB2582">
        <w:rPr>
          <w:lang w:val="es-ES"/>
        </w:rPr>
        <w:t>en el Registro Internacional una declaración de denegación</w:t>
      </w:r>
      <w:r w:rsidRPr="00EB2582">
        <w:rPr>
          <w:lang w:val="es-ES_tradnl"/>
        </w:rPr>
        <w:t xml:space="preserve"> en virtud de la Regla</w:t>
      </w:r>
      <w:r>
        <w:rPr>
          <w:lang w:val="es-ES_tradnl"/>
        </w:rPr>
        <w:t> </w:t>
      </w:r>
      <w:r w:rsidRPr="00EB2582">
        <w:rPr>
          <w:lang w:val="es-ES_tradnl"/>
        </w:rPr>
        <w:t>18</w:t>
      </w:r>
      <w:r w:rsidRPr="00EB2582">
        <w:rPr>
          <w:i/>
          <w:lang w:val="es-ES_tradnl"/>
        </w:rPr>
        <w:t>ter</w:t>
      </w:r>
      <w:r>
        <w:rPr>
          <w:lang w:val="es-ES_tradnl"/>
        </w:rPr>
        <w:t xml:space="preserve"> ni de invalidación</w:t>
      </w:r>
      <w:r w:rsidRPr="00EB2582">
        <w:rPr>
          <w:lang w:val="es-ES_tradnl"/>
        </w:rPr>
        <w:t xml:space="preserve"> </w:t>
      </w:r>
      <w:r w:rsidRPr="00EB2582">
        <w:rPr>
          <w:lang w:val="es-ES"/>
        </w:rPr>
        <w:t>respecto a la totalidad de los productos y servicios pertinentes, tal</w:t>
      </w:r>
      <w:r w:rsidRPr="009A4B5D">
        <w:rPr>
          <w:lang w:val="es-ES"/>
        </w:rPr>
        <w:t xml:space="preserve"> como se especifican o se mencionan en el punto 6 de la Tabla de tasas.  Sin</w:t>
      </w:r>
      <w:r>
        <w:rPr>
          <w:lang w:val="es-ES"/>
        </w:rPr>
        <w:t> </w:t>
      </w:r>
      <w:r w:rsidRPr="009A4B5D">
        <w:rPr>
          <w:lang w:val="es-ES"/>
        </w:rPr>
        <w:t>embargo, ese pago se podrá hacer en el término de seis meses a partir de la fecha en que</w:t>
      </w:r>
      <w:r>
        <w:rPr>
          <w:lang w:val="es-ES"/>
        </w:rPr>
        <w:t> </w:t>
      </w:r>
      <w:r w:rsidRPr="009A4B5D">
        <w:rPr>
          <w:lang w:val="es-ES"/>
        </w:rPr>
        <w:t>deba realizarse la renovación del registro internacional, a condición de que la sobretasa especificada en el punto 6.5 de la Tabla de tasas se abone al mismo tiempo.</w:t>
      </w:r>
      <w:r>
        <w:rPr>
          <w:lang w:val="es-ES"/>
        </w:rPr>
        <w:t xml:space="preserve">  </w:t>
      </w:r>
    </w:p>
    <w:p w:rsidR="005B09B2" w:rsidRPr="009A4B5D" w:rsidRDefault="005B09B2" w:rsidP="005B09B2">
      <w:pPr>
        <w:ind w:firstLine="1134"/>
        <w:rPr>
          <w:lang w:val="es-ES"/>
        </w:rPr>
      </w:pPr>
      <w:r w:rsidRPr="00754465">
        <w:rPr>
          <w:lang w:val="es-ES_tradnl"/>
        </w:rPr>
        <w:t>[…]</w:t>
      </w:r>
    </w:p>
    <w:p w:rsidR="005B09B2" w:rsidRPr="00754465" w:rsidRDefault="005B09B2" w:rsidP="005B09B2">
      <w:pPr>
        <w:ind w:firstLine="1134"/>
        <w:rPr>
          <w:lang w:val="es-ES"/>
        </w:rPr>
      </w:pPr>
    </w:p>
    <w:p w:rsidR="005B09B2" w:rsidRPr="009A4B5D" w:rsidRDefault="005B09B2" w:rsidP="005B09B2">
      <w:pPr>
        <w:ind w:firstLine="567"/>
        <w:rPr>
          <w:lang w:val="es-ES"/>
        </w:rPr>
      </w:pPr>
      <w:r w:rsidRPr="00AC1427">
        <w:rPr>
          <w:lang w:val="es-ES_tradnl"/>
        </w:rPr>
        <w:t>2)</w:t>
      </w:r>
      <w:r w:rsidRPr="00AC1427">
        <w:rPr>
          <w:lang w:val="es-ES_tradnl"/>
        </w:rPr>
        <w:tab/>
      </w:r>
      <w:r w:rsidRPr="00AC1427">
        <w:rPr>
          <w:i/>
          <w:lang w:val="es-ES_tradnl"/>
        </w:rPr>
        <w:t>[Datos suplementarios]</w:t>
      </w:r>
      <w:r w:rsidRPr="00AC1427">
        <w:rPr>
          <w:lang w:val="es-ES_tradnl"/>
        </w:rPr>
        <w:t>  </w:t>
      </w:r>
      <w:r w:rsidRPr="00AC1427">
        <w:rPr>
          <w:lang w:val="es-ES"/>
        </w:rPr>
        <w:t xml:space="preserve">a)  Cuando el titular no desee renovar el registro internacional respecto a una Parte Contratante designada en relación con la cual no se haya inscrito en el Registro Internacional </w:t>
      </w:r>
      <w:r w:rsidRPr="00AC1427">
        <w:rPr>
          <w:lang w:val="es-ES_tradnl"/>
        </w:rPr>
        <w:t>una declaración de denegación en virtud de la Regla 18</w:t>
      </w:r>
      <w:r w:rsidRPr="00AC1427">
        <w:rPr>
          <w:i/>
          <w:lang w:val="es-ES_tradnl"/>
        </w:rPr>
        <w:t>ter</w:t>
      </w:r>
      <w:r w:rsidRPr="00AC1427">
        <w:rPr>
          <w:lang w:val="es-ES_tradnl"/>
        </w:rPr>
        <w:t xml:space="preserve">, </w:t>
      </w:r>
      <w:r>
        <w:rPr>
          <w:lang w:val="es-ES"/>
        </w:rPr>
        <w:t xml:space="preserve">respecto a </w:t>
      </w:r>
      <w:r w:rsidRPr="00AC1427">
        <w:rPr>
          <w:lang w:val="es-ES"/>
        </w:rPr>
        <w:t xml:space="preserve">la totalidad de los productos y servicios pertinentes, el pago de las tasas exigidas se acompañará de una declaración </w:t>
      </w:r>
      <w:r>
        <w:rPr>
          <w:lang w:val="es-ES"/>
        </w:rPr>
        <w:t xml:space="preserve">del titular </w:t>
      </w:r>
      <w:r w:rsidRPr="00AC1427">
        <w:rPr>
          <w:lang w:val="es-ES"/>
        </w:rPr>
        <w:t>en el sentido de que la renovación del registro internacional no se debe inscribir en el Registro Internacional respecto a esa Parte</w:t>
      </w:r>
      <w:r w:rsidRPr="009A4B5D">
        <w:rPr>
          <w:lang w:val="es-ES"/>
        </w:rPr>
        <w:t xml:space="preserve"> Contratante.</w:t>
      </w:r>
    </w:p>
    <w:p w:rsidR="005B09B2" w:rsidRPr="009A4B5D" w:rsidRDefault="005B09B2" w:rsidP="005B09B2">
      <w:pPr>
        <w:ind w:firstLine="1134"/>
        <w:rPr>
          <w:lang w:val="es-ES"/>
        </w:rPr>
      </w:pPr>
      <w:r w:rsidRPr="009A4B5D">
        <w:rPr>
          <w:lang w:val="es-ES"/>
        </w:rPr>
        <w:t>b)</w:t>
      </w:r>
      <w:r w:rsidRPr="009A4B5D">
        <w:rPr>
          <w:lang w:val="es-ES"/>
        </w:rPr>
        <w:tab/>
        <w:t xml:space="preserve">Cuando el titular desee renovar el registro internacional respecto a una Parte Contratante designada, a pesar de que se haya inscrito una </w:t>
      </w:r>
      <w:r>
        <w:rPr>
          <w:lang w:val="es-ES"/>
        </w:rPr>
        <w:t xml:space="preserve">declaración de </w:t>
      </w:r>
      <w:r w:rsidRPr="009A4B5D">
        <w:rPr>
          <w:lang w:val="es-ES"/>
        </w:rPr>
        <w:t xml:space="preserve">denegación </w:t>
      </w:r>
      <w:r>
        <w:rPr>
          <w:lang w:val="es-ES"/>
        </w:rPr>
        <w:t xml:space="preserve">en virtud de la Regla </w:t>
      </w:r>
      <w:r w:rsidRPr="005B09B2">
        <w:rPr>
          <w:i/>
          <w:lang w:val="es-ES"/>
        </w:rPr>
        <w:t>18</w:t>
      </w:r>
      <w:r>
        <w:rPr>
          <w:i/>
          <w:lang w:val="es-ES"/>
        </w:rPr>
        <w:t>ter</w:t>
      </w:r>
      <w:r w:rsidRPr="005B09B2">
        <w:rPr>
          <w:lang w:val="es-ES"/>
        </w:rPr>
        <w:t xml:space="preserve"> </w:t>
      </w:r>
      <w:r w:rsidRPr="00AC1427">
        <w:rPr>
          <w:lang w:val="es-ES"/>
        </w:rPr>
        <w:t xml:space="preserve">en </w:t>
      </w:r>
      <w:r w:rsidRPr="009A4B5D">
        <w:rPr>
          <w:lang w:val="es-ES"/>
        </w:rPr>
        <w:t xml:space="preserve">el Registro Internacional en relación con esa Parte Contratante </w:t>
      </w:r>
      <w:r>
        <w:rPr>
          <w:lang w:val="es-ES"/>
        </w:rPr>
        <w:t>respecto a</w:t>
      </w:r>
      <w:r w:rsidRPr="009A4B5D">
        <w:rPr>
          <w:lang w:val="es-ES"/>
        </w:rPr>
        <w:t xml:space="preserve"> la totalidad de los productos y servicios pertinentes, el pago de las tasas exigidas, con inclusión del complemento de tasa o de la tasa individual, según proceda, para esa Parte Contratante, se acompañará de una declaración </w:t>
      </w:r>
      <w:r>
        <w:rPr>
          <w:lang w:val="es-ES"/>
        </w:rPr>
        <w:t xml:space="preserve">del titular </w:t>
      </w:r>
      <w:r w:rsidRPr="009A4B5D">
        <w:rPr>
          <w:lang w:val="es-ES"/>
        </w:rPr>
        <w:t>en el sentido de que la renovación del registro internacional debe inscribirse en el Registro Internacional respecto a esa Parte Contratante.</w:t>
      </w:r>
      <w:r>
        <w:rPr>
          <w:lang w:val="es-ES"/>
        </w:rPr>
        <w:t xml:space="preserve">  </w:t>
      </w:r>
    </w:p>
    <w:p w:rsidR="005B09B2" w:rsidRPr="009A4B5D" w:rsidRDefault="005B09B2" w:rsidP="005B09B2">
      <w:pPr>
        <w:ind w:firstLine="1134"/>
        <w:rPr>
          <w:lang w:val="es-ES"/>
        </w:rPr>
      </w:pPr>
      <w:r w:rsidRPr="009A4B5D">
        <w:rPr>
          <w:lang w:val="es-ES"/>
        </w:rPr>
        <w:t>c)</w:t>
      </w:r>
      <w:r w:rsidRPr="009A4B5D">
        <w:rPr>
          <w:lang w:val="es-ES"/>
        </w:rPr>
        <w:tab/>
        <w:t xml:space="preserve">El registro internacional no </w:t>
      </w:r>
      <w:r>
        <w:rPr>
          <w:lang w:val="es-ES"/>
        </w:rPr>
        <w:t>será</w:t>
      </w:r>
      <w:r w:rsidRPr="009A4B5D">
        <w:rPr>
          <w:lang w:val="es-ES"/>
        </w:rPr>
        <w:t xml:space="preserve"> renova</w:t>
      </w:r>
      <w:r>
        <w:rPr>
          <w:lang w:val="es-ES"/>
        </w:rPr>
        <w:t>do</w:t>
      </w:r>
      <w:r w:rsidRPr="009A4B5D">
        <w:rPr>
          <w:lang w:val="es-ES"/>
        </w:rPr>
        <w:t xml:space="preserve"> en relación con una Parte Contratante designada, respecto a la cual se haya inscrito una invalidación para la totalidad de los productos y servicios en virtud de la Regla 19.2) o respecto a la cual se haya inscrito una renuncia en virtud de la Regla 27.1)a).  El registro internacional no </w:t>
      </w:r>
      <w:r>
        <w:rPr>
          <w:lang w:val="es-ES"/>
        </w:rPr>
        <w:t>será</w:t>
      </w:r>
      <w:r w:rsidRPr="009A4B5D">
        <w:rPr>
          <w:lang w:val="es-ES"/>
        </w:rPr>
        <w:t xml:space="preserve"> renova</w:t>
      </w:r>
      <w:r>
        <w:rPr>
          <w:lang w:val="es-ES"/>
        </w:rPr>
        <w:t>do</w:t>
      </w:r>
      <w:r w:rsidRPr="009A4B5D">
        <w:rPr>
          <w:lang w:val="es-ES"/>
        </w:rPr>
        <w:t xml:space="preserve"> respecto a una Parte Contratante designada para los productos y servicios en relación con los cuales se ha inscrito, en virtud de la Regla 19.2), una </w:t>
      </w:r>
      <w:r>
        <w:rPr>
          <w:lang w:val="es-ES"/>
        </w:rPr>
        <w:t>in</w:t>
      </w:r>
      <w:r w:rsidRPr="009A4B5D">
        <w:rPr>
          <w:lang w:val="es-ES"/>
        </w:rPr>
        <w:t>validación de los efectos del registro internacional en esa Parte Contratante o en relación con los cuales se ha inscrito una limitación en virtud de la Regla 27.1)a).</w:t>
      </w:r>
      <w:r>
        <w:rPr>
          <w:lang w:val="es-ES"/>
        </w:rPr>
        <w:t xml:space="preserve">  </w:t>
      </w:r>
    </w:p>
    <w:p w:rsidR="005B09B2" w:rsidRPr="009A4B5D" w:rsidRDefault="005B09B2" w:rsidP="005B09B2">
      <w:pPr>
        <w:ind w:firstLine="1134"/>
        <w:rPr>
          <w:lang w:val="es-ES"/>
        </w:rPr>
      </w:pPr>
      <w:r w:rsidRPr="009A4B5D">
        <w:rPr>
          <w:lang w:val="es-ES"/>
        </w:rPr>
        <w:t>d)</w:t>
      </w:r>
      <w:r w:rsidRPr="009A4B5D">
        <w:rPr>
          <w:lang w:val="es-ES"/>
        </w:rPr>
        <w:tab/>
      </w:r>
      <w:r w:rsidRPr="00754465">
        <w:rPr>
          <w:lang w:val="es-ES_tradnl"/>
        </w:rPr>
        <w:t>Cuando se haya inscrito una declaración en virtud de la Regla 18</w:t>
      </w:r>
      <w:r w:rsidRPr="0012467C">
        <w:rPr>
          <w:i/>
          <w:lang w:val="es-ES_tradnl"/>
        </w:rPr>
        <w:t>ter</w:t>
      </w:r>
      <w:r w:rsidRPr="00754465">
        <w:rPr>
          <w:lang w:val="es-ES_tradnl"/>
        </w:rPr>
        <w:t>.2</w:t>
      </w:r>
      <w:proofErr w:type="gramStart"/>
      <w:r w:rsidRPr="00754465">
        <w:rPr>
          <w:lang w:val="es-ES_tradnl"/>
        </w:rPr>
        <w:t>)ii</w:t>
      </w:r>
      <w:proofErr w:type="gramEnd"/>
      <w:r w:rsidRPr="00754465">
        <w:rPr>
          <w:lang w:val="es-ES_tradnl"/>
        </w:rPr>
        <w:t xml:space="preserve">) o 4) en el Registro Internacional, el registro internacional no será renovado </w:t>
      </w:r>
      <w:r>
        <w:rPr>
          <w:lang w:val="es-ES_tradnl"/>
        </w:rPr>
        <w:t>respecto a</w:t>
      </w:r>
      <w:r w:rsidRPr="00754465">
        <w:rPr>
          <w:lang w:val="es-ES_tradnl"/>
        </w:rPr>
        <w:t xml:space="preserve">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t>
      </w:r>
      <w:r>
        <w:rPr>
          <w:lang w:val="es-ES_tradnl"/>
        </w:rPr>
        <w:t xml:space="preserve">  </w:t>
      </w:r>
    </w:p>
    <w:p w:rsidR="005B09B2" w:rsidRPr="00754465" w:rsidRDefault="005B09B2" w:rsidP="005B09B2">
      <w:pPr>
        <w:ind w:firstLine="1134"/>
        <w:rPr>
          <w:lang w:val="es-ES"/>
        </w:rPr>
      </w:pPr>
      <w:r w:rsidRPr="00754465">
        <w:rPr>
          <w:lang w:val="es-ES_tradnl"/>
        </w:rPr>
        <w:t>e)</w:t>
      </w:r>
      <w:r>
        <w:rPr>
          <w:lang w:val="es-ES_tradnl"/>
        </w:rPr>
        <w:tab/>
      </w:r>
      <w:r w:rsidRPr="00754465">
        <w:rPr>
          <w:lang w:val="es-ES_tradnl"/>
        </w:rPr>
        <w:t>El hecho de que el registro internacional no se renueve en virtud del apartado</w:t>
      </w:r>
      <w:r>
        <w:rPr>
          <w:lang w:val="es-ES_tradnl"/>
        </w:rPr>
        <w:t> </w:t>
      </w:r>
      <w:r w:rsidRPr="00754465">
        <w:rPr>
          <w:lang w:val="es-ES_tradnl"/>
        </w:rPr>
        <w:t xml:space="preserve">d) respecto a todos los productos y servicios en cuestión no será considerado como constitutivo de modificación a los </w:t>
      </w:r>
      <w:r>
        <w:rPr>
          <w:lang w:val="es-ES_tradnl"/>
        </w:rPr>
        <w:t>efectos de lo dispuesto en el Artículo </w:t>
      </w:r>
      <w:r w:rsidRPr="00754465">
        <w:rPr>
          <w:lang w:val="es-ES_tradnl"/>
        </w:rPr>
        <w:t>7.2) del Arreglo o en el Artículo</w:t>
      </w:r>
      <w:r>
        <w:rPr>
          <w:lang w:val="es-ES_tradnl"/>
        </w:rPr>
        <w:t> </w:t>
      </w:r>
      <w:r w:rsidRPr="00754465">
        <w:rPr>
          <w:lang w:val="es-ES_tradnl"/>
        </w:rPr>
        <w:t>7.2) del Protocolo.</w:t>
      </w:r>
      <w:r w:rsidRPr="00754465">
        <w:rPr>
          <w:lang w:val="es-ES"/>
        </w:rPr>
        <w:t xml:space="preserve">  El hecho de que el registro internacional no se renueve respecto a todas las Partes Contratantes designadas no será considerado como constitutivo de modificación a los </w:t>
      </w:r>
      <w:r>
        <w:rPr>
          <w:lang w:val="es-ES"/>
        </w:rPr>
        <w:t>efectos</w:t>
      </w:r>
      <w:r w:rsidRPr="00754465">
        <w:rPr>
          <w:lang w:val="es-ES"/>
        </w:rPr>
        <w:t xml:space="preserve"> de lo dispuesto en el Artículo</w:t>
      </w:r>
      <w:r>
        <w:rPr>
          <w:lang w:val="es-ES"/>
        </w:rPr>
        <w:t> 7.2) del Arreglo o del Artículo </w:t>
      </w:r>
      <w:r w:rsidRPr="00754465">
        <w:rPr>
          <w:lang w:val="es-ES"/>
        </w:rPr>
        <w:t>7.2) del Protocolo.</w:t>
      </w:r>
      <w:r>
        <w:rPr>
          <w:lang w:val="es-ES"/>
        </w:rPr>
        <w:t xml:space="preserve">  </w:t>
      </w:r>
    </w:p>
    <w:p w:rsidR="005B09B2" w:rsidRPr="005B09B2" w:rsidRDefault="005B09B2" w:rsidP="005B09B2">
      <w:pPr>
        <w:ind w:firstLine="1134"/>
        <w:rPr>
          <w:lang w:val="es-ES"/>
        </w:rPr>
      </w:pPr>
    </w:p>
    <w:p w:rsidR="005B09B2" w:rsidRPr="00754465" w:rsidRDefault="005B09B2" w:rsidP="005B09B2">
      <w:pPr>
        <w:rPr>
          <w:lang w:val="es-ES"/>
        </w:rPr>
      </w:pPr>
      <w:r w:rsidRPr="00754465">
        <w:rPr>
          <w:lang w:val="es-ES"/>
        </w:rPr>
        <w:tab/>
        <w:t>[…]</w:t>
      </w:r>
    </w:p>
    <w:p w:rsidR="005B09B2" w:rsidRPr="00754465" w:rsidRDefault="005B09B2" w:rsidP="005B09B2">
      <w:pPr>
        <w:rPr>
          <w:lang w:val="es-ES"/>
        </w:rPr>
      </w:pPr>
    </w:p>
    <w:p w:rsidR="005B09B2" w:rsidRPr="00754465" w:rsidRDefault="005B09B2" w:rsidP="005B09B2">
      <w:pPr>
        <w:rPr>
          <w:lang w:val="es-ES"/>
        </w:rPr>
      </w:pPr>
    </w:p>
    <w:p w:rsidR="005B09B2" w:rsidRPr="00754465" w:rsidRDefault="005B09B2" w:rsidP="005B09B2">
      <w:pPr>
        <w:rPr>
          <w:lang w:val="es-ES"/>
        </w:rPr>
      </w:pPr>
    </w:p>
    <w:p w:rsidR="005B09B2" w:rsidRPr="00754465" w:rsidRDefault="005B09B2" w:rsidP="005B09B2">
      <w:pPr>
        <w:jc w:val="center"/>
        <w:rPr>
          <w:i/>
          <w:szCs w:val="30"/>
          <w:lang w:val="es-ES"/>
        </w:rPr>
      </w:pPr>
      <w:r w:rsidRPr="00754465">
        <w:rPr>
          <w:i/>
          <w:szCs w:val="30"/>
          <w:lang w:val="es-ES_tradnl"/>
        </w:rPr>
        <w:t>Regla 31</w:t>
      </w:r>
    </w:p>
    <w:p w:rsidR="005B09B2" w:rsidRPr="00754465" w:rsidRDefault="005B09B2" w:rsidP="005B09B2">
      <w:pPr>
        <w:jc w:val="center"/>
        <w:rPr>
          <w:szCs w:val="30"/>
          <w:lang w:val="es-ES"/>
        </w:rPr>
      </w:pPr>
      <w:r w:rsidRPr="00754465">
        <w:rPr>
          <w:i/>
          <w:szCs w:val="30"/>
          <w:lang w:val="es-ES_tradnl"/>
        </w:rPr>
        <w:t>Inscripción de la renovación;  notificación y certificado</w:t>
      </w:r>
    </w:p>
    <w:p w:rsidR="005B09B2" w:rsidRPr="00754465" w:rsidRDefault="005B09B2" w:rsidP="005B09B2">
      <w:pPr>
        <w:rPr>
          <w:lang w:val="es-ES"/>
        </w:rPr>
      </w:pPr>
    </w:p>
    <w:p w:rsidR="005B09B2" w:rsidRPr="00754465" w:rsidRDefault="005B09B2" w:rsidP="005B09B2">
      <w:pPr>
        <w:rPr>
          <w:lang w:val="es-ES"/>
        </w:rPr>
      </w:pPr>
      <w:r w:rsidRPr="00754465">
        <w:rPr>
          <w:lang w:val="es-ES"/>
        </w:rPr>
        <w:tab/>
        <w:t>[…]</w:t>
      </w:r>
    </w:p>
    <w:p w:rsidR="005B09B2" w:rsidRPr="00754465" w:rsidRDefault="005B09B2" w:rsidP="005B09B2">
      <w:pPr>
        <w:rPr>
          <w:lang w:val="es-ES"/>
        </w:rPr>
      </w:pPr>
    </w:p>
    <w:p w:rsidR="005B09B2" w:rsidRPr="009A4B5D" w:rsidRDefault="005B09B2" w:rsidP="005B09B2">
      <w:pPr>
        <w:ind w:firstLine="567"/>
        <w:rPr>
          <w:lang w:val="es-ES"/>
        </w:rPr>
      </w:pPr>
      <w:r w:rsidRPr="009A4B5D">
        <w:rPr>
          <w:lang w:val="es-ES"/>
        </w:rPr>
        <w:t>4)</w:t>
      </w:r>
      <w:r w:rsidRPr="009A4B5D">
        <w:rPr>
          <w:lang w:val="es-ES"/>
        </w:rPr>
        <w:tab/>
      </w:r>
      <w:r w:rsidRPr="009A4B5D">
        <w:rPr>
          <w:i/>
          <w:lang w:val="es-ES"/>
        </w:rPr>
        <w:t>[Notificación en caso de no renovación]</w:t>
      </w:r>
      <w:r w:rsidRPr="009A4B5D">
        <w:rPr>
          <w:lang w:val="es-ES"/>
        </w:rPr>
        <w:t xml:space="preserve">  a)  Cuando un registro internacional no se renueve, la Oficina Internacional notificará en consecuencia </w:t>
      </w:r>
      <w:r>
        <w:rPr>
          <w:lang w:val="es-ES"/>
        </w:rPr>
        <w:t xml:space="preserve">al titular, al mandatario, si lo hubiere, y </w:t>
      </w:r>
      <w:r w:rsidRPr="009A4B5D">
        <w:rPr>
          <w:lang w:val="es-ES"/>
        </w:rPr>
        <w:t>a las Oficinas de todas las Partes Contratantes designadas en ese registro internacional.</w:t>
      </w:r>
      <w:r>
        <w:rPr>
          <w:lang w:val="es-ES"/>
        </w:rPr>
        <w:t xml:space="preserve">  </w:t>
      </w:r>
    </w:p>
    <w:p w:rsidR="005B09B2" w:rsidRPr="009A4B5D" w:rsidRDefault="005B09B2" w:rsidP="005B09B2">
      <w:pPr>
        <w:ind w:firstLine="1134"/>
        <w:rPr>
          <w:lang w:val="es-ES"/>
        </w:rPr>
      </w:pPr>
      <w:r w:rsidRPr="009A4B5D">
        <w:rPr>
          <w:lang w:val="es-ES"/>
        </w:rPr>
        <w:t>b)</w:t>
      </w:r>
      <w:r w:rsidRPr="009A4B5D">
        <w:rPr>
          <w:lang w:val="es-ES"/>
        </w:rPr>
        <w:tab/>
        <w:t xml:space="preserve">Cuando un registro internacional no se renueve respecto a una Parte Contratante designada, la Oficina Internacional notificará en consecuencia </w:t>
      </w:r>
      <w:r>
        <w:rPr>
          <w:lang w:val="es-ES"/>
        </w:rPr>
        <w:t xml:space="preserve">al titular, al mandatario, si lo hubiere, y </w:t>
      </w:r>
      <w:r w:rsidRPr="009A4B5D">
        <w:rPr>
          <w:lang w:val="es-ES"/>
        </w:rPr>
        <w:t>a la Oficina de esa Parte Contratante.</w:t>
      </w:r>
      <w:r>
        <w:rPr>
          <w:lang w:val="es-ES"/>
        </w:rPr>
        <w:t xml:space="preserve">  </w:t>
      </w:r>
    </w:p>
    <w:p w:rsidR="005B09B2" w:rsidRPr="00754465" w:rsidRDefault="005B09B2" w:rsidP="005B09B2">
      <w:pPr>
        <w:ind w:firstLine="1134"/>
        <w:rPr>
          <w:lang w:val="es-ES"/>
        </w:rPr>
      </w:pPr>
    </w:p>
    <w:p w:rsidR="005B09B2" w:rsidRPr="00754465" w:rsidRDefault="005B09B2" w:rsidP="005B09B2">
      <w:pPr>
        <w:pStyle w:val="Endofdocument-Annex"/>
        <w:rPr>
          <w:lang w:val="es-ES"/>
        </w:rPr>
      </w:pPr>
    </w:p>
    <w:p w:rsidR="005B09B2" w:rsidRPr="00754465" w:rsidRDefault="005B09B2" w:rsidP="005B09B2">
      <w:pPr>
        <w:pStyle w:val="Endofdocument-Annex"/>
        <w:rPr>
          <w:lang w:val="es-ES"/>
        </w:rPr>
      </w:pPr>
    </w:p>
    <w:p w:rsidR="005B09B2" w:rsidRPr="00754465" w:rsidRDefault="005B09B2" w:rsidP="005B09B2">
      <w:pPr>
        <w:pStyle w:val="Endofdocument-Annex"/>
        <w:rPr>
          <w:lang w:val="es-ES"/>
        </w:rPr>
      </w:pPr>
      <w:r w:rsidRPr="00754465">
        <w:rPr>
          <w:lang w:val="es-ES"/>
        </w:rPr>
        <w:t>[Sigue el Anexo II]</w:t>
      </w:r>
    </w:p>
    <w:p w:rsidR="00BA1910" w:rsidRPr="004469D7" w:rsidRDefault="00BA1910" w:rsidP="00BA1910">
      <w:pPr>
        <w:pStyle w:val="Endofdocument-Annex"/>
        <w:rPr>
          <w:lang w:val="es-ES_tradnl"/>
        </w:rPr>
      </w:pPr>
    </w:p>
    <w:p w:rsidR="00BA1910" w:rsidRPr="004469D7" w:rsidRDefault="00BA1910" w:rsidP="00BA1910">
      <w:pPr>
        <w:pStyle w:val="Endofdocument-Annex"/>
        <w:rPr>
          <w:lang w:val="es-ES_tradnl"/>
        </w:rPr>
      </w:pPr>
    </w:p>
    <w:p w:rsidR="00BA1910" w:rsidRPr="004469D7" w:rsidRDefault="00BA1910" w:rsidP="008A1761">
      <w:pPr>
        <w:rPr>
          <w:szCs w:val="30"/>
          <w:lang w:val="es-ES_tradnl"/>
        </w:rPr>
        <w:sectPr w:rsidR="00BA1910" w:rsidRPr="004469D7" w:rsidSect="005D1B1F">
          <w:headerReference w:type="default" r:id="rId13"/>
          <w:headerReference w:type="first" r:id="rId14"/>
          <w:endnotePr>
            <w:numFmt w:val="decimal"/>
          </w:endnotePr>
          <w:pgSz w:w="11907" w:h="16840" w:code="9"/>
          <w:pgMar w:top="567" w:right="1134" w:bottom="851" w:left="1418" w:header="510" w:footer="1021" w:gutter="0"/>
          <w:pgNumType w:start="2"/>
          <w:cols w:space="720"/>
          <w:titlePg/>
        </w:sectPr>
      </w:pPr>
    </w:p>
    <w:p w:rsidR="00BA1910" w:rsidRPr="004469D7" w:rsidRDefault="002643BF" w:rsidP="00BA1910">
      <w:pPr>
        <w:jc w:val="center"/>
        <w:rPr>
          <w:bCs/>
          <w:lang w:val="es-ES_tradnl"/>
        </w:rPr>
      </w:pPr>
      <w:r w:rsidRPr="004469D7">
        <w:rPr>
          <w:bCs/>
          <w:lang w:val="es-ES_tradnl"/>
        </w:rPr>
        <w:t>TABLA DE TASAS</w:t>
      </w:r>
    </w:p>
    <w:p w:rsidR="00BA1910" w:rsidRPr="004469D7" w:rsidRDefault="00BA1910" w:rsidP="00BA1910">
      <w:pPr>
        <w:jc w:val="center"/>
        <w:rPr>
          <w:bCs/>
          <w:lang w:val="es-ES_tradnl"/>
        </w:rPr>
      </w:pPr>
    </w:p>
    <w:p w:rsidR="00BA1910" w:rsidRPr="004469D7" w:rsidRDefault="00BA1910" w:rsidP="00BA1910">
      <w:pPr>
        <w:jc w:val="center"/>
        <w:rPr>
          <w:bCs/>
          <w:lang w:val="es-ES_tradnl"/>
        </w:rPr>
      </w:pPr>
      <w:r w:rsidRPr="004469D7">
        <w:rPr>
          <w:bCs/>
          <w:lang w:val="es-ES_tradnl"/>
        </w:rPr>
        <w:t>(</w:t>
      </w:r>
      <w:r w:rsidR="002643BF" w:rsidRPr="004469D7">
        <w:rPr>
          <w:bCs/>
          <w:lang w:val="es-ES_tradnl"/>
        </w:rPr>
        <w:t>e</w:t>
      </w:r>
      <w:r w:rsidRPr="004469D7">
        <w:rPr>
          <w:bCs/>
          <w:lang w:val="es-ES_tradnl"/>
        </w:rPr>
        <w:t xml:space="preserve">n </w:t>
      </w:r>
      <w:r w:rsidR="002643BF" w:rsidRPr="004469D7">
        <w:rPr>
          <w:bCs/>
          <w:lang w:val="es-ES_tradnl"/>
        </w:rPr>
        <w:t xml:space="preserve">vigor el 1 de enero de </w:t>
      </w:r>
      <w:r w:rsidRPr="004469D7">
        <w:rPr>
          <w:bCs/>
          <w:lang w:val="es-ES_tradnl"/>
        </w:rPr>
        <w:t>2015)</w:t>
      </w:r>
    </w:p>
    <w:p w:rsidR="00BA1910" w:rsidRPr="004469D7" w:rsidRDefault="00BA1910" w:rsidP="00BA1910">
      <w:pPr>
        <w:jc w:val="center"/>
        <w:rPr>
          <w:b/>
          <w:bCs/>
          <w:lang w:val="es-ES_tradnl"/>
        </w:rPr>
      </w:pPr>
    </w:p>
    <w:p w:rsidR="00BA1910" w:rsidRPr="004469D7" w:rsidRDefault="00BA1910" w:rsidP="00BA1910">
      <w:pPr>
        <w:pStyle w:val="Endofdocument-Annex"/>
        <w:ind w:left="0"/>
        <w:jc w:val="center"/>
        <w:rPr>
          <w:lang w:val="es-ES_tradnl"/>
        </w:rPr>
      </w:pPr>
    </w:p>
    <w:p w:rsidR="002643BF" w:rsidRPr="004469D7" w:rsidRDefault="002643BF" w:rsidP="005B09B2">
      <w:pPr>
        <w:pStyle w:val="Endofdocument-Annex"/>
        <w:ind w:left="7655"/>
        <w:jc w:val="center"/>
        <w:rPr>
          <w:i/>
          <w:lang w:val="es-ES_tradnl"/>
        </w:rPr>
      </w:pPr>
      <w:r w:rsidRPr="004469D7">
        <w:rPr>
          <w:i/>
          <w:lang w:val="es-ES_tradnl"/>
        </w:rPr>
        <w:t>(francos suizos)</w:t>
      </w:r>
    </w:p>
    <w:p w:rsidR="002643BF" w:rsidRPr="004469D7" w:rsidRDefault="002643BF" w:rsidP="002643BF">
      <w:pPr>
        <w:pStyle w:val="Endofdocument-Annex"/>
        <w:ind w:left="0"/>
        <w:jc w:val="center"/>
        <w:rPr>
          <w:lang w:val="es-ES_tradnl"/>
        </w:rPr>
      </w:pPr>
    </w:p>
    <w:p w:rsidR="002643BF" w:rsidRPr="004469D7" w:rsidRDefault="002643BF" w:rsidP="002643BF">
      <w:pPr>
        <w:pStyle w:val="Endofdocument-Annex"/>
        <w:ind w:left="0"/>
        <w:jc w:val="center"/>
        <w:rPr>
          <w:lang w:val="es-ES_tradnl"/>
        </w:rPr>
      </w:pPr>
    </w:p>
    <w:p w:rsidR="002643BF" w:rsidRPr="004469D7" w:rsidRDefault="002643BF" w:rsidP="002643BF">
      <w:pPr>
        <w:pStyle w:val="Endofdocument-Annex"/>
        <w:ind w:left="0"/>
        <w:rPr>
          <w:lang w:val="es-ES_tradnl"/>
        </w:rPr>
      </w:pPr>
      <w:r w:rsidRPr="004469D7">
        <w:rPr>
          <w:lang w:val="es-ES_tradnl"/>
        </w:rPr>
        <w:t>[…]</w:t>
      </w:r>
    </w:p>
    <w:p w:rsidR="002643BF" w:rsidRPr="004469D7" w:rsidRDefault="002643BF" w:rsidP="002643BF">
      <w:pPr>
        <w:pStyle w:val="Endofdocument-Annex"/>
        <w:ind w:left="0"/>
        <w:rPr>
          <w:lang w:val="es-ES_tradnl"/>
        </w:rPr>
      </w:pPr>
    </w:p>
    <w:p w:rsidR="002643BF" w:rsidRPr="004469D7" w:rsidRDefault="002643BF" w:rsidP="002643BF">
      <w:pPr>
        <w:pStyle w:val="Endofdocument-Annex"/>
        <w:ind w:left="0"/>
        <w:rPr>
          <w:lang w:val="es-ES_tradnl"/>
        </w:rPr>
      </w:pPr>
    </w:p>
    <w:p w:rsidR="005B09B2" w:rsidRPr="00754465" w:rsidRDefault="005B09B2" w:rsidP="005B09B2">
      <w:pPr>
        <w:pStyle w:val="Endofdocument-Annex"/>
        <w:ind w:left="0"/>
        <w:rPr>
          <w:lang w:val="es-ES"/>
        </w:rPr>
      </w:pPr>
      <w:r>
        <w:rPr>
          <w:lang w:val="es-ES"/>
        </w:rPr>
        <w:t>7.</w:t>
      </w:r>
      <w:r>
        <w:rPr>
          <w:lang w:val="es-ES"/>
        </w:rPr>
        <w:tab/>
      </w:r>
      <w:r w:rsidRPr="00754465">
        <w:rPr>
          <w:i/>
          <w:lang w:val="es-ES"/>
        </w:rPr>
        <w:t>Otras inscripciones</w:t>
      </w:r>
    </w:p>
    <w:p w:rsidR="005B09B2" w:rsidRPr="00754465" w:rsidRDefault="005B09B2" w:rsidP="005B09B2">
      <w:pPr>
        <w:pStyle w:val="Endofdocument-Annex"/>
        <w:ind w:left="0"/>
        <w:rPr>
          <w:lang w:val="es-ES"/>
        </w:rPr>
      </w:pPr>
    </w:p>
    <w:p w:rsidR="005B09B2" w:rsidRPr="00754465" w:rsidRDefault="005B09B2" w:rsidP="005B09B2">
      <w:pPr>
        <w:pStyle w:val="Endofdocument-Annex"/>
        <w:ind w:left="0"/>
        <w:rPr>
          <w:lang w:val="es-ES"/>
        </w:rPr>
      </w:pPr>
      <w:r w:rsidRPr="00754465">
        <w:rPr>
          <w:lang w:val="es-ES"/>
        </w:rPr>
        <w:t>[…]</w:t>
      </w:r>
    </w:p>
    <w:p w:rsidR="005B09B2" w:rsidRPr="00754465" w:rsidRDefault="005B09B2" w:rsidP="005B09B2">
      <w:pPr>
        <w:pStyle w:val="Endofdocument-Annex"/>
        <w:ind w:left="0"/>
        <w:rPr>
          <w:lang w:val="es-ES"/>
        </w:rPr>
      </w:pPr>
    </w:p>
    <w:p w:rsidR="005B09B2" w:rsidRPr="00754465" w:rsidRDefault="005B09B2" w:rsidP="005B09B2">
      <w:pPr>
        <w:pStyle w:val="Endofdocument-Annex"/>
        <w:tabs>
          <w:tab w:val="left" w:pos="1134"/>
          <w:tab w:val="left" w:pos="8364"/>
        </w:tabs>
        <w:ind w:left="0" w:firstLine="567"/>
        <w:rPr>
          <w:lang w:val="es-ES"/>
        </w:rPr>
      </w:pPr>
      <w:r w:rsidRPr="00754465">
        <w:rPr>
          <w:lang w:val="es-ES"/>
        </w:rPr>
        <w:t>7.6</w:t>
      </w:r>
      <w:r w:rsidRPr="00754465">
        <w:rPr>
          <w:lang w:val="es-ES"/>
        </w:rPr>
        <w:tab/>
        <w:t>Petición de continuación de la tramitación en virtud de la Regla 5</w:t>
      </w:r>
      <w:r w:rsidRPr="00754465">
        <w:rPr>
          <w:i/>
          <w:lang w:val="es-ES"/>
        </w:rPr>
        <w:t>bis</w:t>
      </w:r>
      <w:r w:rsidRPr="00754465">
        <w:rPr>
          <w:lang w:val="es-ES"/>
        </w:rPr>
        <w:t>.1)</w:t>
      </w:r>
      <w:r>
        <w:rPr>
          <w:lang w:val="es-ES"/>
        </w:rPr>
        <w:tab/>
      </w:r>
      <w:r w:rsidRPr="00754465">
        <w:rPr>
          <w:lang w:val="es-ES"/>
        </w:rPr>
        <w:t>200</w:t>
      </w:r>
    </w:p>
    <w:p w:rsidR="005B09B2" w:rsidRPr="00754465" w:rsidRDefault="005B09B2" w:rsidP="005B09B2">
      <w:pPr>
        <w:pStyle w:val="Endofdocument-Annex"/>
        <w:ind w:left="0"/>
        <w:rPr>
          <w:lang w:val="es-ES"/>
        </w:rPr>
      </w:pPr>
    </w:p>
    <w:p w:rsidR="005B09B2" w:rsidRPr="00754465" w:rsidRDefault="005B09B2" w:rsidP="005B09B2">
      <w:pPr>
        <w:pStyle w:val="Endofdocument-Annex"/>
        <w:ind w:left="0"/>
        <w:rPr>
          <w:lang w:val="es-ES"/>
        </w:rPr>
      </w:pPr>
    </w:p>
    <w:p w:rsidR="005B09B2" w:rsidRPr="00754465" w:rsidRDefault="005B09B2" w:rsidP="005B09B2">
      <w:pPr>
        <w:pStyle w:val="Endofdocument-Annex"/>
        <w:ind w:left="0"/>
        <w:rPr>
          <w:lang w:val="es-ES"/>
        </w:rPr>
      </w:pPr>
    </w:p>
    <w:p w:rsidR="00BA1910" w:rsidRPr="004469D7" w:rsidRDefault="00BA1910" w:rsidP="005B09B2">
      <w:pPr>
        <w:pStyle w:val="Endofdocument-Annex"/>
        <w:rPr>
          <w:lang w:val="es-ES_tradnl"/>
        </w:rPr>
      </w:pPr>
      <w:r w:rsidRPr="004469D7">
        <w:rPr>
          <w:lang w:val="es-ES_tradnl"/>
        </w:rPr>
        <w:t>[</w:t>
      </w:r>
      <w:r w:rsidR="002643BF" w:rsidRPr="004469D7">
        <w:rPr>
          <w:lang w:val="es-ES_tradnl"/>
        </w:rPr>
        <w:t>Sigue el Anexo III</w:t>
      </w:r>
      <w:r w:rsidRPr="004469D7">
        <w:rPr>
          <w:lang w:val="es-ES_tradnl"/>
        </w:rPr>
        <w:t>]</w:t>
      </w:r>
    </w:p>
    <w:p w:rsidR="00BA1910" w:rsidRPr="004469D7" w:rsidRDefault="00BA1910" w:rsidP="00BA1910">
      <w:pPr>
        <w:pStyle w:val="Endofdocument-Annex"/>
        <w:rPr>
          <w:lang w:val="es-ES_tradnl"/>
        </w:rPr>
      </w:pPr>
    </w:p>
    <w:p w:rsidR="00BA1910" w:rsidRPr="004469D7" w:rsidRDefault="00BA1910" w:rsidP="00BA1910">
      <w:pPr>
        <w:pStyle w:val="Endofdocument-Annex"/>
        <w:rPr>
          <w:lang w:val="es-ES_tradnl"/>
        </w:rPr>
        <w:sectPr w:rsidR="00BA1910" w:rsidRPr="004469D7" w:rsidSect="008A1761">
          <w:headerReference w:type="first" r:id="rId15"/>
          <w:endnotePr>
            <w:numFmt w:val="decimal"/>
          </w:endnotePr>
          <w:pgSz w:w="11907" w:h="16840" w:code="9"/>
          <w:pgMar w:top="567" w:right="1134" w:bottom="851" w:left="1418" w:header="510" w:footer="1021" w:gutter="0"/>
          <w:pgNumType w:start="2"/>
          <w:cols w:space="720"/>
          <w:titlePg/>
        </w:sectPr>
      </w:pPr>
    </w:p>
    <w:p w:rsidR="00BA1910" w:rsidRPr="004469D7" w:rsidRDefault="000A5F80" w:rsidP="00BA1910">
      <w:pPr>
        <w:pStyle w:val="Endofdocument-Annex"/>
        <w:ind w:left="0"/>
        <w:jc w:val="center"/>
        <w:rPr>
          <w:lang w:val="es-ES_tradnl"/>
        </w:rPr>
        <w:sectPr w:rsidR="00BA1910" w:rsidRPr="004469D7" w:rsidSect="008A1761">
          <w:headerReference w:type="first" r:id="rId16"/>
          <w:endnotePr>
            <w:numFmt w:val="decimal"/>
          </w:endnotePr>
          <w:pgSz w:w="11907" w:h="16840" w:code="9"/>
          <w:pgMar w:top="567" w:right="1134" w:bottom="851" w:left="1418" w:header="510" w:footer="1021" w:gutter="0"/>
          <w:pgNumType w:start="2"/>
          <w:cols w:space="720"/>
          <w:titlePg/>
        </w:sectPr>
      </w:pPr>
      <w:r>
        <w:rPr>
          <w:noProof/>
          <w:lang w:eastAsia="en-US"/>
        </w:rPr>
        <w:drawing>
          <wp:inline distT="0" distB="0" distL="0" distR="0">
            <wp:extent cx="5953365" cy="842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6245" cy="8424173"/>
                    </a:xfrm>
                    <a:prstGeom prst="rect">
                      <a:avLst/>
                    </a:prstGeom>
                    <a:noFill/>
                    <a:ln>
                      <a:noFill/>
                    </a:ln>
                  </pic:spPr>
                </pic:pic>
              </a:graphicData>
            </a:graphic>
          </wp:inline>
        </w:drawing>
      </w:r>
    </w:p>
    <w:p w:rsidR="00BA1910" w:rsidRPr="004469D7" w:rsidRDefault="000A5F80" w:rsidP="00BA1910">
      <w:pPr>
        <w:pStyle w:val="Endofdocument-Annex"/>
        <w:ind w:left="0"/>
        <w:rPr>
          <w:noProof/>
          <w:lang w:val="es-ES_tradnl" w:eastAsia="en-US"/>
        </w:rPr>
      </w:pPr>
      <w:r>
        <w:rPr>
          <w:noProof/>
          <w:lang w:eastAsia="en-US"/>
        </w:rPr>
        <w:drawing>
          <wp:inline distT="0" distB="0" distL="0" distR="0">
            <wp:extent cx="5915025" cy="8365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8365872"/>
                    </a:xfrm>
                    <a:prstGeom prst="rect">
                      <a:avLst/>
                    </a:prstGeom>
                    <a:noFill/>
                    <a:ln>
                      <a:noFill/>
                    </a:ln>
                  </pic:spPr>
                </pic:pic>
              </a:graphicData>
            </a:graphic>
          </wp:inline>
        </w:drawing>
      </w:r>
    </w:p>
    <w:p w:rsidR="003853DD" w:rsidRPr="004469D7" w:rsidRDefault="003853DD" w:rsidP="00BA1910">
      <w:pPr>
        <w:pStyle w:val="Endofdocument-Annex"/>
        <w:ind w:left="0"/>
        <w:rPr>
          <w:lang w:val="es-ES_tradnl"/>
        </w:rPr>
      </w:pPr>
    </w:p>
    <w:p w:rsidR="00DB010D" w:rsidRPr="004469D7" w:rsidRDefault="00DB010D" w:rsidP="00BA1910">
      <w:pPr>
        <w:pStyle w:val="Endofdocument-Annex"/>
        <w:ind w:left="0"/>
        <w:rPr>
          <w:lang w:val="es-ES_tradnl"/>
        </w:rPr>
      </w:pPr>
      <w:r w:rsidRPr="004469D7">
        <w:rPr>
          <w:lang w:val="es-ES_tradnl"/>
        </w:rPr>
        <w:br w:type="page"/>
      </w:r>
    </w:p>
    <w:p w:rsidR="00DB010D" w:rsidRPr="004469D7" w:rsidRDefault="005B09B2" w:rsidP="00BA1910">
      <w:pPr>
        <w:pStyle w:val="Endofdocument-Annex"/>
        <w:ind w:left="0"/>
        <w:rPr>
          <w:lang w:val="es-ES_tradnl"/>
        </w:rPr>
      </w:pPr>
      <w:r>
        <w:rPr>
          <w:noProof/>
          <w:lang w:eastAsia="en-US"/>
        </w:rPr>
        <w:drawing>
          <wp:inline distT="0" distB="0" distL="0" distR="0">
            <wp:extent cx="5924550" cy="835574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8355740"/>
                    </a:xfrm>
                    <a:prstGeom prst="rect">
                      <a:avLst/>
                    </a:prstGeom>
                    <a:noFill/>
                    <a:ln>
                      <a:noFill/>
                    </a:ln>
                  </pic:spPr>
                </pic:pic>
              </a:graphicData>
            </a:graphic>
          </wp:inline>
        </w:drawing>
      </w:r>
    </w:p>
    <w:p w:rsidR="00DB010D" w:rsidRPr="004469D7" w:rsidRDefault="00DB010D" w:rsidP="00BA1910">
      <w:pPr>
        <w:pStyle w:val="Endofdocument-Annex"/>
        <w:ind w:left="0"/>
        <w:rPr>
          <w:lang w:val="es-ES_tradnl"/>
        </w:rPr>
      </w:pPr>
    </w:p>
    <w:p w:rsidR="00DB010D" w:rsidRPr="004469D7" w:rsidRDefault="00DB010D" w:rsidP="00BA1910">
      <w:pPr>
        <w:pStyle w:val="Endofdocument-Annex"/>
        <w:ind w:left="0"/>
        <w:rPr>
          <w:lang w:val="es-ES_tradnl"/>
        </w:rPr>
      </w:pPr>
      <w:r w:rsidRPr="004469D7">
        <w:rPr>
          <w:lang w:val="es-ES_tradnl"/>
        </w:rPr>
        <w:br w:type="page"/>
      </w:r>
    </w:p>
    <w:p w:rsidR="00DB010D" w:rsidRPr="004469D7" w:rsidRDefault="00A10D44" w:rsidP="00BA1910">
      <w:pPr>
        <w:pStyle w:val="Endofdocument-Annex"/>
        <w:ind w:left="0"/>
        <w:rPr>
          <w:lang w:val="es-ES_tradnl"/>
        </w:rPr>
      </w:pPr>
      <w:r>
        <w:rPr>
          <w:noProof/>
          <w:lang w:eastAsia="en-US"/>
        </w:rPr>
        <w:drawing>
          <wp:inline distT="0" distB="0" distL="0" distR="0">
            <wp:extent cx="5973570" cy="84486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3570" cy="8448675"/>
                    </a:xfrm>
                    <a:prstGeom prst="rect">
                      <a:avLst/>
                    </a:prstGeom>
                    <a:noFill/>
                    <a:ln>
                      <a:noFill/>
                    </a:ln>
                  </pic:spPr>
                </pic:pic>
              </a:graphicData>
            </a:graphic>
          </wp:inline>
        </w:drawing>
      </w:r>
    </w:p>
    <w:p w:rsidR="00DB010D" w:rsidRPr="004469D7" w:rsidRDefault="00DB010D" w:rsidP="00BA1910">
      <w:pPr>
        <w:pStyle w:val="Endofdocument-Annex"/>
        <w:ind w:left="0"/>
        <w:rPr>
          <w:lang w:val="es-ES_tradnl"/>
        </w:rPr>
      </w:pPr>
    </w:p>
    <w:p w:rsidR="00DB010D" w:rsidRPr="004469D7" w:rsidRDefault="00DB010D" w:rsidP="00BA1910">
      <w:pPr>
        <w:pStyle w:val="Endofdocument-Annex"/>
        <w:ind w:left="0"/>
        <w:rPr>
          <w:lang w:val="es-ES_tradnl"/>
        </w:rPr>
      </w:pPr>
    </w:p>
    <w:p w:rsidR="00DB010D" w:rsidRPr="004469D7" w:rsidRDefault="00DB010D" w:rsidP="00DB010D">
      <w:pPr>
        <w:pStyle w:val="Endofdocument-Annex"/>
        <w:rPr>
          <w:lang w:val="es-ES_tradnl"/>
        </w:rPr>
      </w:pPr>
      <w:r w:rsidRPr="004469D7">
        <w:rPr>
          <w:lang w:val="es-ES_tradnl"/>
        </w:rPr>
        <w:t>[</w:t>
      </w:r>
      <w:r w:rsidR="00E80EB6">
        <w:rPr>
          <w:lang w:val="es-ES_tradnl"/>
        </w:rPr>
        <w:t>Sigue el Anexo</w:t>
      </w:r>
      <w:r w:rsidRPr="004469D7">
        <w:rPr>
          <w:lang w:val="es-ES_tradnl"/>
        </w:rPr>
        <w:t xml:space="preserve"> IV]</w:t>
      </w:r>
    </w:p>
    <w:p w:rsidR="00DB010D" w:rsidRPr="004469D7" w:rsidRDefault="00DB010D" w:rsidP="00BA1910">
      <w:pPr>
        <w:pStyle w:val="Endofdocument-Annex"/>
        <w:ind w:left="0"/>
        <w:rPr>
          <w:lang w:val="es-ES_tradnl"/>
        </w:rPr>
        <w:sectPr w:rsidR="00DB010D" w:rsidRPr="004469D7" w:rsidSect="008A1761">
          <w:headerReference w:type="default" r:id="rId21"/>
          <w:headerReference w:type="first" r:id="rId22"/>
          <w:endnotePr>
            <w:numFmt w:val="decimal"/>
          </w:endnotePr>
          <w:pgSz w:w="11907" w:h="16840" w:code="9"/>
          <w:pgMar w:top="567" w:right="1134" w:bottom="851" w:left="1418" w:header="510" w:footer="1021" w:gutter="0"/>
          <w:pgNumType w:start="2"/>
          <w:cols w:space="720"/>
          <w:titlePg/>
        </w:sectPr>
      </w:pPr>
    </w:p>
    <w:p w:rsidR="00DB010D" w:rsidRPr="004469D7" w:rsidRDefault="00A10D44" w:rsidP="00BA1910">
      <w:pPr>
        <w:pStyle w:val="Endofdocument-Annex"/>
        <w:ind w:left="0"/>
        <w:rPr>
          <w:noProof/>
          <w:lang w:val="es-ES_tradnl" w:eastAsia="en-US"/>
        </w:rPr>
      </w:pPr>
      <w:r>
        <w:rPr>
          <w:noProof/>
          <w:lang w:eastAsia="en-US"/>
        </w:rPr>
        <w:drawing>
          <wp:inline distT="0" distB="0" distL="0" distR="0">
            <wp:extent cx="5919694" cy="837247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694" cy="8372475"/>
                    </a:xfrm>
                    <a:prstGeom prst="rect">
                      <a:avLst/>
                    </a:prstGeom>
                    <a:noFill/>
                    <a:ln>
                      <a:noFill/>
                    </a:ln>
                  </pic:spPr>
                </pic:pic>
              </a:graphicData>
            </a:graphic>
          </wp:inline>
        </w:drawing>
      </w:r>
    </w:p>
    <w:p w:rsidR="00953086" w:rsidRPr="004469D7" w:rsidRDefault="00953086" w:rsidP="00BA1910">
      <w:pPr>
        <w:pStyle w:val="Endofdocument-Annex"/>
        <w:ind w:left="0"/>
        <w:rPr>
          <w:noProof/>
          <w:lang w:val="es-ES_tradnl" w:eastAsia="en-US"/>
        </w:rPr>
      </w:pPr>
    </w:p>
    <w:p w:rsidR="00953086" w:rsidRPr="004469D7" w:rsidRDefault="00953086" w:rsidP="00BA1910">
      <w:pPr>
        <w:pStyle w:val="Endofdocument-Annex"/>
        <w:ind w:left="0"/>
        <w:rPr>
          <w:lang w:val="es-ES_tradnl"/>
        </w:rPr>
      </w:pPr>
    </w:p>
    <w:p w:rsidR="00EE16E8" w:rsidRPr="004469D7" w:rsidRDefault="00EE16E8" w:rsidP="00BA1910">
      <w:pPr>
        <w:pStyle w:val="Endofdocument-Annex"/>
        <w:ind w:left="0"/>
        <w:rPr>
          <w:lang w:val="es-ES_tradnl"/>
        </w:rPr>
        <w:sectPr w:rsidR="00EE16E8" w:rsidRPr="004469D7" w:rsidSect="008A1761">
          <w:headerReference w:type="first" r:id="rId24"/>
          <w:endnotePr>
            <w:numFmt w:val="decimal"/>
          </w:endnotePr>
          <w:pgSz w:w="11907" w:h="16840" w:code="9"/>
          <w:pgMar w:top="567" w:right="1134" w:bottom="851" w:left="1418" w:header="510" w:footer="1021" w:gutter="0"/>
          <w:pgNumType w:start="2"/>
          <w:cols w:space="720"/>
          <w:titlePg/>
        </w:sectPr>
      </w:pPr>
    </w:p>
    <w:p w:rsidR="00EE16E8" w:rsidRPr="004469D7" w:rsidRDefault="00A10D44" w:rsidP="00BA1910">
      <w:pPr>
        <w:pStyle w:val="Endofdocument-Annex"/>
        <w:ind w:left="0"/>
        <w:rPr>
          <w:noProof/>
          <w:lang w:val="es-ES_tradnl" w:eastAsia="en-US"/>
        </w:rPr>
      </w:pPr>
      <w:r>
        <w:rPr>
          <w:noProof/>
          <w:lang w:eastAsia="en-US"/>
        </w:rPr>
        <w:drawing>
          <wp:inline distT="0" distB="0" distL="0" distR="0">
            <wp:extent cx="5933163" cy="8391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3163" cy="8391525"/>
                    </a:xfrm>
                    <a:prstGeom prst="rect">
                      <a:avLst/>
                    </a:prstGeom>
                    <a:noFill/>
                    <a:ln>
                      <a:noFill/>
                    </a:ln>
                  </pic:spPr>
                </pic:pic>
              </a:graphicData>
            </a:graphic>
          </wp:inline>
        </w:drawing>
      </w:r>
    </w:p>
    <w:p w:rsidR="00953086" w:rsidRPr="004469D7" w:rsidRDefault="00953086" w:rsidP="00BA1910">
      <w:pPr>
        <w:pStyle w:val="Endofdocument-Annex"/>
        <w:ind w:left="0"/>
        <w:rPr>
          <w:lang w:val="es-ES_tradnl"/>
        </w:rPr>
      </w:pPr>
    </w:p>
    <w:p w:rsidR="001B0E60" w:rsidRPr="004469D7" w:rsidRDefault="001B0E60" w:rsidP="00BA1910">
      <w:pPr>
        <w:pStyle w:val="Endofdocument-Annex"/>
        <w:ind w:left="0"/>
        <w:rPr>
          <w:lang w:val="es-ES_tradnl"/>
        </w:rPr>
      </w:pPr>
      <w:r w:rsidRPr="004469D7">
        <w:rPr>
          <w:lang w:val="es-ES_tradnl"/>
        </w:rPr>
        <w:br w:type="page"/>
      </w:r>
    </w:p>
    <w:p w:rsidR="001B0E60" w:rsidRPr="004469D7" w:rsidRDefault="00A10D44" w:rsidP="00BA1910">
      <w:pPr>
        <w:pStyle w:val="Endofdocument-Annex"/>
        <w:ind w:left="0"/>
        <w:rPr>
          <w:lang w:val="es-ES_tradnl"/>
        </w:rPr>
      </w:pPr>
      <w:r>
        <w:rPr>
          <w:noProof/>
          <w:lang w:eastAsia="en-US"/>
        </w:rPr>
        <w:drawing>
          <wp:inline distT="0" distB="0" distL="0" distR="0">
            <wp:extent cx="5933163" cy="8391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3163" cy="8391525"/>
                    </a:xfrm>
                    <a:prstGeom prst="rect">
                      <a:avLst/>
                    </a:prstGeom>
                    <a:noFill/>
                    <a:ln>
                      <a:noFill/>
                    </a:ln>
                  </pic:spPr>
                </pic:pic>
              </a:graphicData>
            </a:graphic>
          </wp:inline>
        </w:drawing>
      </w:r>
    </w:p>
    <w:p w:rsidR="001B0E60" w:rsidRPr="004469D7" w:rsidRDefault="001B0E60" w:rsidP="00BA1910">
      <w:pPr>
        <w:pStyle w:val="Endofdocument-Annex"/>
        <w:ind w:left="0"/>
        <w:rPr>
          <w:lang w:val="es-ES_tradnl"/>
        </w:rPr>
      </w:pPr>
      <w:r w:rsidRPr="004469D7">
        <w:rPr>
          <w:lang w:val="es-ES_tradnl"/>
        </w:rPr>
        <w:br w:type="page"/>
      </w:r>
    </w:p>
    <w:p w:rsidR="001B0E60" w:rsidRPr="004469D7" w:rsidRDefault="00A10D44" w:rsidP="00BA1910">
      <w:pPr>
        <w:pStyle w:val="Endofdocument-Annex"/>
        <w:ind w:left="0"/>
        <w:rPr>
          <w:lang w:val="es-ES_tradnl"/>
        </w:rPr>
      </w:pPr>
      <w:r>
        <w:rPr>
          <w:noProof/>
          <w:lang w:eastAsia="en-US"/>
        </w:rPr>
        <w:drawing>
          <wp:inline distT="0" distB="0" distL="0" distR="0">
            <wp:extent cx="5946632" cy="8410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6632" cy="8410575"/>
                    </a:xfrm>
                    <a:prstGeom prst="rect">
                      <a:avLst/>
                    </a:prstGeom>
                    <a:noFill/>
                    <a:ln>
                      <a:noFill/>
                    </a:ln>
                  </pic:spPr>
                </pic:pic>
              </a:graphicData>
            </a:graphic>
          </wp:inline>
        </w:drawing>
      </w:r>
    </w:p>
    <w:p w:rsidR="001B0E60" w:rsidRPr="004469D7" w:rsidRDefault="001B0E60" w:rsidP="00BA1910">
      <w:pPr>
        <w:pStyle w:val="Endofdocument-Annex"/>
        <w:ind w:left="0"/>
        <w:rPr>
          <w:lang w:val="es-ES_tradnl"/>
        </w:rPr>
      </w:pPr>
    </w:p>
    <w:p w:rsidR="001B0E60" w:rsidRPr="004469D7" w:rsidRDefault="001B0E60" w:rsidP="00BA1910">
      <w:pPr>
        <w:pStyle w:val="Endofdocument-Annex"/>
        <w:ind w:left="0"/>
        <w:rPr>
          <w:lang w:val="es-ES_tradnl"/>
        </w:rPr>
      </w:pPr>
      <w:r w:rsidRPr="004469D7">
        <w:rPr>
          <w:lang w:val="es-ES_tradnl"/>
        </w:rPr>
        <w:br w:type="page"/>
      </w:r>
    </w:p>
    <w:p w:rsidR="001B0E60" w:rsidRPr="004469D7" w:rsidRDefault="00A10D44" w:rsidP="00BA1910">
      <w:pPr>
        <w:pStyle w:val="Endofdocument-Annex"/>
        <w:ind w:left="0"/>
        <w:rPr>
          <w:lang w:val="es-ES_tradnl"/>
        </w:rPr>
      </w:pPr>
      <w:r>
        <w:rPr>
          <w:noProof/>
          <w:lang w:eastAsia="en-US"/>
        </w:rPr>
        <w:drawing>
          <wp:inline distT="0" distB="0" distL="0" distR="0">
            <wp:extent cx="5905500" cy="83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0" cy="8352400"/>
                    </a:xfrm>
                    <a:prstGeom prst="rect">
                      <a:avLst/>
                    </a:prstGeom>
                    <a:noFill/>
                    <a:ln>
                      <a:noFill/>
                    </a:ln>
                  </pic:spPr>
                </pic:pic>
              </a:graphicData>
            </a:graphic>
          </wp:inline>
        </w:drawing>
      </w:r>
    </w:p>
    <w:p w:rsidR="001B0E60" w:rsidRPr="004469D7" w:rsidRDefault="001B0E60" w:rsidP="00BA1910">
      <w:pPr>
        <w:pStyle w:val="Endofdocument-Annex"/>
        <w:ind w:left="0"/>
        <w:rPr>
          <w:lang w:val="es-ES_tradnl"/>
        </w:rPr>
      </w:pPr>
    </w:p>
    <w:p w:rsidR="001B0E60" w:rsidRPr="004469D7" w:rsidRDefault="001B0E60" w:rsidP="00BA1910">
      <w:pPr>
        <w:pStyle w:val="Endofdocument-Annex"/>
        <w:ind w:left="0"/>
        <w:rPr>
          <w:lang w:val="es-ES_tradnl"/>
        </w:rPr>
      </w:pPr>
    </w:p>
    <w:p w:rsidR="001B0E60" w:rsidRPr="004469D7" w:rsidRDefault="001B0E60" w:rsidP="001B0E60">
      <w:pPr>
        <w:pStyle w:val="Endofdocument-Annex"/>
        <w:rPr>
          <w:lang w:val="es-ES_tradnl"/>
        </w:rPr>
      </w:pPr>
      <w:r w:rsidRPr="004469D7">
        <w:rPr>
          <w:lang w:val="es-ES_tradnl"/>
        </w:rPr>
        <w:t>[</w:t>
      </w:r>
      <w:r w:rsidR="004D6C00">
        <w:rPr>
          <w:lang w:val="es-ES_tradnl"/>
        </w:rPr>
        <w:t>Fin del An</w:t>
      </w:r>
      <w:r w:rsidRPr="004469D7">
        <w:rPr>
          <w:lang w:val="es-ES_tradnl"/>
        </w:rPr>
        <w:t>ex</w:t>
      </w:r>
      <w:r w:rsidR="004D6C00">
        <w:rPr>
          <w:lang w:val="es-ES_tradnl"/>
        </w:rPr>
        <w:t>o</w:t>
      </w:r>
      <w:r w:rsidRPr="004469D7">
        <w:rPr>
          <w:lang w:val="es-ES_tradnl"/>
        </w:rPr>
        <w:t xml:space="preserve"> IV]</w:t>
      </w:r>
    </w:p>
    <w:sectPr w:rsidR="001B0E60" w:rsidRPr="004469D7" w:rsidSect="008A1761">
      <w:headerReference w:type="default" r:id="rId29"/>
      <w:headerReference w:type="first" r:id="rId30"/>
      <w:endnotePr>
        <w:numFmt w:val="decimal"/>
      </w:endnotePr>
      <w:pgSz w:w="11907" w:h="16840" w:code="9"/>
      <w:pgMar w:top="567" w:right="1134" w:bottom="851"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0E" w:rsidRDefault="00BD680E">
      <w:r>
        <w:separator/>
      </w:r>
    </w:p>
  </w:endnote>
  <w:endnote w:type="continuationSeparator" w:id="0">
    <w:p w:rsidR="00BD680E" w:rsidRDefault="00BD680E" w:rsidP="003B38C1">
      <w:r>
        <w:separator/>
      </w:r>
    </w:p>
    <w:p w:rsidR="00BD680E" w:rsidRPr="003B38C1" w:rsidRDefault="00BD680E" w:rsidP="003B38C1">
      <w:pPr>
        <w:spacing w:after="60"/>
        <w:rPr>
          <w:sz w:val="17"/>
        </w:rPr>
      </w:pPr>
      <w:r>
        <w:rPr>
          <w:sz w:val="17"/>
        </w:rPr>
        <w:t>[Endnote continued from previous page]</w:t>
      </w:r>
    </w:p>
  </w:endnote>
  <w:endnote w:type="continuationNotice" w:id="1">
    <w:p w:rsidR="00BD680E" w:rsidRPr="003B38C1" w:rsidRDefault="00BD68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0E" w:rsidRDefault="00BD680E">
      <w:r>
        <w:separator/>
      </w:r>
    </w:p>
  </w:footnote>
  <w:footnote w:type="continuationSeparator" w:id="0">
    <w:p w:rsidR="00BD680E" w:rsidRDefault="00BD680E" w:rsidP="008B60B2">
      <w:r>
        <w:separator/>
      </w:r>
    </w:p>
    <w:p w:rsidR="00BD680E" w:rsidRPr="00ED77FB" w:rsidRDefault="00BD680E" w:rsidP="008B60B2">
      <w:pPr>
        <w:spacing w:after="60"/>
        <w:rPr>
          <w:sz w:val="17"/>
          <w:szCs w:val="17"/>
        </w:rPr>
      </w:pPr>
      <w:r w:rsidRPr="00ED77FB">
        <w:rPr>
          <w:sz w:val="17"/>
          <w:szCs w:val="17"/>
        </w:rPr>
        <w:t>[Footnote continued from previous page]</w:t>
      </w:r>
    </w:p>
  </w:footnote>
  <w:footnote w:type="continuationNotice" w:id="1">
    <w:p w:rsidR="00BD680E" w:rsidRPr="00ED77FB" w:rsidRDefault="00BD68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1F" w:rsidRPr="005D1B1F" w:rsidRDefault="005D1B1F">
    <w:pPr>
      <w:pStyle w:val="Header"/>
      <w:jc w:val="right"/>
      <w:rPr>
        <w:lang w:val="es-ES"/>
      </w:rPr>
    </w:pPr>
    <w:bookmarkStart w:id="2" w:name="Code2"/>
    <w:bookmarkEnd w:id="2"/>
    <w:r w:rsidRPr="005D1B1F">
      <w:rPr>
        <w:lang w:val="es-ES"/>
      </w:rPr>
      <w:t xml:space="preserve">página </w:t>
    </w:r>
    <w:sdt>
      <w:sdtPr>
        <w:rPr>
          <w:lang w:val="es-ES"/>
        </w:rPr>
        <w:id w:val="-795148494"/>
        <w:docPartObj>
          <w:docPartGallery w:val="Page Numbers (Top of Page)"/>
          <w:docPartUnique/>
        </w:docPartObj>
      </w:sdtPr>
      <w:sdtEndPr>
        <w:rPr>
          <w:noProof/>
        </w:rPr>
      </w:sdtEndPr>
      <w:sdtContent>
        <w:r w:rsidRPr="005D1B1F">
          <w:rPr>
            <w:lang w:val="es-ES"/>
          </w:rPr>
          <w:fldChar w:fldCharType="begin"/>
        </w:r>
        <w:r w:rsidRPr="005D1B1F">
          <w:rPr>
            <w:lang w:val="es-ES"/>
          </w:rPr>
          <w:instrText xml:space="preserve"> PAGE   \* MERGEFORMAT </w:instrText>
        </w:r>
        <w:r w:rsidRPr="005D1B1F">
          <w:rPr>
            <w:lang w:val="es-ES"/>
          </w:rPr>
          <w:fldChar w:fldCharType="separate"/>
        </w:r>
        <w:r w:rsidR="00552147">
          <w:rPr>
            <w:noProof/>
            <w:lang w:val="es-ES"/>
          </w:rPr>
          <w:t>3</w:t>
        </w:r>
        <w:r w:rsidRPr="005D1B1F">
          <w:rPr>
            <w:noProof/>
            <w:lang w:val="es-ES"/>
          </w:rPr>
          <w:fldChar w:fldCharType="end"/>
        </w:r>
      </w:sdtContent>
    </w:sdt>
  </w:p>
  <w:p w:rsidR="002A2E4F" w:rsidRPr="005D1B1F" w:rsidRDefault="002A2E4F"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523190"/>
      <w:docPartObj>
        <w:docPartGallery w:val="Page Numbers (Top of Page)"/>
        <w:docPartUnique/>
      </w:docPartObj>
    </w:sdtPr>
    <w:sdtEndPr>
      <w:rPr>
        <w:noProof/>
      </w:rPr>
    </w:sdtEndPr>
    <w:sdtContent>
      <w:p w:rsidR="00DB010D" w:rsidRDefault="004D6C00">
        <w:pPr>
          <w:pStyle w:val="Header"/>
          <w:jc w:val="right"/>
        </w:pPr>
        <w:r>
          <w:t>AN</w:t>
        </w:r>
        <w:r w:rsidR="00DB010D">
          <w:t>EX</w:t>
        </w:r>
        <w:r>
          <w:t>O</w:t>
        </w:r>
        <w:r w:rsidR="00DB010D">
          <w:t xml:space="preserve"> IV</w:t>
        </w:r>
      </w:p>
    </w:sdtContent>
  </w:sdt>
  <w:p w:rsidR="00DB010D" w:rsidRDefault="00DB010D" w:rsidP="008A1761">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EF" w:rsidRDefault="004D6C00" w:rsidP="00477D6B">
    <w:pPr>
      <w:jc w:val="right"/>
    </w:pPr>
    <w:r>
      <w:t>An</w:t>
    </w:r>
    <w:r w:rsidR="00C633EF">
      <w:t>ex</w:t>
    </w:r>
    <w:r>
      <w:t>o IV, página</w:t>
    </w:r>
    <w:r w:rsidR="00C633EF">
      <w:t xml:space="preserve"> </w:t>
    </w:r>
    <w:r w:rsidR="00C633EF">
      <w:fldChar w:fldCharType="begin"/>
    </w:r>
    <w:r w:rsidR="00C633EF">
      <w:instrText xml:space="preserve"> PAGE  \* MERGEFORMAT </w:instrText>
    </w:r>
    <w:r w:rsidR="00C633EF">
      <w:fldChar w:fldCharType="separate"/>
    </w:r>
    <w:r w:rsidR="00552147">
      <w:rPr>
        <w:noProof/>
      </w:rPr>
      <w:t>5</w:t>
    </w:r>
    <w:r w:rsidR="00C633EF">
      <w:fldChar w:fldCharType="end"/>
    </w:r>
  </w:p>
  <w:p w:rsidR="00C633EF" w:rsidRDefault="00C633EF"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E8" w:rsidRDefault="004D6C00">
    <w:pPr>
      <w:pStyle w:val="Header"/>
      <w:jc w:val="right"/>
    </w:pPr>
    <w:r>
      <w:t>An</w:t>
    </w:r>
    <w:r w:rsidR="001B0E60">
      <w:t>ex</w:t>
    </w:r>
    <w:r>
      <w:t>o IV, página</w:t>
    </w:r>
    <w:r w:rsidR="001B0E60">
      <w:t xml:space="preserve"> </w:t>
    </w:r>
    <w:sdt>
      <w:sdtPr>
        <w:id w:val="1397317723"/>
        <w:docPartObj>
          <w:docPartGallery w:val="Page Numbers (Top of Page)"/>
          <w:docPartUnique/>
        </w:docPartObj>
      </w:sdtPr>
      <w:sdtEndPr>
        <w:rPr>
          <w:noProof/>
        </w:rPr>
      </w:sdtEndPr>
      <w:sdtContent>
        <w:r w:rsidR="00EE16E8">
          <w:fldChar w:fldCharType="begin"/>
        </w:r>
        <w:r w:rsidR="00EE16E8">
          <w:instrText xml:space="preserve"> PAGE   \* MERGEFORMAT </w:instrText>
        </w:r>
        <w:r w:rsidR="00EE16E8">
          <w:fldChar w:fldCharType="separate"/>
        </w:r>
        <w:r w:rsidR="00552147">
          <w:rPr>
            <w:noProof/>
          </w:rPr>
          <w:t>2</w:t>
        </w:r>
        <w:r w:rsidR="00EE16E8">
          <w:rPr>
            <w:noProof/>
          </w:rPr>
          <w:fldChar w:fldCharType="end"/>
        </w:r>
      </w:sdtContent>
    </w:sdt>
  </w:p>
  <w:p w:rsidR="00EE16E8" w:rsidRDefault="00EE16E8" w:rsidP="008A176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1F" w:rsidRPr="005D1B1F" w:rsidRDefault="005D1B1F">
    <w:pPr>
      <w:pStyle w:val="Header"/>
      <w:jc w:val="right"/>
      <w:rPr>
        <w:lang w:val="es-ES"/>
      </w:rPr>
    </w:pPr>
    <w:proofErr w:type="gramStart"/>
    <w:r w:rsidRPr="005D1B1F">
      <w:rPr>
        <w:lang w:val="es-ES"/>
      </w:rPr>
      <w:t>página</w:t>
    </w:r>
    <w:proofErr w:type="gramEnd"/>
    <w:r w:rsidRPr="005D1B1F">
      <w:rPr>
        <w:lang w:val="es-ES"/>
      </w:rPr>
      <w:t xml:space="preserve"> </w:t>
    </w:r>
    <w:sdt>
      <w:sdtPr>
        <w:rPr>
          <w:lang w:val="es-ES"/>
        </w:rPr>
        <w:id w:val="2019037419"/>
        <w:docPartObj>
          <w:docPartGallery w:val="Page Numbers (Top of Page)"/>
          <w:docPartUnique/>
        </w:docPartObj>
      </w:sdtPr>
      <w:sdtEndPr>
        <w:rPr>
          <w:noProof/>
        </w:rPr>
      </w:sdtEndPr>
      <w:sdtContent>
        <w:r w:rsidRPr="005D1B1F">
          <w:rPr>
            <w:lang w:val="es-ES"/>
          </w:rPr>
          <w:fldChar w:fldCharType="begin"/>
        </w:r>
        <w:r w:rsidRPr="005D1B1F">
          <w:rPr>
            <w:lang w:val="es-ES"/>
          </w:rPr>
          <w:instrText xml:space="preserve"> PAGE   \* MERGEFORMAT </w:instrText>
        </w:r>
        <w:r w:rsidRPr="005D1B1F">
          <w:rPr>
            <w:lang w:val="es-ES"/>
          </w:rPr>
          <w:fldChar w:fldCharType="separate"/>
        </w:r>
        <w:r w:rsidR="009741B3">
          <w:rPr>
            <w:noProof/>
            <w:lang w:val="es-ES"/>
          </w:rPr>
          <w:t>2</w:t>
        </w:r>
        <w:r w:rsidRPr="005D1B1F">
          <w:rPr>
            <w:noProof/>
            <w:lang w:val="es-ES"/>
          </w:rPr>
          <w:fldChar w:fldCharType="end"/>
        </w:r>
      </w:sdtContent>
    </w:sdt>
  </w:p>
  <w:p w:rsidR="005D1B1F" w:rsidRPr="005D1B1F" w:rsidRDefault="005D1B1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61" w:rsidRDefault="00A5004F" w:rsidP="008A1761">
    <w:pPr>
      <w:jc w:val="right"/>
    </w:pPr>
    <w:r>
      <w:t>ANEXO I</w:t>
    </w:r>
  </w:p>
  <w:p w:rsidR="008A1761" w:rsidRDefault="008A1761" w:rsidP="008A176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1F" w:rsidRPr="005D1B1F" w:rsidRDefault="005D1B1F">
    <w:pPr>
      <w:pStyle w:val="Header"/>
      <w:jc w:val="right"/>
      <w:rPr>
        <w:lang w:val="es-ES"/>
      </w:rPr>
    </w:pPr>
    <w:r>
      <w:rPr>
        <w:lang w:val="es-ES"/>
      </w:rPr>
      <w:t xml:space="preserve">Anexo I, </w:t>
    </w:r>
    <w:r w:rsidRPr="005D1B1F">
      <w:rPr>
        <w:lang w:val="es-ES"/>
      </w:rPr>
      <w:t xml:space="preserve">página </w:t>
    </w:r>
    <w:sdt>
      <w:sdtPr>
        <w:rPr>
          <w:lang w:val="es-ES"/>
        </w:rPr>
        <w:id w:val="-408161252"/>
        <w:docPartObj>
          <w:docPartGallery w:val="Page Numbers (Top of Page)"/>
          <w:docPartUnique/>
        </w:docPartObj>
      </w:sdtPr>
      <w:sdtEndPr>
        <w:rPr>
          <w:noProof/>
        </w:rPr>
      </w:sdtEndPr>
      <w:sdtContent>
        <w:r w:rsidRPr="005D1B1F">
          <w:rPr>
            <w:lang w:val="es-ES"/>
          </w:rPr>
          <w:fldChar w:fldCharType="begin"/>
        </w:r>
        <w:r w:rsidRPr="005D1B1F">
          <w:rPr>
            <w:lang w:val="es-ES"/>
          </w:rPr>
          <w:instrText xml:space="preserve"> PAGE   \* MERGEFORMAT </w:instrText>
        </w:r>
        <w:r w:rsidRPr="005D1B1F">
          <w:rPr>
            <w:lang w:val="es-ES"/>
          </w:rPr>
          <w:fldChar w:fldCharType="separate"/>
        </w:r>
        <w:r w:rsidR="00552147">
          <w:rPr>
            <w:noProof/>
            <w:lang w:val="es-ES"/>
          </w:rPr>
          <w:t>3</w:t>
        </w:r>
        <w:r w:rsidRPr="005D1B1F">
          <w:rPr>
            <w:noProof/>
            <w:lang w:val="es-ES"/>
          </w:rPr>
          <w:fldChar w:fldCharType="end"/>
        </w:r>
      </w:sdtContent>
    </w:sdt>
  </w:p>
  <w:p w:rsidR="005D1B1F" w:rsidRPr="005D1B1F" w:rsidRDefault="005D1B1F"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1F" w:rsidRPr="005D1B1F" w:rsidRDefault="005D1B1F" w:rsidP="005D1B1F">
    <w:pPr>
      <w:pStyle w:val="Header"/>
      <w:jc w:val="right"/>
      <w:rPr>
        <w:lang w:val="es-ES"/>
      </w:rPr>
    </w:pPr>
    <w:r>
      <w:rPr>
        <w:lang w:val="es-ES"/>
      </w:rPr>
      <w:t xml:space="preserve">Anexo I, </w:t>
    </w:r>
    <w:r w:rsidRPr="005D1B1F">
      <w:rPr>
        <w:lang w:val="es-ES"/>
      </w:rPr>
      <w:t xml:space="preserve">página </w:t>
    </w:r>
    <w:sdt>
      <w:sdtPr>
        <w:rPr>
          <w:lang w:val="es-ES"/>
        </w:rPr>
        <w:id w:val="-1858106733"/>
        <w:docPartObj>
          <w:docPartGallery w:val="Page Numbers (Top of Page)"/>
          <w:docPartUnique/>
        </w:docPartObj>
      </w:sdtPr>
      <w:sdtEndPr>
        <w:rPr>
          <w:noProof/>
        </w:rPr>
      </w:sdtEndPr>
      <w:sdtContent>
        <w:r w:rsidRPr="005D1B1F">
          <w:rPr>
            <w:lang w:val="es-ES"/>
          </w:rPr>
          <w:fldChar w:fldCharType="begin"/>
        </w:r>
        <w:r w:rsidRPr="005D1B1F">
          <w:rPr>
            <w:lang w:val="es-ES"/>
          </w:rPr>
          <w:instrText xml:space="preserve"> PAGE   \* MERGEFORMAT </w:instrText>
        </w:r>
        <w:r w:rsidRPr="005D1B1F">
          <w:rPr>
            <w:lang w:val="es-ES"/>
          </w:rPr>
          <w:fldChar w:fldCharType="separate"/>
        </w:r>
        <w:r w:rsidR="00552147">
          <w:rPr>
            <w:noProof/>
            <w:lang w:val="es-ES"/>
          </w:rPr>
          <w:t>2</w:t>
        </w:r>
        <w:r w:rsidRPr="005D1B1F">
          <w:rPr>
            <w:noProof/>
            <w:lang w:val="es-ES"/>
          </w:rPr>
          <w:fldChar w:fldCharType="end"/>
        </w:r>
      </w:sdtContent>
    </w:sdt>
  </w:p>
  <w:p w:rsidR="005D1B1F" w:rsidRDefault="005D1B1F" w:rsidP="008A176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10" w:rsidRDefault="002643BF" w:rsidP="008A1761">
    <w:pPr>
      <w:jc w:val="right"/>
    </w:pPr>
    <w:r>
      <w:t>AN</w:t>
    </w:r>
    <w:r w:rsidR="00BA1910">
      <w:t>EX</w:t>
    </w:r>
    <w:r>
      <w:t>O</w:t>
    </w:r>
    <w:r w:rsidR="00BA1910">
      <w:t xml:space="preserve"> II</w:t>
    </w:r>
  </w:p>
  <w:p w:rsidR="00BA1910" w:rsidRDefault="00BA1910" w:rsidP="008A176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10" w:rsidRDefault="004D6C00" w:rsidP="008A1761">
    <w:pPr>
      <w:jc w:val="right"/>
    </w:pPr>
    <w:r>
      <w:t>A</w:t>
    </w:r>
    <w:r w:rsidR="00BA1910">
      <w:t>NEX</w:t>
    </w:r>
    <w:r>
      <w:t>O</w:t>
    </w:r>
    <w:r w:rsidR="00BA1910">
      <w:t xml:space="preserve"> III</w:t>
    </w:r>
  </w:p>
  <w:p w:rsidR="00BA1910" w:rsidRDefault="00BA1910" w:rsidP="008A176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D" w:rsidRDefault="00DB010D" w:rsidP="00477D6B">
    <w:pPr>
      <w:jc w:val="right"/>
    </w:pPr>
  </w:p>
  <w:p w:rsidR="00DB010D" w:rsidRDefault="004D6C00" w:rsidP="00477D6B">
    <w:pPr>
      <w:jc w:val="right"/>
    </w:pPr>
    <w:r>
      <w:t>A</w:t>
    </w:r>
    <w:r w:rsidR="00DB010D">
      <w:t>nex</w:t>
    </w:r>
    <w:r>
      <w:t>o III, página</w:t>
    </w:r>
    <w:r w:rsidR="00DB010D">
      <w:t xml:space="preserve"> </w:t>
    </w:r>
    <w:r w:rsidR="00DB010D">
      <w:fldChar w:fldCharType="begin"/>
    </w:r>
    <w:r w:rsidR="00DB010D">
      <w:instrText xml:space="preserve"> PAGE  \* MERGEFORMAT </w:instrText>
    </w:r>
    <w:r w:rsidR="00DB010D">
      <w:fldChar w:fldCharType="separate"/>
    </w:r>
    <w:r w:rsidR="00552147">
      <w:rPr>
        <w:noProof/>
      </w:rPr>
      <w:t>4</w:t>
    </w:r>
    <w:r w:rsidR="00DB010D">
      <w:fldChar w:fldCharType="end"/>
    </w:r>
  </w:p>
  <w:p w:rsidR="00DB010D" w:rsidRDefault="00DB010D"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1986"/>
      <w:docPartObj>
        <w:docPartGallery w:val="Page Numbers (Top of Page)"/>
        <w:docPartUnique/>
      </w:docPartObj>
    </w:sdtPr>
    <w:sdtEndPr>
      <w:rPr>
        <w:noProof/>
      </w:rPr>
    </w:sdtEndPr>
    <w:sdtContent>
      <w:p w:rsidR="00BA1910" w:rsidRDefault="004D6C00">
        <w:pPr>
          <w:pStyle w:val="Header"/>
          <w:jc w:val="right"/>
        </w:pPr>
        <w:r>
          <w:t>An</w:t>
        </w:r>
        <w:r w:rsidR="00BA1910">
          <w:t>ex</w:t>
        </w:r>
        <w:r>
          <w:t>o III, página</w:t>
        </w:r>
        <w:r w:rsidR="00BA1910">
          <w:t xml:space="preserve"> </w:t>
        </w:r>
        <w:r w:rsidR="00BA1910">
          <w:fldChar w:fldCharType="begin"/>
        </w:r>
        <w:r w:rsidR="00BA1910">
          <w:instrText xml:space="preserve"> PAGE   \* MERGEFORMAT </w:instrText>
        </w:r>
        <w:r w:rsidR="00BA1910">
          <w:fldChar w:fldCharType="separate"/>
        </w:r>
        <w:r w:rsidR="00552147">
          <w:rPr>
            <w:noProof/>
          </w:rPr>
          <w:t>2</w:t>
        </w:r>
        <w:r w:rsidR="00BA1910">
          <w:rPr>
            <w:noProof/>
          </w:rPr>
          <w:fldChar w:fldCharType="end"/>
        </w:r>
      </w:p>
    </w:sdtContent>
  </w:sdt>
  <w:p w:rsidR="00BA1910" w:rsidRDefault="00BA1910" w:rsidP="008A17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5DA5"/>
    <w:multiLevelType w:val="hybridMultilevel"/>
    <w:tmpl w:val="4C78F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378D"/>
    <w:rsid w:val="000047D5"/>
    <w:rsid w:val="00005CFF"/>
    <w:rsid w:val="000071C9"/>
    <w:rsid w:val="000123A6"/>
    <w:rsid w:val="000150FC"/>
    <w:rsid w:val="00042E33"/>
    <w:rsid w:val="00043313"/>
    <w:rsid w:val="00043CAA"/>
    <w:rsid w:val="00061C20"/>
    <w:rsid w:val="00065151"/>
    <w:rsid w:val="000728FF"/>
    <w:rsid w:val="00075432"/>
    <w:rsid w:val="000968ED"/>
    <w:rsid w:val="000A525D"/>
    <w:rsid w:val="000A5F80"/>
    <w:rsid w:val="000C69E2"/>
    <w:rsid w:val="000D3921"/>
    <w:rsid w:val="000E0C31"/>
    <w:rsid w:val="000E73ED"/>
    <w:rsid w:val="000F5E56"/>
    <w:rsid w:val="0010148E"/>
    <w:rsid w:val="00110F2F"/>
    <w:rsid w:val="001272E3"/>
    <w:rsid w:val="00130522"/>
    <w:rsid w:val="00131BD8"/>
    <w:rsid w:val="00133F53"/>
    <w:rsid w:val="001362EE"/>
    <w:rsid w:val="001368AB"/>
    <w:rsid w:val="0015037D"/>
    <w:rsid w:val="00166299"/>
    <w:rsid w:val="00177186"/>
    <w:rsid w:val="001809F6"/>
    <w:rsid w:val="00182AAC"/>
    <w:rsid w:val="001832A6"/>
    <w:rsid w:val="00185E31"/>
    <w:rsid w:val="00186DE1"/>
    <w:rsid w:val="00192C95"/>
    <w:rsid w:val="001A49A9"/>
    <w:rsid w:val="001B0E60"/>
    <w:rsid w:val="001C2D7E"/>
    <w:rsid w:val="001D0ACC"/>
    <w:rsid w:val="001D37F3"/>
    <w:rsid w:val="001E3850"/>
    <w:rsid w:val="001E3D67"/>
    <w:rsid w:val="001E7EAA"/>
    <w:rsid w:val="001F1B95"/>
    <w:rsid w:val="001F717F"/>
    <w:rsid w:val="0020551F"/>
    <w:rsid w:val="0021560B"/>
    <w:rsid w:val="0022493E"/>
    <w:rsid w:val="00224A8A"/>
    <w:rsid w:val="00251890"/>
    <w:rsid w:val="0025278E"/>
    <w:rsid w:val="002634C4"/>
    <w:rsid w:val="002643BF"/>
    <w:rsid w:val="00271540"/>
    <w:rsid w:val="002715CF"/>
    <w:rsid w:val="002928D3"/>
    <w:rsid w:val="002A2E4F"/>
    <w:rsid w:val="002B6590"/>
    <w:rsid w:val="002C1554"/>
    <w:rsid w:val="002C168C"/>
    <w:rsid w:val="002C38D8"/>
    <w:rsid w:val="002F1FE6"/>
    <w:rsid w:val="002F3238"/>
    <w:rsid w:val="002F4E68"/>
    <w:rsid w:val="003071B6"/>
    <w:rsid w:val="00312F7F"/>
    <w:rsid w:val="00314B0E"/>
    <w:rsid w:val="00317670"/>
    <w:rsid w:val="00335EC1"/>
    <w:rsid w:val="00344BDD"/>
    <w:rsid w:val="00347330"/>
    <w:rsid w:val="00357985"/>
    <w:rsid w:val="00361450"/>
    <w:rsid w:val="00362B5A"/>
    <w:rsid w:val="00365541"/>
    <w:rsid w:val="003673CF"/>
    <w:rsid w:val="003845C1"/>
    <w:rsid w:val="003853DD"/>
    <w:rsid w:val="00387B98"/>
    <w:rsid w:val="003A6F89"/>
    <w:rsid w:val="003B38C1"/>
    <w:rsid w:val="003C2450"/>
    <w:rsid w:val="003D491A"/>
    <w:rsid w:val="003E0D9F"/>
    <w:rsid w:val="004052E1"/>
    <w:rsid w:val="00411FB2"/>
    <w:rsid w:val="00414A9E"/>
    <w:rsid w:val="00421469"/>
    <w:rsid w:val="0042361D"/>
    <w:rsid w:val="0042395B"/>
    <w:rsid w:val="00423E3E"/>
    <w:rsid w:val="00427AF4"/>
    <w:rsid w:val="004469D7"/>
    <w:rsid w:val="00447931"/>
    <w:rsid w:val="0046160D"/>
    <w:rsid w:val="004630B4"/>
    <w:rsid w:val="004647DA"/>
    <w:rsid w:val="004653E5"/>
    <w:rsid w:val="00465BCE"/>
    <w:rsid w:val="0047006A"/>
    <w:rsid w:val="00474062"/>
    <w:rsid w:val="00477D6B"/>
    <w:rsid w:val="00477EF9"/>
    <w:rsid w:val="004936FC"/>
    <w:rsid w:val="004947C5"/>
    <w:rsid w:val="004B0093"/>
    <w:rsid w:val="004B336C"/>
    <w:rsid w:val="004C1727"/>
    <w:rsid w:val="004C7C7E"/>
    <w:rsid w:val="004D6C00"/>
    <w:rsid w:val="004E543F"/>
    <w:rsid w:val="004F5A30"/>
    <w:rsid w:val="005019FF"/>
    <w:rsid w:val="005030B8"/>
    <w:rsid w:val="00512240"/>
    <w:rsid w:val="00514465"/>
    <w:rsid w:val="005208C7"/>
    <w:rsid w:val="005232F8"/>
    <w:rsid w:val="00523F0F"/>
    <w:rsid w:val="005243B1"/>
    <w:rsid w:val="005261CF"/>
    <w:rsid w:val="0053057A"/>
    <w:rsid w:val="00546473"/>
    <w:rsid w:val="00546A94"/>
    <w:rsid w:val="00552147"/>
    <w:rsid w:val="00560A29"/>
    <w:rsid w:val="0056148F"/>
    <w:rsid w:val="00563C83"/>
    <w:rsid w:val="005766EE"/>
    <w:rsid w:val="00585FCF"/>
    <w:rsid w:val="005868B8"/>
    <w:rsid w:val="00593591"/>
    <w:rsid w:val="005A192B"/>
    <w:rsid w:val="005A4EC4"/>
    <w:rsid w:val="005B09B2"/>
    <w:rsid w:val="005B20BE"/>
    <w:rsid w:val="005B5479"/>
    <w:rsid w:val="005C054A"/>
    <w:rsid w:val="005C2098"/>
    <w:rsid w:val="005C6649"/>
    <w:rsid w:val="005D08B3"/>
    <w:rsid w:val="005D0B23"/>
    <w:rsid w:val="005D1B1F"/>
    <w:rsid w:val="005F2F3B"/>
    <w:rsid w:val="00605827"/>
    <w:rsid w:val="0063766B"/>
    <w:rsid w:val="00644AA2"/>
    <w:rsid w:val="00646050"/>
    <w:rsid w:val="00647B0C"/>
    <w:rsid w:val="00654AE9"/>
    <w:rsid w:val="00663BB3"/>
    <w:rsid w:val="006659A7"/>
    <w:rsid w:val="006713CA"/>
    <w:rsid w:val="00674ABA"/>
    <w:rsid w:val="00676C5C"/>
    <w:rsid w:val="00684699"/>
    <w:rsid w:val="006C77A7"/>
    <w:rsid w:val="006D529E"/>
    <w:rsid w:val="006D6FDC"/>
    <w:rsid w:val="006F073B"/>
    <w:rsid w:val="006F33FF"/>
    <w:rsid w:val="00710D59"/>
    <w:rsid w:val="007227A5"/>
    <w:rsid w:val="00736568"/>
    <w:rsid w:val="00736CB9"/>
    <w:rsid w:val="00767C4D"/>
    <w:rsid w:val="00770A00"/>
    <w:rsid w:val="00773CE3"/>
    <w:rsid w:val="007742C7"/>
    <w:rsid w:val="00775EBD"/>
    <w:rsid w:val="00785F5E"/>
    <w:rsid w:val="00790A94"/>
    <w:rsid w:val="00796E07"/>
    <w:rsid w:val="007B6EEB"/>
    <w:rsid w:val="007B7F73"/>
    <w:rsid w:val="007C3E9B"/>
    <w:rsid w:val="007D1613"/>
    <w:rsid w:val="007D250A"/>
    <w:rsid w:val="007D57B2"/>
    <w:rsid w:val="007E3259"/>
    <w:rsid w:val="007F4D09"/>
    <w:rsid w:val="007F5042"/>
    <w:rsid w:val="007F62D1"/>
    <w:rsid w:val="00804EC4"/>
    <w:rsid w:val="00834884"/>
    <w:rsid w:val="008429A9"/>
    <w:rsid w:val="00853FA8"/>
    <w:rsid w:val="00854071"/>
    <w:rsid w:val="0086719D"/>
    <w:rsid w:val="00881BAE"/>
    <w:rsid w:val="00885618"/>
    <w:rsid w:val="00892E06"/>
    <w:rsid w:val="008948BE"/>
    <w:rsid w:val="008977D0"/>
    <w:rsid w:val="008A1761"/>
    <w:rsid w:val="008A51E9"/>
    <w:rsid w:val="008A701D"/>
    <w:rsid w:val="008B23F7"/>
    <w:rsid w:val="008B2CC1"/>
    <w:rsid w:val="008B60B2"/>
    <w:rsid w:val="008C2D2F"/>
    <w:rsid w:val="008C2FE6"/>
    <w:rsid w:val="008F1F70"/>
    <w:rsid w:val="00906C66"/>
    <w:rsid w:val="0090731E"/>
    <w:rsid w:val="00916EE2"/>
    <w:rsid w:val="009179B4"/>
    <w:rsid w:val="00922789"/>
    <w:rsid w:val="00933CC8"/>
    <w:rsid w:val="009378BE"/>
    <w:rsid w:val="00940793"/>
    <w:rsid w:val="0094343A"/>
    <w:rsid w:val="00943C2D"/>
    <w:rsid w:val="009449F2"/>
    <w:rsid w:val="00944EDA"/>
    <w:rsid w:val="00953086"/>
    <w:rsid w:val="00965EC2"/>
    <w:rsid w:val="00966A22"/>
    <w:rsid w:val="0096722F"/>
    <w:rsid w:val="009714DF"/>
    <w:rsid w:val="009741B3"/>
    <w:rsid w:val="00980843"/>
    <w:rsid w:val="00981DC7"/>
    <w:rsid w:val="009820CB"/>
    <w:rsid w:val="00987E9A"/>
    <w:rsid w:val="00997AAD"/>
    <w:rsid w:val="009A0A13"/>
    <w:rsid w:val="009A4CF3"/>
    <w:rsid w:val="009A591F"/>
    <w:rsid w:val="009B2765"/>
    <w:rsid w:val="009C0C04"/>
    <w:rsid w:val="009E2791"/>
    <w:rsid w:val="009E3F6F"/>
    <w:rsid w:val="009E4372"/>
    <w:rsid w:val="009E56CA"/>
    <w:rsid w:val="009E5F9F"/>
    <w:rsid w:val="009F0D46"/>
    <w:rsid w:val="009F2A14"/>
    <w:rsid w:val="009F499F"/>
    <w:rsid w:val="009F5578"/>
    <w:rsid w:val="00A0256B"/>
    <w:rsid w:val="00A04B6E"/>
    <w:rsid w:val="00A10D44"/>
    <w:rsid w:val="00A1570B"/>
    <w:rsid w:val="00A21684"/>
    <w:rsid w:val="00A2245A"/>
    <w:rsid w:val="00A25430"/>
    <w:rsid w:val="00A353ED"/>
    <w:rsid w:val="00A42DAF"/>
    <w:rsid w:val="00A43E23"/>
    <w:rsid w:val="00A456E7"/>
    <w:rsid w:val="00A45BD8"/>
    <w:rsid w:val="00A5004F"/>
    <w:rsid w:val="00A53C29"/>
    <w:rsid w:val="00A550FC"/>
    <w:rsid w:val="00A72767"/>
    <w:rsid w:val="00A869B7"/>
    <w:rsid w:val="00AA1EEF"/>
    <w:rsid w:val="00AA20EE"/>
    <w:rsid w:val="00AA33A4"/>
    <w:rsid w:val="00AB5138"/>
    <w:rsid w:val="00AC205C"/>
    <w:rsid w:val="00AC27B5"/>
    <w:rsid w:val="00AD38EE"/>
    <w:rsid w:val="00AF0A6B"/>
    <w:rsid w:val="00AF5108"/>
    <w:rsid w:val="00B01AE9"/>
    <w:rsid w:val="00B05A69"/>
    <w:rsid w:val="00B1322D"/>
    <w:rsid w:val="00B21387"/>
    <w:rsid w:val="00B2247B"/>
    <w:rsid w:val="00B46D7E"/>
    <w:rsid w:val="00B518A6"/>
    <w:rsid w:val="00B54D7D"/>
    <w:rsid w:val="00B64468"/>
    <w:rsid w:val="00B83157"/>
    <w:rsid w:val="00B85937"/>
    <w:rsid w:val="00B9734B"/>
    <w:rsid w:val="00B97A85"/>
    <w:rsid w:val="00BA1910"/>
    <w:rsid w:val="00BA59F8"/>
    <w:rsid w:val="00BA5D11"/>
    <w:rsid w:val="00BA63F6"/>
    <w:rsid w:val="00BA6DE5"/>
    <w:rsid w:val="00BB1F10"/>
    <w:rsid w:val="00BB30F3"/>
    <w:rsid w:val="00BB78C7"/>
    <w:rsid w:val="00BD680E"/>
    <w:rsid w:val="00BE55D6"/>
    <w:rsid w:val="00BE5857"/>
    <w:rsid w:val="00BE7E22"/>
    <w:rsid w:val="00C11BFE"/>
    <w:rsid w:val="00C146FC"/>
    <w:rsid w:val="00C17DAD"/>
    <w:rsid w:val="00C32448"/>
    <w:rsid w:val="00C32F61"/>
    <w:rsid w:val="00C34504"/>
    <w:rsid w:val="00C45642"/>
    <w:rsid w:val="00C46447"/>
    <w:rsid w:val="00C47421"/>
    <w:rsid w:val="00C556FE"/>
    <w:rsid w:val="00C6005C"/>
    <w:rsid w:val="00C633EF"/>
    <w:rsid w:val="00C634D0"/>
    <w:rsid w:val="00C67841"/>
    <w:rsid w:val="00C771EA"/>
    <w:rsid w:val="00C86A22"/>
    <w:rsid w:val="00C977DB"/>
    <w:rsid w:val="00CA51E7"/>
    <w:rsid w:val="00CB132F"/>
    <w:rsid w:val="00CB13CA"/>
    <w:rsid w:val="00CC5016"/>
    <w:rsid w:val="00CD18BD"/>
    <w:rsid w:val="00CD330E"/>
    <w:rsid w:val="00CD714C"/>
    <w:rsid w:val="00CE0A51"/>
    <w:rsid w:val="00CE0F4D"/>
    <w:rsid w:val="00CE2130"/>
    <w:rsid w:val="00CE6390"/>
    <w:rsid w:val="00CF4536"/>
    <w:rsid w:val="00D1529B"/>
    <w:rsid w:val="00D21574"/>
    <w:rsid w:val="00D22BD4"/>
    <w:rsid w:val="00D30CC7"/>
    <w:rsid w:val="00D31C2F"/>
    <w:rsid w:val="00D32F77"/>
    <w:rsid w:val="00D40064"/>
    <w:rsid w:val="00D409DF"/>
    <w:rsid w:val="00D40A98"/>
    <w:rsid w:val="00D40CAF"/>
    <w:rsid w:val="00D424EC"/>
    <w:rsid w:val="00D45252"/>
    <w:rsid w:val="00D57F87"/>
    <w:rsid w:val="00D57F90"/>
    <w:rsid w:val="00D71B4D"/>
    <w:rsid w:val="00D76F38"/>
    <w:rsid w:val="00D835ED"/>
    <w:rsid w:val="00D90EE5"/>
    <w:rsid w:val="00D93D55"/>
    <w:rsid w:val="00DB010D"/>
    <w:rsid w:val="00DB42CB"/>
    <w:rsid w:val="00DB5CC6"/>
    <w:rsid w:val="00DC3E50"/>
    <w:rsid w:val="00DD7DFC"/>
    <w:rsid w:val="00DF7910"/>
    <w:rsid w:val="00E05D9A"/>
    <w:rsid w:val="00E06002"/>
    <w:rsid w:val="00E12773"/>
    <w:rsid w:val="00E213EE"/>
    <w:rsid w:val="00E335FE"/>
    <w:rsid w:val="00E42B9A"/>
    <w:rsid w:val="00E532DC"/>
    <w:rsid w:val="00E55177"/>
    <w:rsid w:val="00E66C2C"/>
    <w:rsid w:val="00E80EB6"/>
    <w:rsid w:val="00EA3F14"/>
    <w:rsid w:val="00EB2E88"/>
    <w:rsid w:val="00EB50E5"/>
    <w:rsid w:val="00EC0B23"/>
    <w:rsid w:val="00EC23FC"/>
    <w:rsid w:val="00EC4E49"/>
    <w:rsid w:val="00EC7D1E"/>
    <w:rsid w:val="00ED4C4F"/>
    <w:rsid w:val="00ED77FB"/>
    <w:rsid w:val="00EE16E8"/>
    <w:rsid w:val="00EE45FA"/>
    <w:rsid w:val="00EE4919"/>
    <w:rsid w:val="00EE5748"/>
    <w:rsid w:val="00EE7802"/>
    <w:rsid w:val="00EF0146"/>
    <w:rsid w:val="00EF0EA4"/>
    <w:rsid w:val="00F03FA4"/>
    <w:rsid w:val="00F0720F"/>
    <w:rsid w:val="00F201C4"/>
    <w:rsid w:val="00F46336"/>
    <w:rsid w:val="00F52AC0"/>
    <w:rsid w:val="00F66152"/>
    <w:rsid w:val="00F7721F"/>
    <w:rsid w:val="00F77669"/>
    <w:rsid w:val="00F8364A"/>
    <w:rsid w:val="00F95086"/>
    <w:rsid w:val="00F95712"/>
    <w:rsid w:val="00FC3D36"/>
    <w:rsid w:val="00FC4C8A"/>
    <w:rsid w:val="00FD502F"/>
    <w:rsid w:val="00FE3A6D"/>
    <w:rsid w:val="00FE5F85"/>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6985">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5.e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image" Target="media/image6.emf"/><Relationship Id="rId28"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image" Target="media/image9.emf"/><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148D-65D1-4C92-9C51-3110A85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2300</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13</cp:revision>
  <cp:lastPrinted>2014-12-15T15:01:00Z</cp:lastPrinted>
  <dcterms:created xsi:type="dcterms:W3CDTF">2014-12-05T13:25:00Z</dcterms:created>
  <dcterms:modified xsi:type="dcterms:W3CDTF">2014-12-18T14:18:00Z</dcterms:modified>
</cp:coreProperties>
</file>