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09DF" w:rsidRPr="00CD4690" w:rsidTr="00563C83">
        <w:tc>
          <w:tcPr>
            <w:tcW w:w="4513" w:type="dxa"/>
            <w:tcBorders>
              <w:bottom w:val="single" w:sz="4" w:space="0" w:color="auto"/>
            </w:tcBorders>
            <w:shd w:val="clear" w:color="auto" w:fill="auto"/>
            <w:tcMar>
              <w:bottom w:w="170" w:type="dxa"/>
            </w:tcMar>
          </w:tcPr>
          <w:p w:rsidR="00EC4E49" w:rsidRPr="00CD4690" w:rsidRDefault="00EC4E49" w:rsidP="00CD330E">
            <w:pPr>
              <w:rPr>
                <w:lang w:val="es-ES_tradnl"/>
              </w:rPr>
            </w:pPr>
          </w:p>
        </w:tc>
        <w:tc>
          <w:tcPr>
            <w:tcW w:w="4337" w:type="dxa"/>
            <w:tcBorders>
              <w:bottom w:val="single" w:sz="4" w:space="0" w:color="auto"/>
            </w:tcBorders>
            <w:shd w:val="clear" w:color="auto" w:fill="auto"/>
            <w:tcMar>
              <w:left w:w="0" w:type="dxa"/>
              <w:right w:w="0" w:type="dxa"/>
            </w:tcMar>
          </w:tcPr>
          <w:p w:rsidR="00EC4E49" w:rsidRPr="00CD4690" w:rsidRDefault="00FF1385" w:rsidP="00CD330E">
            <w:pPr>
              <w:rPr>
                <w:lang w:val="es-ES_tradnl"/>
              </w:rPr>
            </w:pPr>
            <w:r w:rsidRPr="00CD4690">
              <w:rPr>
                <w:noProof/>
                <w:lang w:eastAsia="en-US"/>
              </w:rPr>
              <w:drawing>
                <wp:inline distT="0" distB="0" distL="0" distR="0" wp14:anchorId="2BED58DD" wp14:editId="4B76E9FB">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CD4690" w:rsidRDefault="00EC4E49" w:rsidP="00CD330E">
            <w:pPr>
              <w:jc w:val="right"/>
              <w:rPr>
                <w:lang w:val="es-ES_tradnl"/>
              </w:rPr>
            </w:pPr>
          </w:p>
        </w:tc>
      </w:tr>
      <w:tr w:rsidR="00D409DF" w:rsidRPr="00CD4690" w:rsidTr="00563C83">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CD4690" w:rsidRDefault="008B2CC1" w:rsidP="00CD330E">
            <w:pPr>
              <w:jc w:val="right"/>
              <w:rPr>
                <w:rFonts w:ascii="Arial Black" w:hAnsi="Arial Black"/>
                <w:caps/>
                <w:sz w:val="15"/>
                <w:lang w:val="es-ES_tradnl"/>
              </w:rPr>
            </w:pPr>
            <w:bookmarkStart w:id="0" w:name="Original"/>
            <w:bookmarkEnd w:id="0"/>
          </w:p>
        </w:tc>
      </w:tr>
      <w:tr w:rsidR="00D409DF" w:rsidRPr="00CD4690" w:rsidTr="00B27CB2">
        <w:trPr>
          <w:trHeight w:hRule="exact" w:val="198"/>
        </w:trPr>
        <w:tc>
          <w:tcPr>
            <w:tcW w:w="9356" w:type="dxa"/>
            <w:gridSpan w:val="3"/>
            <w:shd w:val="clear" w:color="auto" w:fill="auto"/>
            <w:tcMar>
              <w:left w:w="0" w:type="dxa"/>
              <w:right w:w="0" w:type="dxa"/>
            </w:tcMar>
          </w:tcPr>
          <w:p w:rsidR="008B23F7" w:rsidRPr="00CD4690" w:rsidRDefault="00FF1385" w:rsidP="004E1616">
            <w:pPr>
              <w:jc w:val="right"/>
              <w:rPr>
                <w:lang w:val="es-ES_tradnl"/>
              </w:rPr>
            </w:pPr>
            <w:r w:rsidRPr="00CD4690">
              <w:rPr>
                <w:rFonts w:ascii="Arial Black" w:hAnsi="Arial Black"/>
                <w:caps/>
                <w:sz w:val="15"/>
                <w:lang w:val="es-ES_tradnl"/>
              </w:rPr>
              <w:t>AVISO</w:t>
            </w:r>
            <w:r w:rsidR="005164CC" w:rsidRPr="00CD4690">
              <w:rPr>
                <w:rFonts w:ascii="Arial Black" w:hAnsi="Arial Black"/>
                <w:caps/>
                <w:sz w:val="15"/>
                <w:lang w:val="es-ES_tradnl"/>
              </w:rPr>
              <w:t xml:space="preserve"> </w:t>
            </w:r>
            <w:r w:rsidR="00AE1E60" w:rsidRPr="00CD4690">
              <w:rPr>
                <w:rFonts w:ascii="Arial Black" w:hAnsi="Arial Black"/>
                <w:caps/>
                <w:sz w:val="15"/>
                <w:lang w:val="es-ES_tradnl"/>
              </w:rPr>
              <w:t>Nº </w:t>
            </w:r>
            <w:r w:rsidR="004E1616">
              <w:rPr>
                <w:rFonts w:ascii="Arial Black" w:hAnsi="Arial Black"/>
                <w:caps/>
                <w:sz w:val="15"/>
                <w:lang w:val="es-ES_tradnl"/>
              </w:rPr>
              <w:t>19</w:t>
            </w:r>
            <w:r w:rsidR="008B23F7" w:rsidRPr="00CD4690">
              <w:rPr>
                <w:rFonts w:ascii="Arial Black" w:hAnsi="Arial Black"/>
                <w:caps/>
                <w:sz w:val="15"/>
                <w:lang w:val="es-ES_tradnl"/>
              </w:rPr>
              <w:t>/2014</w:t>
            </w:r>
          </w:p>
        </w:tc>
      </w:tr>
    </w:tbl>
    <w:p w:rsidR="008B2CC1" w:rsidRPr="00CD4690" w:rsidRDefault="008B2CC1" w:rsidP="00CD330E">
      <w:pPr>
        <w:rPr>
          <w:lang w:val="es-ES_tradnl"/>
        </w:rPr>
      </w:pPr>
    </w:p>
    <w:p w:rsidR="008B2CC1" w:rsidRPr="00CD4690" w:rsidRDefault="008B2CC1" w:rsidP="00CD330E">
      <w:pPr>
        <w:rPr>
          <w:lang w:val="es-ES_tradnl"/>
        </w:rPr>
      </w:pPr>
    </w:p>
    <w:p w:rsidR="008B2CC1" w:rsidRPr="00CD4690" w:rsidRDefault="008B2CC1" w:rsidP="00CD330E">
      <w:pPr>
        <w:rPr>
          <w:lang w:val="es-ES_tradnl"/>
        </w:rPr>
      </w:pPr>
    </w:p>
    <w:p w:rsidR="00CC5016" w:rsidRPr="00CD4690" w:rsidRDefault="00CC5016" w:rsidP="00CD330E">
      <w:pPr>
        <w:rPr>
          <w:lang w:val="es-ES_tradnl"/>
        </w:rPr>
      </w:pPr>
    </w:p>
    <w:p w:rsidR="00CC5016" w:rsidRPr="00CD4690" w:rsidRDefault="00CC5016" w:rsidP="00CD330E">
      <w:pPr>
        <w:rPr>
          <w:lang w:val="es-ES_tradnl"/>
        </w:rPr>
      </w:pPr>
    </w:p>
    <w:p w:rsidR="00FF1385" w:rsidRPr="00CD4690" w:rsidRDefault="00FF1385" w:rsidP="00FF1385">
      <w:pPr>
        <w:autoSpaceDE w:val="0"/>
        <w:autoSpaceDN w:val="0"/>
        <w:adjustRightInd w:val="0"/>
        <w:rPr>
          <w:b/>
          <w:bCs/>
          <w:sz w:val="28"/>
          <w:szCs w:val="28"/>
          <w:lang w:val="es-ES_tradnl"/>
        </w:rPr>
      </w:pPr>
      <w:r w:rsidRPr="00CD4690">
        <w:rPr>
          <w:b/>
          <w:bCs/>
          <w:color w:val="000000"/>
          <w:sz w:val="28"/>
          <w:szCs w:val="28"/>
          <w:lang w:val="es-ES_tradnl"/>
        </w:rPr>
        <w:t>Protocolo concerniente al Arreglo de Madrid relativo al Registro Internacional de Marcas</w:t>
      </w:r>
    </w:p>
    <w:p w:rsidR="00CC5016" w:rsidRPr="00CD4690" w:rsidRDefault="00CC5016" w:rsidP="00CD330E">
      <w:pPr>
        <w:autoSpaceDE w:val="0"/>
        <w:autoSpaceDN w:val="0"/>
        <w:adjustRightInd w:val="0"/>
        <w:rPr>
          <w:bCs/>
          <w:szCs w:val="22"/>
          <w:lang w:val="es-ES_tradnl"/>
        </w:rPr>
      </w:pPr>
    </w:p>
    <w:p w:rsidR="00CC5016" w:rsidRPr="00CD4690" w:rsidRDefault="00CC5016" w:rsidP="00CD330E">
      <w:pPr>
        <w:autoSpaceDE w:val="0"/>
        <w:autoSpaceDN w:val="0"/>
        <w:adjustRightInd w:val="0"/>
        <w:rPr>
          <w:bCs/>
          <w:szCs w:val="22"/>
          <w:lang w:val="es-ES_tradnl"/>
        </w:rPr>
      </w:pPr>
    </w:p>
    <w:p w:rsidR="00CC5016" w:rsidRPr="00CD4690" w:rsidRDefault="00CC5016" w:rsidP="00CD330E">
      <w:pPr>
        <w:autoSpaceDE w:val="0"/>
        <w:autoSpaceDN w:val="0"/>
        <w:adjustRightInd w:val="0"/>
        <w:rPr>
          <w:bCs/>
          <w:szCs w:val="22"/>
          <w:lang w:val="es-ES_tradnl"/>
        </w:rPr>
      </w:pPr>
    </w:p>
    <w:p w:rsidR="000E73ED" w:rsidRPr="00CD4690" w:rsidRDefault="00070B86" w:rsidP="00CD330E">
      <w:pPr>
        <w:rPr>
          <w:b/>
          <w:bCs/>
          <w:sz w:val="24"/>
          <w:szCs w:val="24"/>
          <w:lang w:val="es-ES_tradnl"/>
        </w:rPr>
      </w:pPr>
      <w:r>
        <w:rPr>
          <w:b/>
          <w:bCs/>
          <w:sz w:val="24"/>
          <w:szCs w:val="24"/>
          <w:lang w:val="es-ES_tradnl"/>
        </w:rPr>
        <w:t>El sistema de oposición en Turquía</w:t>
      </w:r>
      <w:proofErr w:type="gramStart"/>
      <w:r>
        <w:rPr>
          <w:b/>
          <w:bCs/>
          <w:sz w:val="24"/>
          <w:szCs w:val="24"/>
          <w:lang w:val="es-ES_tradnl"/>
        </w:rPr>
        <w:t xml:space="preserve">:  </w:t>
      </w:r>
      <w:r w:rsidR="00047FA7">
        <w:rPr>
          <w:b/>
          <w:bCs/>
          <w:sz w:val="24"/>
          <w:szCs w:val="24"/>
          <w:lang w:val="es-ES_tradnl"/>
        </w:rPr>
        <w:t>manera</w:t>
      </w:r>
      <w:proofErr w:type="gramEnd"/>
      <w:r w:rsidR="00047FA7">
        <w:rPr>
          <w:b/>
          <w:bCs/>
          <w:sz w:val="24"/>
          <w:szCs w:val="24"/>
          <w:lang w:val="es-ES_tradnl"/>
        </w:rPr>
        <w:t xml:space="preserve"> de </w:t>
      </w:r>
      <w:r>
        <w:rPr>
          <w:b/>
          <w:bCs/>
          <w:sz w:val="24"/>
          <w:szCs w:val="24"/>
          <w:lang w:val="es-ES_tradnl"/>
        </w:rPr>
        <w:t>supervisar la designac</w:t>
      </w:r>
      <w:r w:rsidR="00047FA7">
        <w:rPr>
          <w:b/>
          <w:bCs/>
          <w:sz w:val="24"/>
          <w:szCs w:val="24"/>
          <w:lang w:val="es-ES_tradnl"/>
        </w:rPr>
        <w:t>ión de Turquía</w:t>
      </w:r>
    </w:p>
    <w:p w:rsidR="00CD4690" w:rsidRPr="00CD4690" w:rsidRDefault="00CD4690" w:rsidP="00CD330E">
      <w:pPr>
        <w:rPr>
          <w:lang w:val="es-ES_tradnl"/>
        </w:rPr>
      </w:pPr>
    </w:p>
    <w:p w:rsidR="00C06B49" w:rsidRPr="00CD4690" w:rsidRDefault="00C06B49" w:rsidP="00C06B49">
      <w:pPr>
        <w:rPr>
          <w:lang w:val="es-ES_tradnl"/>
        </w:rPr>
      </w:pPr>
    </w:p>
    <w:p w:rsidR="00AA419E" w:rsidRPr="004E79F2" w:rsidRDefault="005E1AEC" w:rsidP="005E1AEC">
      <w:pPr>
        <w:rPr>
          <w:lang w:val="es-ES_tradnl"/>
        </w:rPr>
      </w:pPr>
      <w:r w:rsidRPr="004E79F2">
        <w:rPr>
          <w:lang w:val="es-ES_tradnl"/>
        </w:rPr>
        <w:fldChar w:fldCharType="begin"/>
      </w:r>
      <w:r w:rsidRPr="004E79F2">
        <w:rPr>
          <w:lang w:val="es-ES_tradnl"/>
        </w:rPr>
        <w:instrText xml:space="preserve"> AUTONUM  </w:instrText>
      </w:r>
      <w:r w:rsidRPr="004E79F2">
        <w:rPr>
          <w:lang w:val="es-ES_tradnl"/>
        </w:rPr>
        <w:fldChar w:fldCharType="end"/>
      </w:r>
      <w:r w:rsidRPr="004E79F2">
        <w:rPr>
          <w:lang w:val="es-ES_tradnl"/>
        </w:rPr>
        <w:tab/>
      </w:r>
      <w:r w:rsidR="00070B86" w:rsidRPr="004E79F2">
        <w:rPr>
          <w:lang w:val="es-ES_tradnl"/>
        </w:rPr>
        <w:t>El Instituto Turco de Patentes</w:t>
      </w:r>
      <w:r w:rsidR="00D16584" w:rsidRPr="004E79F2">
        <w:rPr>
          <w:lang w:val="es-ES_tradnl"/>
        </w:rPr>
        <w:t xml:space="preserve"> (TPI) ha</w:t>
      </w:r>
      <w:r w:rsidR="00AA419E" w:rsidRPr="004E79F2">
        <w:rPr>
          <w:lang w:val="es-ES_tradnl"/>
        </w:rPr>
        <w:t xml:space="preserve"> ofrecido la siguiente información en la que se tienen en cuenta las preguntas de los usuarios acerca del procedimiento de oposición relativo a los registros internacionales en virtud del Protocolo de Madrid en los que se designa a Turquía y acerca de la manera de obtener información sobre la situación del procedimiento relativo al registro de marcas en Turquía.</w:t>
      </w:r>
    </w:p>
    <w:p w:rsidR="00AA419E" w:rsidRPr="004E79F2" w:rsidRDefault="00AA419E" w:rsidP="005E1AEC">
      <w:pPr>
        <w:rPr>
          <w:lang w:val="es-ES_tradnl"/>
        </w:rPr>
      </w:pPr>
    </w:p>
    <w:p w:rsidR="005E1AEC" w:rsidRPr="004E79F2" w:rsidRDefault="005E1AEC" w:rsidP="005E1AEC">
      <w:pPr>
        <w:rPr>
          <w:lang w:val="es-ES_tradnl"/>
        </w:rPr>
      </w:pPr>
      <w:r w:rsidRPr="004E79F2">
        <w:rPr>
          <w:lang w:val="es-ES_tradnl"/>
        </w:rPr>
        <w:fldChar w:fldCharType="begin"/>
      </w:r>
      <w:r w:rsidRPr="004E79F2">
        <w:rPr>
          <w:lang w:val="es-ES_tradnl"/>
        </w:rPr>
        <w:instrText xml:space="preserve"> AUTONUM  </w:instrText>
      </w:r>
      <w:r w:rsidRPr="004E79F2">
        <w:rPr>
          <w:lang w:val="es-ES_tradnl"/>
        </w:rPr>
        <w:fldChar w:fldCharType="end"/>
      </w:r>
      <w:r w:rsidRPr="004E79F2">
        <w:rPr>
          <w:lang w:val="es-ES_tradnl"/>
        </w:rPr>
        <w:tab/>
      </w:r>
      <w:r w:rsidR="00AA419E" w:rsidRPr="004E79F2">
        <w:rPr>
          <w:lang w:val="es-ES_tradnl"/>
        </w:rPr>
        <w:t>Los registros i</w:t>
      </w:r>
      <w:r w:rsidRPr="004E79F2">
        <w:rPr>
          <w:lang w:val="es-ES_tradnl"/>
        </w:rPr>
        <w:t>nterna</w:t>
      </w:r>
      <w:r w:rsidR="00AA419E" w:rsidRPr="004E79F2">
        <w:rPr>
          <w:lang w:val="es-ES_tradnl"/>
        </w:rPr>
        <w:t>c</w:t>
      </w:r>
      <w:r w:rsidRPr="004E79F2">
        <w:rPr>
          <w:lang w:val="es-ES_tradnl"/>
        </w:rPr>
        <w:t>ional</w:t>
      </w:r>
      <w:r w:rsidR="00AA419E" w:rsidRPr="004E79F2">
        <w:rPr>
          <w:lang w:val="es-ES_tradnl"/>
        </w:rPr>
        <w:t>es</w:t>
      </w:r>
      <w:r w:rsidRPr="004E79F2">
        <w:rPr>
          <w:lang w:val="es-ES_tradnl"/>
        </w:rPr>
        <w:t xml:space="preserve"> </w:t>
      </w:r>
      <w:r w:rsidR="00D10C51" w:rsidRPr="004E79F2">
        <w:rPr>
          <w:lang w:val="es-ES_tradnl"/>
        </w:rPr>
        <w:t xml:space="preserve">en los que se designa a Turquía se examinan y se aceptan para su publicación habitualmente en el plazo de dos meses contados a partir de la recepción por el TPI de la notificación del registro internacional o la designación posterior de la Oficina Internacional de la Organización Mundial de la Propiedad Intelectual (OMPI).  A partir de la fecha de publicación del registro internacional </w:t>
      </w:r>
      <w:r w:rsidR="0060663A" w:rsidRPr="004E79F2">
        <w:rPr>
          <w:lang w:val="es-ES_tradnl"/>
        </w:rPr>
        <w:t>en el</w:t>
      </w:r>
      <w:r w:rsidR="00D10C51" w:rsidRPr="004E79F2">
        <w:rPr>
          <w:lang w:val="es-ES_tradnl"/>
        </w:rPr>
        <w:t xml:space="preserve"> Boletín oficial de marcas del TPI, los interesados tienen tres meses para presentar oposición contra la concesión de protección de la designación de Turquía.  Si no se presenta oposición alguna, el TPI enviará una declaración de concesión de la protección al titular del registro internacional, por </w:t>
      </w:r>
      <w:r w:rsidR="007A0B99" w:rsidRPr="004E79F2">
        <w:rPr>
          <w:lang w:val="es-ES_tradnl"/>
        </w:rPr>
        <w:t>conducto</w:t>
      </w:r>
      <w:r w:rsidR="00D10C51" w:rsidRPr="004E79F2">
        <w:rPr>
          <w:lang w:val="es-ES_tradnl"/>
        </w:rPr>
        <w:t xml:space="preserve"> de la Oficina Internacional</w:t>
      </w:r>
      <w:r w:rsidR="006C3E02">
        <w:rPr>
          <w:lang w:val="es-ES_tradnl"/>
        </w:rPr>
        <w:t xml:space="preserve"> de la OMPI</w:t>
      </w:r>
      <w:r w:rsidR="00D10C51" w:rsidRPr="004E79F2">
        <w:rPr>
          <w:lang w:val="es-ES_tradnl"/>
        </w:rPr>
        <w:t>.</w:t>
      </w:r>
    </w:p>
    <w:p w:rsidR="005E1AEC" w:rsidRPr="004E79F2" w:rsidRDefault="005E1AEC" w:rsidP="005E1AEC">
      <w:pPr>
        <w:rPr>
          <w:lang w:val="es-ES_tradnl"/>
        </w:rPr>
      </w:pPr>
    </w:p>
    <w:p w:rsidR="00A734E1" w:rsidRPr="004E79F2" w:rsidRDefault="005E1AEC" w:rsidP="005E1AEC">
      <w:pPr>
        <w:rPr>
          <w:lang w:val="es-ES_tradnl"/>
        </w:rPr>
      </w:pPr>
      <w:r w:rsidRPr="004E79F2">
        <w:rPr>
          <w:lang w:val="es-ES_tradnl"/>
        </w:rPr>
        <w:fldChar w:fldCharType="begin"/>
      </w:r>
      <w:r w:rsidRPr="004E79F2">
        <w:rPr>
          <w:lang w:val="es-ES_tradnl"/>
        </w:rPr>
        <w:instrText xml:space="preserve"> AUTONUM  </w:instrText>
      </w:r>
      <w:r w:rsidRPr="004E79F2">
        <w:rPr>
          <w:lang w:val="es-ES_tradnl"/>
        </w:rPr>
        <w:fldChar w:fldCharType="end"/>
      </w:r>
      <w:r w:rsidRPr="004E79F2">
        <w:rPr>
          <w:lang w:val="es-ES_tradnl"/>
        </w:rPr>
        <w:tab/>
      </w:r>
      <w:r w:rsidR="00D10C51" w:rsidRPr="004E79F2">
        <w:rPr>
          <w:lang w:val="es-ES_tradnl"/>
        </w:rPr>
        <w:t>Tras recibir una</w:t>
      </w:r>
      <w:r w:rsidR="0076269A" w:rsidRPr="004E79F2">
        <w:rPr>
          <w:lang w:val="es-ES_tradnl"/>
        </w:rPr>
        <w:t xml:space="preserve"> demanda de</w:t>
      </w:r>
      <w:r w:rsidR="00D10C51" w:rsidRPr="004E79F2">
        <w:rPr>
          <w:lang w:val="es-ES_tradnl"/>
        </w:rPr>
        <w:t xml:space="preserve"> oposición, el TPI reexamina el registro internacional teniendo en cuenta las alegaciones presentadas por el oponente.  El titular del registro internacional podrá presentar contraargumentos por medio de un agente de marcas local.  Sin embargo, no se exige la presentación de contraargumentos puesto que el TPI examina las alegaciones presentadas por el oponente independientemente de si existen alegaciones en su contra.  </w:t>
      </w:r>
    </w:p>
    <w:p w:rsidR="005E1AEC" w:rsidRPr="004E79F2" w:rsidRDefault="005E1AEC" w:rsidP="005E1AEC">
      <w:pPr>
        <w:rPr>
          <w:lang w:val="es-ES_tradnl"/>
        </w:rPr>
      </w:pPr>
    </w:p>
    <w:p w:rsidR="00283C1B" w:rsidRPr="004E79F2" w:rsidRDefault="005E1AEC" w:rsidP="005E1AEC">
      <w:pPr>
        <w:rPr>
          <w:lang w:val="es-ES_tradnl"/>
        </w:rPr>
      </w:pPr>
      <w:r w:rsidRPr="004E79F2">
        <w:rPr>
          <w:lang w:val="es-ES_tradnl"/>
        </w:rPr>
        <w:fldChar w:fldCharType="begin"/>
      </w:r>
      <w:r w:rsidRPr="004E79F2">
        <w:rPr>
          <w:lang w:val="es-ES_tradnl"/>
        </w:rPr>
        <w:instrText xml:space="preserve"> AUTONUM  </w:instrText>
      </w:r>
      <w:r w:rsidRPr="004E79F2">
        <w:rPr>
          <w:lang w:val="es-ES_tradnl"/>
        </w:rPr>
        <w:fldChar w:fldCharType="end"/>
      </w:r>
      <w:r w:rsidRPr="004E79F2">
        <w:rPr>
          <w:lang w:val="es-ES_tradnl"/>
        </w:rPr>
        <w:tab/>
      </w:r>
      <w:r w:rsidR="00283C1B" w:rsidRPr="004E79F2">
        <w:rPr>
          <w:lang w:val="es-ES_tradnl"/>
        </w:rPr>
        <w:t>Si se presenta una oposición contra un registro internacional en el que se designe</w:t>
      </w:r>
      <w:r w:rsidRPr="004E79F2">
        <w:rPr>
          <w:lang w:val="es-ES_tradnl"/>
        </w:rPr>
        <w:t xml:space="preserve"> </w:t>
      </w:r>
      <w:r w:rsidR="00283C1B" w:rsidRPr="004E79F2">
        <w:rPr>
          <w:lang w:val="es-ES_tradnl"/>
        </w:rPr>
        <w:t>a Turquía, el TPI emitirá una declaración oficial de concesión de la protección o una notificación de denegación provisional después de que se haya hecho definitiva</w:t>
      </w:r>
      <w:r w:rsidR="00E81BDB" w:rsidRPr="004E79F2">
        <w:rPr>
          <w:lang w:val="es-ES_tradnl"/>
        </w:rPr>
        <w:t xml:space="preserve"> la decisión sobre la oposición</w:t>
      </w:r>
      <w:r w:rsidR="00283C1B" w:rsidRPr="004E79F2">
        <w:rPr>
          <w:lang w:val="es-ES_tradnl"/>
        </w:rPr>
        <w:t>.</w:t>
      </w:r>
    </w:p>
    <w:p w:rsidR="005E1AEC" w:rsidRPr="004E79F2" w:rsidRDefault="005E1AEC" w:rsidP="005E1AEC">
      <w:pPr>
        <w:rPr>
          <w:lang w:val="es-ES_tradnl"/>
        </w:rPr>
      </w:pPr>
    </w:p>
    <w:p w:rsidR="007A0B99" w:rsidRPr="004E79F2" w:rsidRDefault="005E1AEC" w:rsidP="005E1AEC">
      <w:pPr>
        <w:rPr>
          <w:lang w:val="es-ES_tradnl"/>
        </w:rPr>
      </w:pPr>
      <w:r w:rsidRPr="004E79F2">
        <w:rPr>
          <w:lang w:val="es-ES_tradnl"/>
        </w:rPr>
        <w:fldChar w:fldCharType="begin"/>
      </w:r>
      <w:r w:rsidRPr="004E79F2">
        <w:rPr>
          <w:lang w:val="es-ES_tradnl"/>
        </w:rPr>
        <w:instrText xml:space="preserve"> AUTONUM  </w:instrText>
      </w:r>
      <w:r w:rsidRPr="004E79F2">
        <w:rPr>
          <w:lang w:val="es-ES_tradnl"/>
        </w:rPr>
        <w:fldChar w:fldCharType="end"/>
      </w:r>
      <w:r w:rsidRPr="004E79F2">
        <w:rPr>
          <w:lang w:val="es-ES_tradnl"/>
        </w:rPr>
        <w:tab/>
      </w:r>
      <w:r w:rsidR="007A0B99" w:rsidRPr="004E79F2">
        <w:rPr>
          <w:lang w:val="es-ES_tradnl"/>
        </w:rPr>
        <w:t xml:space="preserve">Cuando el </w:t>
      </w:r>
      <w:r w:rsidRPr="004E79F2">
        <w:rPr>
          <w:lang w:val="es-ES_tradnl"/>
        </w:rPr>
        <w:t xml:space="preserve">TPI, </w:t>
      </w:r>
      <w:r w:rsidR="007A0B99" w:rsidRPr="004E79F2">
        <w:rPr>
          <w:lang w:val="es-ES_tradnl"/>
        </w:rPr>
        <w:t>a raíz de una oposición, decida conceder protección a la designación de Turquía, enviará una declaración de concesión de la protección al titular del registro internacional, por conducto de la Oficina Internacional</w:t>
      </w:r>
      <w:r w:rsidR="006C3E02">
        <w:rPr>
          <w:lang w:val="es-ES_tradnl"/>
        </w:rPr>
        <w:t xml:space="preserve"> de la OMPI</w:t>
      </w:r>
      <w:r w:rsidR="007A0B99" w:rsidRPr="004E79F2">
        <w:rPr>
          <w:lang w:val="es-ES_tradnl"/>
        </w:rPr>
        <w:t xml:space="preserve">, </w:t>
      </w:r>
      <w:r w:rsidR="00FE7BFC" w:rsidRPr="004E79F2">
        <w:rPr>
          <w:lang w:val="es-ES_tradnl"/>
        </w:rPr>
        <w:t xml:space="preserve">en cuanto esta decisión sea definitiva, es decir, tras haberse resuelto todo recurso posterior.  Será posible presentar un recurso posterior a la Junta de evaluación y </w:t>
      </w:r>
      <w:r w:rsidR="00F7672E" w:rsidRPr="004E79F2">
        <w:rPr>
          <w:lang w:val="es-ES_tradnl"/>
        </w:rPr>
        <w:t>re</w:t>
      </w:r>
      <w:r w:rsidR="00FE7BFC" w:rsidRPr="004E79F2">
        <w:rPr>
          <w:lang w:val="es-ES_tradnl"/>
        </w:rPr>
        <w:t xml:space="preserve">examen del TPI (la </w:t>
      </w:r>
      <w:r w:rsidR="00165C16">
        <w:rPr>
          <w:lang w:val="es-ES_tradnl"/>
        </w:rPr>
        <w:t>“</w:t>
      </w:r>
      <w:r w:rsidR="00FE7BFC" w:rsidRPr="004E79F2">
        <w:rPr>
          <w:lang w:val="es-ES_tradnl"/>
        </w:rPr>
        <w:t>Junta</w:t>
      </w:r>
      <w:r w:rsidR="00165C16">
        <w:rPr>
          <w:lang w:val="es-ES_tradnl"/>
        </w:rPr>
        <w:t>”</w:t>
      </w:r>
      <w:r w:rsidR="00FE7BFC" w:rsidRPr="004E79F2">
        <w:rPr>
          <w:lang w:val="es-ES_tradnl"/>
        </w:rPr>
        <w:t>) en un plazo de dos meses contados a partir de la resolución sobre la oposición.</w:t>
      </w:r>
    </w:p>
    <w:p w:rsidR="00165C16" w:rsidRDefault="00165C16" w:rsidP="005E1AEC">
      <w:pPr>
        <w:rPr>
          <w:lang w:val="es-ES_tradnl"/>
        </w:rPr>
      </w:pPr>
      <w:r>
        <w:rPr>
          <w:lang w:val="es-ES_tradnl"/>
        </w:rPr>
        <w:br w:type="page"/>
      </w:r>
    </w:p>
    <w:p w:rsidR="007A0B99" w:rsidRPr="004E79F2" w:rsidRDefault="007A0B99" w:rsidP="005E1AEC">
      <w:pPr>
        <w:rPr>
          <w:lang w:val="es-ES_tradnl"/>
        </w:rPr>
      </w:pPr>
    </w:p>
    <w:p w:rsidR="00A734E1" w:rsidRPr="004E79F2" w:rsidRDefault="005E1AEC" w:rsidP="005E1AEC">
      <w:pPr>
        <w:rPr>
          <w:lang w:val="es-ES_tradnl"/>
        </w:rPr>
      </w:pPr>
      <w:r w:rsidRPr="004E79F2">
        <w:rPr>
          <w:lang w:val="es-ES_tradnl"/>
        </w:rPr>
        <w:fldChar w:fldCharType="begin"/>
      </w:r>
      <w:r w:rsidRPr="004E79F2">
        <w:rPr>
          <w:lang w:val="es-ES_tradnl"/>
        </w:rPr>
        <w:instrText xml:space="preserve"> AUTONUM  </w:instrText>
      </w:r>
      <w:r w:rsidRPr="004E79F2">
        <w:rPr>
          <w:lang w:val="es-ES_tradnl"/>
        </w:rPr>
        <w:fldChar w:fldCharType="end"/>
      </w:r>
      <w:r w:rsidRPr="004E79F2">
        <w:rPr>
          <w:lang w:val="es-ES_tradnl"/>
        </w:rPr>
        <w:tab/>
      </w:r>
      <w:r w:rsidR="007D54B7" w:rsidRPr="004E79F2">
        <w:rPr>
          <w:lang w:val="es-ES_tradnl"/>
        </w:rPr>
        <w:t xml:space="preserve">Cuando el </w:t>
      </w:r>
      <w:r w:rsidRPr="004E79F2">
        <w:rPr>
          <w:lang w:val="es-ES_tradnl"/>
        </w:rPr>
        <w:t xml:space="preserve">TPI, </w:t>
      </w:r>
      <w:r w:rsidR="007D54B7" w:rsidRPr="004E79F2">
        <w:rPr>
          <w:lang w:val="es-ES_tradnl"/>
        </w:rPr>
        <w:t xml:space="preserve">a raíz de una oposición, decida denegar la protección, enviará inmediatamente </w:t>
      </w:r>
      <w:r w:rsidR="00FB2281" w:rsidRPr="004E79F2">
        <w:rPr>
          <w:lang w:val="es-ES_tradnl"/>
        </w:rPr>
        <w:t xml:space="preserve">al titular del registro internacional </w:t>
      </w:r>
      <w:r w:rsidR="007D54B7" w:rsidRPr="004E79F2">
        <w:rPr>
          <w:lang w:val="es-ES_tradnl"/>
        </w:rPr>
        <w:t>una notificación de denegación provisional basada en la oposición, por conducto de la Oficina Internacional</w:t>
      </w:r>
      <w:r w:rsidR="006C3E02">
        <w:rPr>
          <w:lang w:val="es-ES_tradnl"/>
        </w:rPr>
        <w:t xml:space="preserve"> de la OMPI</w:t>
      </w:r>
      <w:r w:rsidR="007D54B7" w:rsidRPr="004E79F2">
        <w:rPr>
          <w:lang w:val="es-ES_tradnl"/>
        </w:rPr>
        <w:t xml:space="preserve">.  En esta notificación se informará al titular de los motivos de la denegación y de </w:t>
      </w:r>
      <w:r w:rsidR="00E23A44" w:rsidRPr="004E79F2">
        <w:rPr>
          <w:lang w:val="es-ES_tradnl"/>
        </w:rPr>
        <w:t xml:space="preserve">los trámites que </w:t>
      </w:r>
      <w:r w:rsidR="008C7C1A" w:rsidRPr="004E79F2">
        <w:rPr>
          <w:lang w:val="es-ES_tradnl"/>
        </w:rPr>
        <w:t xml:space="preserve">conviene que inicie para subsanar el motivo de la denegación provisional.  El titular del registro internacional tiene la opción de recurrir </w:t>
      </w:r>
      <w:r w:rsidR="00640A79" w:rsidRPr="004E79F2">
        <w:rPr>
          <w:lang w:val="es-ES_tradnl"/>
        </w:rPr>
        <w:t xml:space="preserve">contra </w:t>
      </w:r>
      <w:r w:rsidR="008C7C1A" w:rsidRPr="004E79F2">
        <w:rPr>
          <w:lang w:val="es-ES_tradnl"/>
        </w:rPr>
        <w:t xml:space="preserve">la denegación ante la Junta en un plazo de dos meses contados a partir de la fecha de la notificación de la denegación provisional.  Para iniciar una acción a ese respecto, el titular debe nombrar un agente de marcas local inscrito en el Registro de Agentes </w:t>
      </w:r>
      <w:r w:rsidR="002A0D53" w:rsidRPr="004E79F2">
        <w:rPr>
          <w:lang w:val="es-ES_tradnl"/>
        </w:rPr>
        <w:t xml:space="preserve">que mantiene </w:t>
      </w:r>
      <w:r w:rsidR="008C7C1A" w:rsidRPr="004E79F2">
        <w:rPr>
          <w:lang w:val="es-ES_tradnl"/>
        </w:rPr>
        <w:t>el TPI.  En el sitio web del TPI figura una lista de agentes de marcas turcos, en</w:t>
      </w:r>
      <w:proofErr w:type="gramStart"/>
      <w:r w:rsidRPr="004E79F2">
        <w:rPr>
          <w:lang w:val="es-ES_tradnl"/>
        </w:rPr>
        <w:t xml:space="preserve">:  </w:t>
      </w:r>
      <w:r w:rsidR="00A63415" w:rsidRPr="00A63415">
        <w:rPr>
          <w:lang w:val="es-ES"/>
        </w:rPr>
        <w:t>http</w:t>
      </w:r>
      <w:proofErr w:type="gramEnd"/>
      <w:r w:rsidR="00A63415" w:rsidRPr="00A63415">
        <w:rPr>
          <w:lang w:val="es-ES"/>
        </w:rPr>
        <w:t>://www.tpe.gov.tr/TurkPatentEnstitusu/attorneysearchAll/</w:t>
      </w:r>
      <w:r w:rsidR="00A734E1" w:rsidRPr="004E79F2">
        <w:rPr>
          <w:lang w:val="es-ES_tradnl"/>
        </w:rPr>
        <w:t>.</w:t>
      </w:r>
    </w:p>
    <w:p w:rsidR="005E1AEC" w:rsidRPr="004E79F2" w:rsidRDefault="005E1AEC" w:rsidP="005E1AEC">
      <w:pPr>
        <w:rPr>
          <w:lang w:val="es-ES_tradnl"/>
        </w:rPr>
      </w:pPr>
    </w:p>
    <w:p w:rsidR="00640A79" w:rsidRPr="004E79F2" w:rsidRDefault="00264FFC" w:rsidP="005E1AEC">
      <w:p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640A79" w:rsidRPr="004E79F2">
        <w:rPr>
          <w:lang w:val="es-ES_tradnl"/>
        </w:rPr>
        <w:t xml:space="preserve">Los titulares de registros internacionales que designen a Turquía pueden supervisar el estado de los procedimientos ante el TPI mediante el servicio abierto de seguimiento de </w:t>
      </w:r>
      <w:r w:rsidR="00B56F33" w:rsidRPr="004E79F2">
        <w:rPr>
          <w:lang w:val="es-ES_tradnl"/>
        </w:rPr>
        <w:t xml:space="preserve">expedientes </w:t>
      </w:r>
      <w:r w:rsidR="00640A79" w:rsidRPr="004E79F2">
        <w:rPr>
          <w:lang w:val="es-ES_tradnl"/>
        </w:rPr>
        <w:t xml:space="preserve">en Internet en el sitio web del TPI, en </w:t>
      </w:r>
      <w:r w:rsidR="00A63415" w:rsidRPr="00A63415">
        <w:rPr>
          <w:lang w:val="es-ES"/>
        </w:rPr>
        <w:t>http://www.tpe.gov.tr/TurkPatentEnstitusu/?lang=en</w:t>
      </w:r>
      <w:r w:rsidR="005E1AEC" w:rsidRPr="004E79F2">
        <w:rPr>
          <w:lang w:val="es-ES_tradnl"/>
        </w:rPr>
        <w:t xml:space="preserve">.  </w:t>
      </w:r>
      <w:r w:rsidR="00640A79" w:rsidRPr="004E79F2">
        <w:rPr>
          <w:lang w:val="es-ES_tradnl"/>
        </w:rPr>
        <w:t xml:space="preserve">Si bien la información ofrecida figura en turco, existe un dispositivo de búsqueda en inglés que facilita las búsquedas.  Además, el TPI mantiene un servicio de inspección de </w:t>
      </w:r>
      <w:r w:rsidR="005469FE" w:rsidRPr="004E79F2">
        <w:rPr>
          <w:lang w:val="es-ES_tradnl"/>
        </w:rPr>
        <w:t>expedientes</w:t>
      </w:r>
      <w:r w:rsidR="00640A79" w:rsidRPr="004E79F2">
        <w:rPr>
          <w:lang w:val="es-ES_tradnl"/>
        </w:rPr>
        <w:t xml:space="preserve"> en línea que da acceso a algunos documentos digitalizados y está disponible en el sitio web del TPI en </w:t>
      </w:r>
      <w:r w:rsidR="00A63415" w:rsidRPr="00A63415">
        <w:rPr>
          <w:lang w:val="es-ES"/>
        </w:rPr>
        <w:t>http://online.turkpatent.gov.tr/CES/</w:t>
      </w:r>
      <w:r w:rsidR="005E1AEC" w:rsidRPr="004E79F2">
        <w:rPr>
          <w:lang w:val="es-ES_tradnl"/>
        </w:rPr>
        <w:t xml:space="preserve"> </w:t>
      </w:r>
      <w:r w:rsidR="00640A79" w:rsidRPr="004E79F2">
        <w:rPr>
          <w:lang w:val="es-ES_tradnl"/>
        </w:rPr>
        <w:t>para todos quienes tengan un número de identificación fiscal o de ciudadanía turca</w:t>
      </w:r>
      <w:r w:rsidR="00B56F33" w:rsidRPr="004E79F2">
        <w:rPr>
          <w:lang w:val="es-ES_tradnl"/>
        </w:rPr>
        <w:t>, incluidos los agentes de marcas.</w:t>
      </w:r>
    </w:p>
    <w:p w:rsidR="00640A79" w:rsidRPr="004E79F2" w:rsidRDefault="00640A79" w:rsidP="005E1AEC">
      <w:pPr>
        <w:rPr>
          <w:lang w:val="es-ES_tradnl"/>
        </w:rPr>
      </w:pPr>
    </w:p>
    <w:p w:rsidR="00B56F33" w:rsidRPr="004E79F2" w:rsidRDefault="00264FFC" w:rsidP="005E1AEC">
      <w:p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B56F33" w:rsidRPr="004E79F2">
        <w:rPr>
          <w:lang w:val="es-ES_tradnl"/>
        </w:rPr>
        <w:t xml:space="preserve">Si bien el TPI vela por la publicación puntual de todas las notificaciones previstas en el Sistema de Madrid en relación con la concesión de la protección o la denegación provisional de un registro de marca, supervisar la situación de un registro, por medio del servicio de seguimiento de expedientes, puede </w:t>
      </w:r>
      <w:r w:rsidR="005469FE" w:rsidRPr="004E79F2">
        <w:rPr>
          <w:lang w:val="es-ES_tradnl"/>
        </w:rPr>
        <w:t>servir para que el titular esté</w:t>
      </w:r>
      <w:r w:rsidR="00B56F33" w:rsidRPr="004E79F2">
        <w:rPr>
          <w:lang w:val="es-ES_tradnl"/>
        </w:rPr>
        <w:t xml:space="preserve"> informado por anticipado de todas las etapas previas a la concesión;  especialmente, de cualquier oposición, independientemente de la notificación oficial emitida de conformidad con las disposiciones del Sistema de Madrid.  </w:t>
      </w:r>
      <w:r w:rsidR="00A8324D">
        <w:rPr>
          <w:lang w:val="es-ES_tradnl"/>
        </w:rPr>
        <w:t>L</w:t>
      </w:r>
      <w:r w:rsidR="00B56F33" w:rsidRPr="004E79F2">
        <w:rPr>
          <w:lang w:val="es-ES_tradnl"/>
        </w:rPr>
        <w:t>a supervisión permite al titular de un registro internacional prever la necesidad de designar un agente de marcas local.</w:t>
      </w:r>
    </w:p>
    <w:p w:rsidR="005E1AEC" w:rsidRPr="004E79F2" w:rsidRDefault="005E1AEC" w:rsidP="005E1AEC">
      <w:pPr>
        <w:rPr>
          <w:lang w:val="es-ES_tradnl"/>
        </w:rPr>
      </w:pPr>
    </w:p>
    <w:p w:rsidR="00A734E1" w:rsidRPr="004E79F2" w:rsidRDefault="00264FFC" w:rsidP="005E1AEC">
      <w:p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B56F33" w:rsidRPr="004E79F2">
        <w:rPr>
          <w:lang w:val="es-ES_tradnl"/>
        </w:rPr>
        <w:t xml:space="preserve">En el sitio web del TPI, en </w:t>
      </w:r>
      <w:r w:rsidR="00A63415" w:rsidRPr="00A63415">
        <w:rPr>
          <w:lang w:val="es-ES"/>
        </w:rPr>
        <w:t>http</w:t>
      </w:r>
      <w:proofErr w:type="gramStart"/>
      <w:r w:rsidR="00A63415" w:rsidRPr="00A63415">
        <w:rPr>
          <w:lang w:val="es-ES"/>
        </w:rPr>
        <w:t>:/</w:t>
      </w:r>
      <w:proofErr w:type="gramEnd"/>
      <w:r w:rsidR="00A63415" w:rsidRPr="00A63415">
        <w:rPr>
          <w:lang w:val="es-ES"/>
        </w:rPr>
        <w:t>/www.tpe.gov.tr/TurkPatentEnstitusu/?lang=en</w:t>
      </w:r>
      <w:r w:rsidR="00B56F33" w:rsidRPr="004E79F2">
        <w:rPr>
          <w:lang w:val="es-ES_tradnl"/>
        </w:rPr>
        <w:t>, se ofrece más información detallada sobre el proceso de protección de las marcas en Turquía así como sobre el acceso a la legislación aplicable</w:t>
      </w:r>
      <w:r w:rsidR="005E1AEC" w:rsidRPr="004E79F2">
        <w:rPr>
          <w:lang w:val="es-ES_tradnl"/>
        </w:rPr>
        <w:t xml:space="preserve">.  </w:t>
      </w:r>
      <w:r w:rsidR="00B56F33" w:rsidRPr="004E79F2">
        <w:rPr>
          <w:lang w:val="es-ES_tradnl"/>
        </w:rPr>
        <w:t xml:space="preserve">La información de contacto para todos los asuntos relativos al Sistema de Madrid en el TPI también está disponible en el sitio web de la OMPI, en la dirección </w:t>
      </w:r>
      <w:r w:rsidR="005E1AEC" w:rsidRPr="004E79F2">
        <w:rPr>
          <w:lang w:val="es-ES_tradnl"/>
        </w:rPr>
        <w:t>http://www.wipo.int/madrid/e</w:t>
      </w:r>
      <w:r w:rsidR="00B56F33" w:rsidRPr="004E79F2">
        <w:rPr>
          <w:lang w:val="es-ES_tradnl"/>
        </w:rPr>
        <w:t>s</w:t>
      </w:r>
      <w:r w:rsidR="005E1AEC" w:rsidRPr="004E79F2">
        <w:rPr>
          <w:lang w:val="es-ES_tradnl"/>
        </w:rPr>
        <w:t>/members/profiles/tr.html</w:t>
      </w:r>
      <w:r w:rsidR="00A734E1" w:rsidRPr="004E79F2">
        <w:rPr>
          <w:lang w:val="es-ES_tradnl"/>
        </w:rPr>
        <w:t>.</w:t>
      </w:r>
    </w:p>
    <w:p w:rsidR="005E1AEC" w:rsidRPr="004E79F2" w:rsidRDefault="005E1AEC" w:rsidP="005E1AEC">
      <w:pPr>
        <w:rPr>
          <w:lang w:val="es-ES_tradnl"/>
        </w:rPr>
      </w:pPr>
    </w:p>
    <w:p w:rsidR="005E1AEC" w:rsidRPr="004E79F2" w:rsidRDefault="005E1AEC" w:rsidP="005E1AEC">
      <w:pPr>
        <w:rPr>
          <w:lang w:val="es-ES_tradnl"/>
        </w:rPr>
      </w:pPr>
    </w:p>
    <w:p w:rsidR="005E1AEC" w:rsidRPr="004E79F2" w:rsidRDefault="005E1AEC" w:rsidP="005E1AEC">
      <w:pPr>
        <w:rPr>
          <w:lang w:val="es-ES_tradnl"/>
        </w:rPr>
      </w:pPr>
    </w:p>
    <w:p w:rsidR="005E1AEC" w:rsidRPr="00CD4690" w:rsidRDefault="00313BD4" w:rsidP="005E1AEC">
      <w:pPr>
        <w:pStyle w:val="Endofdocument-Annex"/>
        <w:rPr>
          <w:lang w:val="es-ES_tradnl"/>
        </w:rPr>
      </w:pPr>
      <w:r>
        <w:rPr>
          <w:lang w:val="es-ES_tradnl"/>
        </w:rPr>
        <w:t>4</w:t>
      </w:r>
      <w:bookmarkStart w:id="1" w:name="_GoBack"/>
      <w:bookmarkEnd w:id="1"/>
      <w:r w:rsidR="009C7148" w:rsidRPr="004E79F2">
        <w:rPr>
          <w:lang w:val="es-ES_tradnl"/>
        </w:rPr>
        <w:t xml:space="preserve"> de </w:t>
      </w:r>
      <w:r w:rsidR="004E1616">
        <w:rPr>
          <w:lang w:val="es-ES_tradnl"/>
        </w:rPr>
        <w:t>dicie</w:t>
      </w:r>
      <w:r w:rsidR="009C7148" w:rsidRPr="004E79F2">
        <w:rPr>
          <w:lang w:val="es-ES_tradnl"/>
        </w:rPr>
        <w:t>mbre d</w:t>
      </w:r>
      <w:r w:rsidR="004E79F2" w:rsidRPr="004E79F2">
        <w:rPr>
          <w:lang w:val="es-ES_tradnl"/>
        </w:rPr>
        <w:t>e 2</w:t>
      </w:r>
      <w:r w:rsidR="005E1AEC" w:rsidRPr="004E79F2">
        <w:rPr>
          <w:lang w:val="es-ES_tradnl"/>
        </w:rPr>
        <w:t>014</w:t>
      </w:r>
    </w:p>
    <w:p w:rsidR="00C946C9" w:rsidRPr="00CD4690" w:rsidRDefault="00C946C9" w:rsidP="005E1AEC">
      <w:pPr>
        <w:rPr>
          <w:lang w:val="es-ES_tradnl"/>
        </w:rPr>
      </w:pPr>
    </w:p>
    <w:sectPr w:rsidR="00C946C9" w:rsidRPr="00CD4690" w:rsidSect="000C03DD">
      <w:headerReference w:type="default" r:id="rId10"/>
      <w:endnotePr>
        <w:numFmt w:val="decimal"/>
      </w:endnotePr>
      <w:pgSz w:w="11907" w:h="16840" w:code="9"/>
      <w:pgMar w:top="567" w:right="1134" w:bottom="709"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39" w:rsidRDefault="00EB6B39">
      <w:r>
        <w:separator/>
      </w:r>
    </w:p>
  </w:endnote>
  <w:endnote w:type="continuationSeparator" w:id="0">
    <w:p w:rsidR="00EB6B39" w:rsidRDefault="00EB6B39" w:rsidP="003B38C1">
      <w:r>
        <w:separator/>
      </w:r>
    </w:p>
    <w:p w:rsidR="00EB6B39" w:rsidRPr="003B38C1" w:rsidRDefault="00EB6B39" w:rsidP="003B38C1">
      <w:pPr>
        <w:spacing w:after="60"/>
        <w:rPr>
          <w:sz w:val="17"/>
        </w:rPr>
      </w:pPr>
      <w:r>
        <w:rPr>
          <w:sz w:val="17"/>
        </w:rPr>
        <w:t>[Endnote continued from previous page]</w:t>
      </w:r>
    </w:p>
  </w:endnote>
  <w:endnote w:type="continuationNotice" w:id="1">
    <w:p w:rsidR="00EB6B39" w:rsidRPr="003B38C1" w:rsidRDefault="00EB6B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39" w:rsidRDefault="00EB6B39">
      <w:r>
        <w:separator/>
      </w:r>
    </w:p>
  </w:footnote>
  <w:footnote w:type="continuationSeparator" w:id="0">
    <w:p w:rsidR="00EB6B39" w:rsidRDefault="00EB6B39" w:rsidP="008B60B2">
      <w:r>
        <w:separator/>
      </w:r>
    </w:p>
    <w:p w:rsidR="00EB6B39" w:rsidRPr="00ED77FB" w:rsidRDefault="00EB6B39" w:rsidP="008B60B2">
      <w:pPr>
        <w:spacing w:after="60"/>
        <w:rPr>
          <w:sz w:val="17"/>
          <w:szCs w:val="17"/>
        </w:rPr>
      </w:pPr>
      <w:r w:rsidRPr="00ED77FB">
        <w:rPr>
          <w:sz w:val="17"/>
          <w:szCs w:val="17"/>
        </w:rPr>
        <w:t>[Footnote continued from previous page]</w:t>
      </w:r>
    </w:p>
  </w:footnote>
  <w:footnote w:type="continuationNotice" w:id="1">
    <w:p w:rsidR="00EB6B39" w:rsidRPr="00ED77FB" w:rsidRDefault="00EB6B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C16" w:rsidRDefault="00165C16" w:rsidP="0016525F">
    <w:pPr>
      <w:pStyle w:val="Header"/>
      <w:jc w:val="right"/>
      <w:rPr>
        <w:lang w:val="es-ES"/>
      </w:rPr>
    </w:pPr>
  </w:p>
  <w:p w:rsidR="0016525F" w:rsidRDefault="0016525F" w:rsidP="0016525F">
    <w:pPr>
      <w:pStyle w:val="Header"/>
      <w:jc w:val="right"/>
      <w:rPr>
        <w:lang w:val="es-ES"/>
      </w:rPr>
    </w:pPr>
    <w:proofErr w:type="gramStart"/>
    <w:r>
      <w:rPr>
        <w:lang w:val="es-ES"/>
      </w:rPr>
      <w:t>página</w:t>
    </w:r>
    <w:proofErr w:type="gramEnd"/>
    <w:r>
      <w:rPr>
        <w:lang w:val="es-ES"/>
      </w:rPr>
      <w:t xml:space="preserve"> </w:t>
    </w:r>
    <w:r w:rsidRPr="0016525F">
      <w:rPr>
        <w:lang w:val="es-ES"/>
      </w:rPr>
      <w:fldChar w:fldCharType="begin"/>
    </w:r>
    <w:r w:rsidRPr="0016525F">
      <w:rPr>
        <w:lang w:val="es-ES"/>
      </w:rPr>
      <w:instrText xml:space="preserve"> PAGE   \* MERGEFORMAT </w:instrText>
    </w:r>
    <w:r w:rsidRPr="0016525F">
      <w:rPr>
        <w:lang w:val="es-ES"/>
      </w:rPr>
      <w:fldChar w:fldCharType="separate"/>
    </w:r>
    <w:r w:rsidR="00313BD4">
      <w:rPr>
        <w:noProof/>
        <w:lang w:val="es-ES"/>
      </w:rPr>
      <w:t>2</w:t>
    </w:r>
    <w:r w:rsidRPr="0016525F">
      <w:rPr>
        <w:noProof/>
        <w:lang w:val="es-ES"/>
      </w:rPr>
      <w:fldChar w:fldCharType="end"/>
    </w:r>
  </w:p>
  <w:p w:rsidR="0016525F" w:rsidRPr="0016525F" w:rsidRDefault="0016525F">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EA0C5A"/>
    <w:multiLevelType w:val="hybridMultilevel"/>
    <w:tmpl w:val="EC669194"/>
    <w:lvl w:ilvl="0" w:tplc="C892308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47D5"/>
    <w:rsid w:val="00005CFF"/>
    <w:rsid w:val="000123A6"/>
    <w:rsid w:val="000150FC"/>
    <w:rsid w:val="000161AE"/>
    <w:rsid w:val="00031648"/>
    <w:rsid w:val="00042E33"/>
    <w:rsid w:val="00043313"/>
    <w:rsid w:val="00043CAA"/>
    <w:rsid w:val="000477ED"/>
    <w:rsid w:val="00047FA7"/>
    <w:rsid w:val="00062212"/>
    <w:rsid w:val="00065151"/>
    <w:rsid w:val="00070B86"/>
    <w:rsid w:val="000728FF"/>
    <w:rsid w:val="00075432"/>
    <w:rsid w:val="0007730E"/>
    <w:rsid w:val="000968ED"/>
    <w:rsid w:val="000A525D"/>
    <w:rsid w:val="000B149B"/>
    <w:rsid w:val="000B192A"/>
    <w:rsid w:val="000C03DD"/>
    <w:rsid w:val="000C2268"/>
    <w:rsid w:val="000C69E2"/>
    <w:rsid w:val="000D3921"/>
    <w:rsid w:val="000E3CF8"/>
    <w:rsid w:val="000E6AD0"/>
    <w:rsid w:val="000E73ED"/>
    <w:rsid w:val="000F5E56"/>
    <w:rsid w:val="000F6B60"/>
    <w:rsid w:val="00110F87"/>
    <w:rsid w:val="001272E3"/>
    <w:rsid w:val="00131BD8"/>
    <w:rsid w:val="00133F53"/>
    <w:rsid w:val="001362EE"/>
    <w:rsid w:val="00141B98"/>
    <w:rsid w:val="001500ED"/>
    <w:rsid w:val="0015037D"/>
    <w:rsid w:val="0016525F"/>
    <w:rsid w:val="00165C16"/>
    <w:rsid w:val="00166299"/>
    <w:rsid w:val="00171388"/>
    <w:rsid w:val="00177186"/>
    <w:rsid w:val="001809F6"/>
    <w:rsid w:val="00182AAC"/>
    <w:rsid w:val="001832A6"/>
    <w:rsid w:val="00185E31"/>
    <w:rsid w:val="00186DE1"/>
    <w:rsid w:val="001C2C13"/>
    <w:rsid w:val="001C2D7E"/>
    <w:rsid w:val="001C62E7"/>
    <w:rsid w:val="001E3850"/>
    <w:rsid w:val="001F0017"/>
    <w:rsid w:val="001F1B95"/>
    <w:rsid w:val="001F2C64"/>
    <w:rsid w:val="001F717F"/>
    <w:rsid w:val="001F7437"/>
    <w:rsid w:val="0020551F"/>
    <w:rsid w:val="00207CAA"/>
    <w:rsid w:val="00215F5E"/>
    <w:rsid w:val="0022493E"/>
    <w:rsid w:val="00224A8A"/>
    <w:rsid w:val="00225E3D"/>
    <w:rsid w:val="00226E5D"/>
    <w:rsid w:val="00230ADA"/>
    <w:rsid w:val="0023581F"/>
    <w:rsid w:val="00251890"/>
    <w:rsid w:val="0025278E"/>
    <w:rsid w:val="00256D83"/>
    <w:rsid w:val="002634C4"/>
    <w:rsid w:val="00264FFC"/>
    <w:rsid w:val="00271540"/>
    <w:rsid w:val="00272A59"/>
    <w:rsid w:val="00283C1B"/>
    <w:rsid w:val="002928D3"/>
    <w:rsid w:val="002A0D53"/>
    <w:rsid w:val="002A2E4F"/>
    <w:rsid w:val="002B6590"/>
    <w:rsid w:val="002C1554"/>
    <w:rsid w:val="002C168C"/>
    <w:rsid w:val="002C38D8"/>
    <w:rsid w:val="002D43E1"/>
    <w:rsid w:val="002F1FE6"/>
    <w:rsid w:val="002F386A"/>
    <w:rsid w:val="002F4E68"/>
    <w:rsid w:val="003071B6"/>
    <w:rsid w:val="00312F7F"/>
    <w:rsid w:val="00313BD4"/>
    <w:rsid w:val="00316EC2"/>
    <w:rsid w:val="00317670"/>
    <w:rsid w:val="003260C1"/>
    <w:rsid w:val="00335EC1"/>
    <w:rsid w:val="00347330"/>
    <w:rsid w:val="00357985"/>
    <w:rsid w:val="00361450"/>
    <w:rsid w:val="00365541"/>
    <w:rsid w:val="003673CF"/>
    <w:rsid w:val="003845C1"/>
    <w:rsid w:val="003A6F89"/>
    <w:rsid w:val="003B38C1"/>
    <w:rsid w:val="003C0B3D"/>
    <w:rsid w:val="003C2450"/>
    <w:rsid w:val="003D508C"/>
    <w:rsid w:val="003E0D9F"/>
    <w:rsid w:val="003F4298"/>
    <w:rsid w:val="004052E1"/>
    <w:rsid w:val="00410324"/>
    <w:rsid w:val="00411FB2"/>
    <w:rsid w:val="00414A9E"/>
    <w:rsid w:val="00421469"/>
    <w:rsid w:val="00423E3E"/>
    <w:rsid w:val="00427AF4"/>
    <w:rsid w:val="0046160D"/>
    <w:rsid w:val="004630B4"/>
    <w:rsid w:val="004647DA"/>
    <w:rsid w:val="0047006A"/>
    <w:rsid w:val="00474062"/>
    <w:rsid w:val="00477D6B"/>
    <w:rsid w:val="00477EF9"/>
    <w:rsid w:val="004936FC"/>
    <w:rsid w:val="004947C5"/>
    <w:rsid w:val="004971A9"/>
    <w:rsid w:val="004B0093"/>
    <w:rsid w:val="004B2ACB"/>
    <w:rsid w:val="004B336C"/>
    <w:rsid w:val="004B6D93"/>
    <w:rsid w:val="004C7C7E"/>
    <w:rsid w:val="004D6D37"/>
    <w:rsid w:val="004E1616"/>
    <w:rsid w:val="004E23C2"/>
    <w:rsid w:val="004E79F2"/>
    <w:rsid w:val="004F5A30"/>
    <w:rsid w:val="005019FF"/>
    <w:rsid w:val="005055D2"/>
    <w:rsid w:val="00513D2F"/>
    <w:rsid w:val="005164CC"/>
    <w:rsid w:val="00521DBB"/>
    <w:rsid w:val="005243B1"/>
    <w:rsid w:val="0053057A"/>
    <w:rsid w:val="00540ABC"/>
    <w:rsid w:val="00546473"/>
    <w:rsid w:val="005469FE"/>
    <w:rsid w:val="00546A94"/>
    <w:rsid w:val="00551FFE"/>
    <w:rsid w:val="00553F8F"/>
    <w:rsid w:val="00560A29"/>
    <w:rsid w:val="00563C83"/>
    <w:rsid w:val="005810EF"/>
    <w:rsid w:val="00584100"/>
    <w:rsid w:val="005868B8"/>
    <w:rsid w:val="005971D5"/>
    <w:rsid w:val="005A192B"/>
    <w:rsid w:val="005B20BE"/>
    <w:rsid w:val="005B53CA"/>
    <w:rsid w:val="005B5479"/>
    <w:rsid w:val="005C6649"/>
    <w:rsid w:val="005E1AEC"/>
    <w:rsid w:val="005E6213"/>
    <w:rsid w:val="005E74CD"/>
    <w:rsid w:val="005F2F3B"/>
    <w:rsid w:val="00605827"/>
    <w:rsid w:val="0060663A"/>
    <w:rsid w:val="00621A19"/>
    <w:rsid w:val="0062587F"/>
    <w:rsid w:val="00635408"/>
    <w:rsid w:val="006372E7"/>
    <w:rsid w:val="006403DB"/>
    <w:rsid w:val="00640A79"/>
    <w:rsid w:val="00644AA2"/>
    <w:rsid w:val="00646050"/>
    <w:rsid w:val="00647B0C"/>
    <w:rsid w:val="00654AE9"/>
    <w:rsid w:val="00656430"/>
    <w:rsid w:val="00663BB3"/>
    <w:rsid w:val="006659A7"/>
    <w:rsid w:val="0066783D"/>
    <w:rsid w:val="006713CA"/>
    <w:rsid w:val="00674ABA"/>
    <w:rsid w:val="00676C5C"/>
    <w:rsid w:val="00684699"/>
    <w:rsid w:val="00684B87"/>
    <w:rsid w:val="006A5948"/>
    <w:rsid w:val="006A7CA0"/>
    <w:rsid w:val="006C3E02"/>
    <w:rsid w:val="006D529E"/>
    <w:rsid w:val="006D6FDC"/>
    <w:rsid w:val="006E6A8A"/>
    <w:rsid w:val="006F073B"/>
    <w:rsid w:val="006F33FF"/>
    <w:rsid w:val="007037A7"/>
    <w:rsid w:val="00703E4D"/>
    <w:rsid w:val="0071083B"/>
    <w:rsid w:val="007227A5"/>
    <w:rsid w:val="0076017A"/>
    <w:rsid w:val="0076269A"/>
    <w:rsid w:val="00767C4D"/>
    <w:rsid w:val="00773CE3"/>
    <w:rsid w:val="00775EBD"/>
    <w:rsid w:val="00786644"/>
    <w:rsid w:val="00790A94"/>
    <w:rsid w:val="007A0B99"/>
    <w:rsid w:val="007B7F73"/>
    <w:rsid w:val="007C3E9B"/>
    <w:rsid w:val="007D1613"/>
    <w:rsid w:val="007D174C"/>
    <w:rsid w:val="007D250A"/>
    <w:rsid w:val="007D54B7"/>
    <w:rsid w:val="007E0FA3"/>
    <w:rsid w:val="007E3259"/>
    <w:rsid w:val="007F4D09"/>
    <w:rsid w:val="007F62D1"/>
    <w:rsid w:val="00804EC4"/>
    <w:rsid w:val="008176CF"/>
    <w:rsid w:val="008236A6"/>
    <w:rsid w:val="00832C55"/>
    <w:rsid w:val="008429A9"/>
    <w:rsid w:val="00853FA8"/>
    <w:rsid w:val="00854071"/>
    <w:rsid w:val="00885618"/>
    <w:rsid w:val="008948BE"/>
    <w:rsid w:val="008977D0"/>
    <w:rsid w:val="008B23F7"/>
    <w:rsid w:val="008B2CC1"/>
    <w:rsid w:val="008B60B2"/>
    <w:rsid w:val="008C2D2F"/>
    <w:rsid w:val="008C2FE6"/>
    <w:rsid w:val="008C7C1A"/>
    <w:rsid w:val="008D6E51"/>
    <w:rsid w:val="008E02BB"/>
    <w:rsid w:val="008F1F70"/>
    <w:rsid w:val="00906C66"/>
    <w:rsid w:val="0090731E"/>
    <w:rsid w:val="009155F2"/>
    <w:rsid w:val="00916EE2"/>
    <w:rsid w:val="00922789"/>
    <w:rsid w:val="00933DE8"/>
    <w:rsid w:val="009378BE"/>
    <w:rsid w:val="00940793"/>
    <w:rsid w:val="009449F2"/>
    <w:rsid w:val="009554C2"/>
    <w:rsid w:val="00965D59"/>
    <w:rsid w:val="00965EC2"/>
    <w:rsid w:val="00966A22"/>
    <w:rsid w:val="0096722F"/>
    <w:rsid w:val="00980843"/>
    <w:rsid w:val="009820CB"/>
    <w:rsid w:val="00987E9A"/>
    <w:rsid w:val="00997AAD"/>
    <w:rsid w:val="009A4CF3"/>
    <w:rsid w:val="009A591F"/>
    <w:rsid w:val="009B2765"/>
    <w:rsid w:val="009C0C04"/>
    <w:rsid w:val="009C545D"/>
    <w:rsid w:val="009C7148"/>
    <w:rsid w:val="009E13BD"/>
    <w:rsid w:val="009E2791"/>
    <w:rsid w:val="009E3F6F"/>
    <w:rsid w:val="009E5F9F"/>
    <w:rsid w:val="009F2A14"/>
    <w:rsid w:val="009F499F"/>
    <w:rsid w:val="00A04B6E"/>
    <w:rsid w:val="00A13FFA"/>
    <w:rsid w:val="00A1570B"/>
    <w:rsid w:val="00A21684"/>
    <w:rsid w:val="00A25430"/>
    <w:rsid w:val="00A330B4"/>
    <w:rsid w:val="00A353ED"/>
    <w:rsid w:val="00A42DAF"/>
    <w:rsid w:val="00A456E7"/>
    <w:rsid w:val="00A45BD8"/>
    <w:rsid w:val="00A63415"/>
    <w:rsid w:val="00A734E1"/>
    <w:rsid w:val="00A8324D"/>
    <w:rsid w:val="00A8373F"/>
    <w:rsid w:val="00A83912"/>
    <w:rsid w:val="00A869B7"/>
    <w:rsid w:val="00A90111"/>
    <w:rsid w:val="00AA1EEF"/>
    <w:rsid w:val="00AA221C"/>
    <w:rsid w:val="00AA419E"/>
    <w:rsid w:val="00AB55E3"/>
    <w:rsid w:val="00AB56FE"/>
    <w:rsid w:val="00AC205C"/>
    <w:rsid w:val="00AC4159"/>
    <w:rsid w:val="00AD38EE"/>
    <w:rsid w:val="00AE1E60"/>
    <w:rsid w:val="00AE5A89"/>
    <w:rsid w:val="00AF0A6B"/>
    <w:rsid w:val="00AF47FA"/>
    <w:rsid w:val="00AF5108"/>
    <w:rsid w:val="00B04CFA"/>
    <w:rsid w:val="00B05A69"/>
    <w:rsid w:val="00B068BD"/>
    <w:rsid w:val="00B1322D"/>
    <w:rsid w:val="00B21387"/>
    <w:rsid w:val="00B2247B"/>
    <w:rsid w:val="00B46D7E"/>
    <w:rsid w:val="00B47F75"/>
    <w:rsid w:val="00B54D7D"/>
    <w:rsid w:val="00B56F33"/>
    <w:rsid w:val="00B66168"/>
    <w:rsid w:val="00B83157"/>
    <w:rsid w:val="00B85937"/>
    <w:rsid w:val="00B9734B"/>
    <w:rsid w:val="00B97A85"/>
    <w:rsid w:val="00BA59F8"/>
    <w:rsid w:val="00BA63F6"/>
    <w:rsid w:val="00BA6DE5"/>
    <w:rsid w:val="00BB30F3"/>
    <w:rsid w:val="00BB4EDF"/>
    <w:rsid w:val="00BB78C7"/>
    <w:rsid w:val="00BE2619"/>
    <w:rsid w:val="00BE55D6"/>
    <w:rsid w:val="00BE5857"/>
    <w:rsid w:val="00BE62EE"/>
    <w:rsid w:val="00C06B49"/>
    <w:rsid w:val="00C11BFE"/>
    <w:rsid w:val="00C146FC"/>
    <w:rsid w:val="00C32F61"/>
    <w:rsid w:val="00C45642"/>
    <w:rsid w:val="00C46447"/>
    <w:rsid w:val="00C47421"/>
    <w:rsid w:val="00C556FE"/>
    <w:rsid w:val="00C634D0"/>
    <w:rsid w:val="00C64CE7"/>
    <w:rsid w:val="00C65F03"/>
    <w:rsid w:val="00C67841"/>
    <w:rsid w:val="00C771EA"/>
    <w:rsid w:val="00C946C9"/>
    <w:rsid w:val="00C977DB"/>
    <w:rsid w:val="00CB132F"/>
    <w:rsid w:val="00CB13CA"/>
    <w:rsid w:val="00CC5016"/>
    <w:rsid w:val="00CC5356"/>
    <w:rsid w:val="00CD330E"/>
    <w:rsid w:val="00CD4690"/>
    <w:rsid w:val="00CE0A51"/>
    <w:rsid w:val="00CE0F4D"/>
    <w:rsid w:val="00CE326E"/>
    <w:rsid w:val="00CE6390"/>
    <w:rsid w:val="00CF4536"/>
    <w:rsid w:val="00D10C51"/>
    <w:rsid w:val="00D16584"/>
    <w:rsid w:val="00D17BBB"/>
    <w:rsid w:val="00D22BD4"/>
    <w:rsid w:val="00D2383D"/>
    <w:rsid w:val="00D30CC7"/>
    <w:rsid w:val="00D31C2F"/>
    <w:rsid w:val="00D36451"/>
    <w:rsid w:val="00D40064"/>
    <w:rsid w:val="00D409DF"/>
    <w:rsid w:val="00D40A98"/>
    <w:rsid w:val="00D424EC"/>
    <w:rsid w:val="00D45252"/>
    <w:rsid w:val="00D55009"/>
    <w:rsid w:val="00D57F87"/>
    <w:rsid w:val="00D57F90"/>
    <w:rsid w:val="00D60FD8"/>
    <w:rsid w:val="00D71B4D"/>
    <w:rsid w:val="00D76F38"/>
    <w:rsid w:val="00D80127"/>
    <w:rsid w:val="00D90EE5"/>
    <w:rsid w:val="00D93D55"/>
    <w:rsid w:val="00DA2A97"/>
    <w:rsid w:val="00DB42CB"/>
    <w:rsid w:val="00DC0365"/>
    <w:rsid w:val="00DC3E50"/>
    <w:rsid w:val="00E06002"/>
    <w:rsid w:val="00E12478"/>
    <w:rsid w:val="00E213EE"/>
    <w:rsid w:val="00E23A44"/>
    <w:rsid w:val="00E335FE"/>
    <w:rsid w:val="00E42B9A"/>
    <w:rsid w:val="00E46E46"/>
    <w:rsid w:val="00E532DC"/>
    <w:rsid w:val="00E55177"/>
    <w:rsid w:val="00E55BFC"/>
    <w:rsid w:val="00E66C2C"/>
    <w:rsid w:val="00E81BDB"/>
    <w:rsid w:val="00E84EF2"/>
    <w:rsid w:val="00EB50E5"/>
    <w:rsid w:val="00EB6B39"/>
    <w:rsid w:val="00EC088D"/>
    <w:rsid w:val="00EC23FC"/>
    <w:rsid w:val="00EC4E49"/>
    <w:rsid w:val="00ED4C4F"/>
    <w:rsid w:val="00ED77FB"/>
    <w:rsid w:val="00EE45FA"/>
    <w:rsid w:val="00EE5748"/>
    <w:rsid w:val="00EF0146"/>
    <w:rsid w:val="00F0720F"/>
    <w:rsid w:val="00F201C4"/>
    <w:rsid w:val="00F379E7"/>
    <w:rsid w:val="00F52AC0"/>
    <w:rsid w:val="00F5701D"/>
    <w:rsid w:val="00F66152"/>
    <w:rsid w:val="00F7672E"/>
    <w:rsid w:val="00F7721F"/>
    <w:rsid w:val="00F8318A"/>
    <w:rsid w:val="00F90AFD"/>
    <w:rsid w:val="00F929D9"/>
    <w:rsid w:val="00FB2281"/>
    <w:rsid w:val="00FC3D36"/>
    <w:rsid w:val="00FC4C8A"/>
    <w:rsid w:val="00FD502F"/>
    <w:rsid w:val="00FE3A6D"/>
    <w:rsid w:val="00FE7BFC"/>
    <w:rsid w:val="00FF04B6"/>
    <w:rsid w:val="00FF13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CF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character" w:styleId="FootnoteReference">
    <w:name w:val="footnote reference"/>
    <w:basedOn w:val="DefaultParagraphFont"/>
    <w:rsid w:val="001C2C13"/>
    <w:rPr>
      <w:vertAlign w:val="superscript"/>
    </w:rPr>
  </w:style>
  <w:style w:type="character" w:customStyle="1" w:styleId="Heading4Char">
    <w:name w:val="Heading 4 Char"/>
    <w:basedOn w:val="DefaultParagraphFont"/>
    <w:link w:val="Heading4"/>
    <w:rsid w:val="00B04CFA"/>
    <w:rPr>
      <w:rFonts w:ascii="Arial" w:eastAsia="SimSun" w:hAnsi="Arial" w:cs="Arial"/>
      <w:bCs/>
      <w:i/>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CF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character" w:styleId="FootnoteReference">
    <w:name w:val="footnote reference"/>
    <w:basedOn w:val="DefaultParagraphFont"/>
    <w:rsid w:val="001C2C13"/>
    <w:rPr>
      <w:vertAlign w:val="superscript"/>
    </w:rPr>
  </w:style>
  <w:style w:type="character" w:customStyle="1" w:styleId="Heading4Char">
    <w:name w:val="Heading 4 Char"/>
    <w:basedOn w:val="DefaultParagraphFont"/>
    <w:link w:val="Heading4"/>
    <w:rsid w:val="00B04CFA"/>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A48D-869F-47F3-8C04-93A7DA56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Información relativa a los Territorios Británicos de Ultramar y a las Dependencias de la Corona Británica</vt:lpstr>
    </vt:vector>
  </TitlesOfParts>
  <Company>WIPO</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relativa a los Territorios Británicos de Ultramar y a las Dependencias de la Corona Británica</dc:title>
  <dc:creator>CILLERO</dc:creator>
  <cp:lastModifiedBy>DIAZ Natacha</cp:lastModifiedBy>
  <cp:revision>6</cp:revision>
  <cp:lastPrinted>2014-11-25T14:23:00Z</cp:lastPrinted>
  <dcterms:created xsi:type="dcterms:W3CDTF">2014-11-25T14:23:00Z</dcterms:created>
  <dcterms:modified xsi:type="dcterms:W3CDTF">2014-12-04T07:13:00Z</dcterms:modified>
</cp:coreProperties>
</file>