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0B3F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0B3FDF" w:rsidRDefault="007A1B85" w:rsidP="003C2450">
            <w:pPr>
              <w:keepNext/>
              <w:keepLines/>
            </w:pPr>
            <w:r w:rsidRPr="000B3FDF">
              <w:rPr>
                <w:noProof/>
                <w:lang w:eastAsia="en-US"/>
              </w:rPr>
              <w:drawing>
                <wp:inline distT="0" distB="0" distL="0" distR="0" wp14:anchorId="3ABC2E54" wp14:editId="604A139F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0B3FDF" w:rsidRDefault="00163F61" w:rsidP="003C2450">
            <w:pPr>
              <w:keepNext/>
              <w:keepLines/>
              <w:jc w:val="right"/>
            </w:pPr>
          </w:p>
        </w:tc>
      </w:tr>
      <w:tr w:rsidR="00163F61" w:rsidRPr="000B3F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0B3F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0B3F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0B3FDF" w:rsidRDefault="00163F61" w:rsidP="000B3FDF">
            <w:pPr>
              <w:jc w:val="right"/>
            </w:pPr>
            <w:r w:rsidRPr="000B3F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B3FDF" w:rsidRPr="000B3FDF">
              <w:rPr>
                <w:rFonts w:ascii="Arial Black" w:hAnsi="Arial Black"/>
                <w:caps/>
                <w:sz w:val="15"/>
              </w:rPr>
              <w:t>13</w:t>
            </w:r>
            <w:r w:rsidR="00262D96" w:rsidRPr="000B3FDF">
              <w:rPr>
                <w:rFonts w:ascii="Arial Black" w:hAnsi="Arial Black"/>
                <w:caps/>
                <w:sz w:val="15"/>
              </w:rPr>
              <w:t>/201</w:t>
            </w:r>
            <w:r w:rsidR="000C411B" w:rsidRPr="000B3FDF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0B3FDF" w:rsidRDefault="00163F61" w:rsidP="008B2CC1"/>
    <w:p w:rsidR="00163F61" w:rsidRPr="000B3FDF" w:rsidRDefault="00163F61" w:rsidP="008B2CC1"/>
    <w:p w:rsidR="00DE764B" w:rsidRPr="000B3FDF" w:rsidRDefault="00DE764B" w:rsidP="008B2CC1"/>
    <w:p w:rsidR="00163F61" w:rsidRPr="000B3FDF" w:rsidRDefault="00163F61" w:rsidP="00CC5016"/>
    <w:p w:rsidR="00163F61" w:rsidRPr="000B3FDF" w:rsidRDefault="00163F61" w:rsidP="00CC5016"/>
    <w:p w:rsidR="00163F61" w:rsidRPr="000B3F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B3FDF">
        <w:rPr>
          <w:b/>
          <w:bCs/>
          <w:sz w:val="28"/>
          <w:szCs w:val="28"/>
        </w:rPr>
        <w:t>Madrid</w:t>
      </w:r>
      <w:r w:rsidR="006D1756" w:rsidRPr="000B3FDF">
        <w:rPr>
          <w:b/>
          <w:bCs/>
          <w:sz w:val="28"/>
          <w:szCs w:val="28"/>
        </w:rPr>
        <w:t xml:space="preserve"> </w:t>
      </w:r>
      <w:r w:rsidRPr="000B3FDF">
        <w:rPr>
          <w:b/>
          <w:bCs/>
          <w:sz w:val="28"/>
          <w:szCs w:val="28"/>
        </w:rPr>
        <w:t>Protocol Concerning the International Registration of Marks</w:t>
      </w:r>
    </w:p>
    <w:p w:rsidR="00163F61" w:rsidRPr="000B3F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0B3F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0B3F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Pr="000B3FDF" w:rsidRDefault="00B32B66" w:rsidP="00610FD9">
      <w:pPr>
        <w:rPr>
          <w:b/>
          <w:bCs/>
          <w:sz w:val="24"/>
          <w:szCs w:val="24"/>
        </w:rPr>
      </w:pPr>
      <w:r w:rsidRPr="000B3FDF">
        <w:rPr>
          <w:b/>
          <w:bCs/>
          <w:sz w:val="24"/>
          <w:szCs w:val="24"/>
        </w:rPr>
        <w:t xml:space="preserve">Amendments to the Mexican Industrial Property Law </w:t>
      </w:r>
    </w:p>
    <w:p w:rsidR="009831AA" w:rsidRPr="000B3FDF" w:rsidRDefault="009831AA" w:rsidP="00610FD9">
      <w:pPr>
        <w:rPr>
          <w:szCs w:val="22"/>
        </w:rPr>
      </w:pPr>
    </w:p>
    <w:p w:rsidR="00610FD9" w:rsidRPr="000B3FDF" w:rsidRDefault="00B32B66" w:rsidP="00DA0607">
      <w:pPr>
        <w:pStyle w:val="ONUME"/>
      </w:pPr>
      <w:r w:rsidRPr="000B3FDF">
        <w:t xml:space="preserve">The Mexican Institute of Industrial Property (IMPI) has provided information to the International Bureau of the World Intellectual Property Organization (WIPO) </w:t>
      </w:r>
      <w:r w:rsidR="000B3FDF" w:rsidRPr="000B3FDF">
        <w:t>regarding</w:t>
      </w:r>
      <w:r w:rsidRPr="000B3FDF">
        <w:t xml:space="preserve"> amendments to the Mexican Industrial Property Law whi</w:t>
      </w:r>
      <w:r w:rsidR="000B3FDF" w:rsidRPr="000B3FDF">
        <w:t>ch entered into force on August </w:t>
      </w:r>
      <w:r w:rsidRPr="000B3FDF">
        <w:t>10,</w:t>
      </w:r>
      <w:r w:rsidR="000B3FDF" w:rsidRPr="000B3FDF">
        <w:t> </w:t>
      </w:r>
      <w:r w:rsidRPr="000B3FDF">
        <w:t>2018, and has requested that this information be made available to users of the</w:t>
      </w:r>
      <w:r w:rsidR="000B3FDF" w:rsidRPr="000B3FDF">
        <w:t> </w:t>
      </w:r>
      <w:r w:rsidRPr="000B3FDF">
        <w:t>Madrid System</w:t>
      </w:r>
      <w:r w:rsidR="009831AA" w:rsidRPr="000B3FDF">
        <w:t>.</w:t>
      </w:r>
      <w:r w:rsidR="001178CA" w:rsidRPr="000B3FDF">
        <w:t xml:space="preserve">  </w:t>
      </w:r>
    </w:p>
    <w:p w:rsidR="00940647" w:rsidRPr="000B3FDF" w:rsidRDefault="00B32B66" w:rsidP="001178CA">
      <w:pPr>
        <w:pStyle w:val="ONUME"/>
      </w:pPr>
      <w:r w:rsidRPr="000B3FDF">
        <w:t xml:space="preserve">The communication </w:t>
      </w:r>
      <w:r w:rsidR="00940647" w:rsidRPr="000B3FDF">
        <w:t>sent by</w:t>
      </w:r>
      <w:r w:rsidRPr="000B3FDF">
        <w:t xml:space="preserve"> IMPI reads as follows</w:t>
      </w:r>
      <w:r w:rsidR="00940647" w:rsidRPr="000B3FDF">
        <w:t>:</w:t>
      </w:r>
      <w:r w:rsidR="001178CA" w:rsidRPr="000B3FDF">
        <w:t xml:space="preserve">  </w:t>
      </w:r>
    </w:p>
    <w:p w:rsidR="00940647" w:rsidRPr="000B3FDF" w:rsidRDefault="00940647" w:rsidP="001178CA">
      <w:pPr>
        <w:ind w:left="567"/>
        <w:rPr>
          <w:b/>
        </w:rPr>
      </w:pPr>
      <w:r w:rsidRPr="000B3FDF">
        <w:t>“</w:t>
      </w:r>
      <w:r w:rsidRPr="000B3FDF">
        <w:rPr>
          <w:b/>
        </w:rPr>
        <w:t>Declaration of actual and effective use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The amendment </w:t>
      </w:r>
      <w:r w:rsidR="001C35C5" w:rsidRPr="000B3FDF">
        <w:t>requires</w:t>
      </w:r>
      <w:r w:rsidRPr="000B3FDF">
        <w:t xml:space="preserve"> right-holders to submit an official form, directly to IMPI, </w:t>
      </w:r>
      <w:r w:rsidR="006F0AEC" w:rsidRPr="000B3FDF">
        <w:t>declaring</w:t>
      </w:r>
      <w:r w:rsidRPr="000B3FDF">
        <w:t xml:space="preserve"> the </w:t>
      </w:r>
      <w:r w:rsidRPr="000B3FDF">
        <w:rPr>
          <w:b/>
        </w:rPr>
        <w:t xml:space="preserve">actual and </w:t>
      </w:r>
      <w:r w:rsidRPr="000B3FDF">
        <w:rPr>
          <w:b/>
          <w:noProof/>
        </w:rPr>
        <w:t>effective</w:t>
      </w:r>
      <w:r w:rsidRPr="000B3FDF">
        <w:rPr>
          <w:b/>
        </w:rPr>
        <w:t xml:space="preserve"> use of their respective trademarks</w:t>
      </w:r>
      <w:r w:rsidRPr="000B3FDF">
        <w:t xml:space="preserve">. 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Such </w:t>
      </w:r>
      <w:r w:rsidRPr="000B3FDF">
        <w:rPr>
          <w:noProof/>
        </w:rPr>
        <w:t>obligation</w:t>
      </w:r>
      <w:r w:rsidRPr="000B3FDF">
        <w:t xml:space="preserve"> will take place </w:t>
      </w:r>
      <w:r w:rsidR="006F0AEC" w:rsidRPr="000B3FDF">
        <w:rPr>
          <w:noProof/>
        </w:rPr>
        <w:t>at</w:t>
      </w:r>
      <w:r w:rsidRPr="000B3FDF">
        <w:t xml:space="preserve"> two different times:</w:t>
      </w:r>
      <w:r w:rsidR="001178CA" w:rsidRPr="000B3FDF">
        <w:t xml:space="preserve"> 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pStyle w:val="ListParagraph"/>
        <w:numPr>
          <w:ilvl w:val="0"/>
          <w:numId w:val="12"/>
        </w:numPr>
        <w:ind w:left="1701" w:hanging="567"/>
      </w:pPr>
      <w:r w:rsidRPr="000B3FDF">
        <w:rPr>
          <w:b/>
        </w:rPr>
        <w:t xml:space="preserve">Upon </w:t>
      </w:r>
      <w:r w:rsidR="00B36188" w:rsidRPr="000B3FDF">
        <w:rPr>
          <w:b/>
        </w:rPr>
        <w:t>submitting a</w:t>
      </w:r>
      <w:r w:rsidRPr="000B3FDF">
        <w:rPr>
          <w:b/>
        </w:rPr>
        <w:t xml:space="preserve"> </w:t>
      </w:r>
      <w:r w:rsidR="00B36188" w:rsidRPr="000B3FDF">
        <w:rPr>
          <w:b/>
        </w:rPr>
        <w:t>request</w:t>
      </w:r>
      <w:r w:rsidRPr="000B3FDF">
        <w:rPr>
          <w:b/>
        </w:rPr>
        <w:t xml:space="preserve"> for the renewal of a trademark</w:t>
      </w:r>
      <w:r w:rsidRPr="000B3FDF">
        <w:t xml:space="preserve">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Upon </w:t>
      </w:r>
      <w:r w:rsidR="006F0AEC" w:rsidRPr="000B3FDF">
        <w:t xml:space="preserve">submitting </w:t>
      </w:r>
      <w:r w:rsidRPr="000B3FDF">
        <w:t xml:space="preserve">a </w:t>
      </w:r>
      <w:r w:rsidRPr="000B3FDF">
        <w:rPr>
          <w:noProof/>
        </w:rPr>
        <w:t>request</w:t>
      </w:r>
      <w:r w:rsidRPr="000B3FDF">
        <w:t xml:space="preserve"> </w:t>
      </w:r>
      <w:r w:rsidRPr="000B3FDF">
        <w:rPr>
          <w:noProof/>
        </w:rPr>
        <w:t>for</w:t>
      </w:r>
      <w:r w:rsidRPr="000B3FDF">
        <w:t xml:space="preserve"> renewal, right</w:t>
      </w:r>
      <w:r w:rsidR="006F0AEC" w:rsidRPr="000B3FDF">
        <w:t>-</w:t>
      </w:r>
      <w:r w:rsidRPr="000B3FDF">
        <w:t xml:space="preserve">holders are due to comply with the filing of a </w:t>
      </w:r>
      <w:r w:rsidR="00D06D7C" w:rsidRPr="000B3FDF">
        <w:t>“</w:t>
      </w:r>
      <w:r w:rsidRPr="000B3FDF">
        <w:t xml:space="preserve">Declaration of </w:t>
      </w:r>
      <w:r w:rsidR="006F0AEC" w:rsidRPr="000B3FDF">
        <w:t>A</w:t>
      </w:r>
      <w:r w:rsidRPr="000B3FDF">
        <w:t xml:space="preserve">ctual and </w:t>
      </w:r>
      <w:r w:rsidR="006F0AEC" w:rsidRPr="000B3FDF">
        <w:t>E</w:t>
      </w:r>
      <w:r w:rsidRPr="000B3FDF">
        <w:t xml:space="preserve">ffective </w:t>
      </w:r>
      <w:r w:rsidR="006F0AEC" w:rsidRPr="000B3FDF">
        <w:t>U</w:t>
      </w:r>
      <w:r w:rsidRPr="000B3FDF">
        <w:t>se</w:t>
      </w:r>
      <w:r w:rsidR="00D06D7C" w:rsidRPr="000B3FDF">
        <w:t>”</w:t>
      </w:r>
      <w:r w:rsidRPr="000B3FDF">
        <w:rPr>
          <w:noProof/>
        </w:rPr>
        <w:t>.</w:t>
      </w:r>
      <w:r w:rsidRPr="000B3FDF">
        <w:t xml:space="preserve"> </w:t>
      </w:r>
    </w:p>
    <w:p w:rsidR="00940647" w:rsidRPr="000B3FDF" w:rsidRDefault="00940647" w:rsidP="001178CA">
      <w:pPr>
        <w:ind w:left="567"/>
        <w:rPr>
          <w:noProof/>
        </w:rPr>
      </w:pPr>
    </w:p>
    <w:p w:rsidR="00940647" w:rsidRPr="000B3FDF" w:rsidRDefault="00940647" w:rsidP="001178CA">
      <w:pPr>
        <w:ind w:left="567"/>
        <w:rPr>
          <w:noProof/>
        </w:rPr>
      </w:pPr>
      <w:r w:rsidRPr="000B3FDF">
        <w:rPr>
          <w:noProof/>
        </w:rPr>
        <w:t xml:space="preserve">With respect to international registrations renewed under Article 7 of the Madrid </w:t>
      </w:r>
      <w:r w:rsidR="00BC35A8" w:rsidRPr="000B3FDF">
        <w:rPr>
          <w:noProof/>
        </w:rPr>
        <w:t>Protocol, the right-</w:t>
      </w:r>
      <w:r w:rsidRPr="000B3FDF">
        <w:rPr>
          <w:noProof/>
        </w:rPr>
        <w:t xml:space="preserve">holder shall declare the actual and effective use of the mark directly to IMPI </w:t>
      </w:r>
      <w:r w:rsidRPr="000B3FDF">
        <w:rPr>
          <w:b/>
          <w:noProof/>
        </w:rPr>
        <w:t>within the three following months after the renewal notice</w:t>
      </w:r>
      <w:r w:rsidRPr="000B3FDF">
        <w:rPr>
          <w:noProof/>
        </w:rPr>
        <w:t xml:space="preserve"> is made by the International Bureau</w:t>
      </w:r>
      <w:r w:rsidR="00E14778" w:rsidRPr="000B3FDF">
        <w:rPr>
          <w:noProof/>
        </w:rPr>
        <w:t xml:space="preserve"> of WIPO</w:t>
      </w:r>
      <w:r w:rsidRPr="000B3FDF">
        <w:rPr>
          <w:noProof/>
        </w:rPr>
        <w:t>.</w:t>
      </w:r>
    </w:p>
    <w:p w:rsidR="00940647" w:rsidRPr="000B3FDF" w:rsidRDefault="00940647" w:rsidP="001178CA">
      <w:pPr>
        <w:ind w:left="567"/>
        <w:rPr>
          <w:noProof/>
        </w:rPr>
      </w:pPr>
    </w:p>
    <w:p w:rsidR="00940647" w:rsidRPr="000B3FDF" w:rsidRDefault="00940647" w:rsidP="001178CA">
      <w:pPr>
        <w:ind w:left="567"/>
      </w:pPr>
      <w:r w:rsidRPr="000B3FDF">
        <w:t xml:space="preserve">This obligation will </w:t>
      </w:r>
      <w:r w:rsidR="00495682" w:rsidRPr="000B3FDF">
        <w:t xml:space="preserve">apply to </w:t>
      </w:r>
      <w:r w:rsidRPr="000B3FDF">
        <w:t xml:space="preserve">all renewal </w:t>
      </w:r>
      <w:r w:rsidR="00145022" w:rsidRPr="000B3FDF">
        <w:t>requests</w:t>
      </w:r>
      <w:r w:rsidRPr="000B3FDF">
        <w:t xml:space="preserve"> filed </w:t>
      </w:r>
      <w:r w:rsidR="00156454" w:rsidRPr="000B3FDF">
        <w:t xml:space="preserve">as </w:t>
      </w:r>
      <w:r w:rsidRPr="000B3FDF">
        <w:t>from August</w:t>
      </w:r>
      <w:r w:rsidR="00E50323" w:rsidRPr="000B3FDF">
        <w:t xml:space="preserve"> 10</w:t>
      </w:r>
      <w:r w:rsidRPr="000B3FDF">
        <w:t>, 2018, including those related to registrations whose territorial protection was extended with respect to Mexico under Article 3</w:t>
      </w:r>
      <w:r w:rsidRPr="000B3FDF">
        <w:rPr>
          <w:i/>
        </w:rPr>
        <w:t>ter</w:t>
      </w:r>
      <w:r w:rsidRPr="000B3FDF">
        <w:t xml:space="preserve"> of the Madrid Protocol.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This obligation will </w:t>
      </w:r>
      <w:r w:rsidRPr="000B3FDF">
        <w:rPr>
          <w:noProof/>
        </w:rPr>
        <w:t>be governed</w:t>
      </w:r>
      <w:r w:rsidRPr="000B3FDF">
        <w:t xml:space="preserve"> by the secondary regulations issued to implement the amendment. </w:t>
      </w:r>
    </w:p>
    <w:p w:rsidR="00940647" w:rsidRPr="000B3FDF" w:rsidRDefault="00940647" w:rsidP="001178CA">
      <w:pPr>
        <w:pStyle w:val="ListParagraph"/>
        <w:ind w:left="567"/>
      </w:pPr>
    </w:p>
    <w:p w:rsidR="00940647" w:rsidRPr="000B3FDF" w:rsidRDefault="00940647" w:rsidP="001178CA">
      <w:pPr>
        <w:ind w:left="567"/>
        <w:rPr>
          <w:u w:val="single"/>
        </w:rPr>
      </w:pPr>
      <w:r w:rsidRPr="000B3FDF">
        <w:t xml:space="preserve">The effect of </w:t>
      </w:r>
      <w:r w:rsidR="00E14778" w:rsidRPr="000B3FDF">
        <w:t>not</w:t>
      </w:r>
      <w:r w:rsidRPr="000B3FDF">
        <w:t xml:space="preserve"> complying with this requirement is that the protection of the trademark will be considered as lapsed by IMPI on</w:t>
      </w:r>
      <w:r w:rsidR="00E50323" w:rsidRPr="000B3FDF">
        <w:t xml:space="preserve"> an</w:t>
      </w:r>
      <w:r w:rsidRPr="000B3FDF">
        <w:t xml:space="preserve"> </w:t>
      </w:r>
      <w:r w:rsidRPr="000B3FDF">
        <w:rPr>
          <w:i/>
          <w:noProof/>
        </w:rPr>
        <w:t>ex</w:t>
      </w:r>
      <w:r w:rsidRPr="000B3FDF">
        <w:rPr>
          <w:i/>
        </w:rPr>
        <w:t xml:space="preserve"> officio</w:t>
      </w:r>
      <w:r w:rsidRPr="000B3FDF">
        <w:t xml:space="preserve"> basis.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  <w:rPr>
          <w:b/>
          <w:noProof/>
        </w:rPr>
      </w:pPr>
      <w:r w:rsidRPr="000B3FDF">
        <w:rPr>
          <w:b/>
          <w:noProof/>
        </w:rPr>
        <w:br w:type="page"/>
      </w:r>
    </w:p>
    <w:p w:rsidR="00940647" w:rsidRPr="000B3FDF" w:rsidRDefault="00940647" w:rsidP="001178CA">
      <w:pPr>
        <w:pStyle w:val="ListParagraph"/>
        <w:numPr>
          <w:ilvl w:val="0"/>
          <w:numId w:val="12"/>
        </w:numPr>
        <w:ind w:left="1701" w:hanging="567"/>
        <w:rPr>
          <w:b/>
          <w:u w:val="single"/>
        </w:rPr>
      </w:pPr>
      <w:r w:rsidRPr="000B3FDF">
        <w:rPr>
          <w:b/>
          <w:noProof/>
        </w:rPr>
        <w:lastRenderedPageBreak/>
        <w:t>Within</w:t>
      </w:r>
      <w:r w:rsidRPr="000B3FDF">
        <w:rPr>
          <w:b/>
        </w:rPr>
        <w:t xml:space="preserve"> the three months </w:t>
      </w:r>
      <w:r w:rsidR="001621E1" w:rsidRPr="000B3FDF">
        <w:rPr>
          <w:b/>
          <w:noProof/>
        </w:rPr>
        <w:t>following</w:t>
      </w:r>
      <w:r w:rsidR="001621E1" w:rsidRPr="000B3FDF">
        <w:rPr>
          <w:b/>
        </w:rPr>
        <w:t xml:space="preserve"> </w:t>
      </w:r>
      <w:r w:rsidRPr="000B3FDF">
        <w:rPr>
          <w:b/>
        </w:rPr>
        <w:t xml:space="preserve">from the date on which the registration </w:t>
      </w:r>
      <w:r w:rsidRPr="000B3FDF">
        <w:rPr>
          <w:b/>
          <w:noProof/>
        </w:rPr>
        <w:t>reaches</w:t>
      </w:r>
      <w:r w:rsidRPr="000B3FDF">
        <w:rPr>
          <w:b/>
        </w:rPr>
        <w:t xml:space="preserve"> three years </w:t>
      </w:r>
      <w:r w:rsidR="003A019E" w:rsidRPr="000B3FDF">
        <w:rPr>
          <w:b/>
        </w:rPr>
        <w:t>from</w:t>
      </w:r>
      <w:r w:rsidRPr="000B3FDF">
        <w:rPr>
          <w:b/>
        </w:rPr>
        <w:t xml:space="preserve"> the granting date.</w:t>
      </w:r>
      <w:r w:rsidRPr="000B3FDF">
        <w:t xml:space="preserve">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This obligation will </w:t>
      </w:r>
      <w:r w:rsidR="00B5748E" w:rsidRPr="000B3FDF">
        <w:t>apply to</w:t>
      </w:r>
      <w:r w:rsidRPr="000B3FDF">
        <w:t xml:space="preserve"> all </w:t>
      </w:r>
      <w:r w:rsidRPr="000B3FDF">
        <w:rPr>
          <w:noProof/>
        </w:rPr>
        <w:t>trademarks granted</w:t>
      </w:r>
      <w:r w:rsidRPr="000B3FDF">
        <w:t xml:space="preserve"> </w:t>
      </w:r>
      <w:r w:rsidR="006714C8" w:rsidRPr="000B3FDF">
        <w:t xml:space="preserve">as </w:t>
      </w:r>
      <w:r w:rsidRPr="000B3FDF">
        <w:t xml:space="preserve">from </w:t>
      </w:r>
      <w:r w:rsidRPr="000B3FDF">
        <w:rPr>
          <w:noProof/>
        </w:rPr>
        <w:t>August</w:t>
      </w:r>
      <w:r w:rsidR="009A3EF9" w:rsidRPr="000B3FDF">
        <w:rPr>
          <w:noProof/>
        </w:rPr>
        <w:t xml:space="preserve"> 10</w:t>
      </w:r>
      <w:r w:rsidRPr="000B3FDF">
        <w:rPr>
          <w:noProof/>
        </w:rPr>
        <w:t>,</w:t>
      </w:r>
      <w:r w:rsidRPr="000B3FDF">
        <w:t xml:space="preserve"> 2018, even where their respective application </w:t>
      </w:r>
      <w:r w:rsidR="009A3EF9" w:rsidRPr="000B3FDF">
        <w:rPr>
          <w:noProof/>
        </w:rPr>
        <w:t>was</w:t>
      </w:r>
      <w:r w:rsidRPr="000B3FDF">
        <w:rPr>
          <w:noProof/>
        </w:rPr>
        <w:t xml:space="preserve"> submitted</w:t>
      </w:r>
      <w:r w:rsidRPr="000B3FDF">
        <w:t xml:space="preserve"> before such date. </w:t>
      </w:r>
      <w:r w:rsidR="001178CA" w:rsidRPr="000B3FDF">
        <w:t xml:space="preserve"> </w:t>
      </w:r>
      <w:r w:rsidRPr="000B3FDF">
        <w:t xml:space="preserve">This obligation will </w:t>
      </w:r>
      <w:r w:rsidR="00177A95" w:rsidRPr="000B3FDF">
        <w:t xml:space="preserve">also apply to </w:t>
      </w:r>
      <w:r w:rsidRPr="000B3FDF">
        <w:t>trademarks related to international registration</w:t>
      </w:r>
      <w:r w:rsidR="00177A95" w:rsidRPr="000B3FDF">
        <w:t>s</w:t>
      </w:r>
      <w:r w:rsidRPr="000B3FDF">
        <w:t>.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>In cases where the protection under an international registration is territorially extended to Mexico under Article</w:t>
      </w:r>
      <w:r w:rsidR="001178CA" w:rsidRPr="000B3FDF">
        <w:t> </w:t>
      </w:r>
      <w:r w:rsidRPr="000B3FDF">
        <w:t>3</w:t>
      </w:r>
      <w:r w:rsidRPr="000B3FDF">
        <w:rPr>
          <w:i/>
        </w:rPr>
        <w:t>ter</w:t>
      </w:r>
      <w:r w:rsidRPr="000B3FDF">
        <w:t xml:space="preserve"> of</w:t>
      </w:r>
      <w:r w:rsidR="00AE5CBB" w:rsidRPr="000B3FDF">
        <w:t xml:space="preserve"> the Madrid Protocol, the right-</w:t>
      </w:r>
      <w:r w:rsidRPr="000B3FDF">
        <w:t xml:space="preserve">holder must </w:t>
      </w:r>
      <w:r w:rsidR="00982844" w:rsidRPr="000B3FDF">
        <w:t xml:space="preserve">declare the </w:t>
      </w:r>
      <w:r w:rsidRPr="000B3FDF">
        <w:t xml:space="preserve">actual and </w:t>
      </w:r>
      <w:r w:rsidR="00982844" w:rsidRPr="000B3FDF">
        <w:t>effective use</w:t>
      </w:r>
      <w:r w:rsidR="001178CA" w:rsidRPr="000B3FDF">
        <w:t xml:space="preserve"> within the three</w:t>
      </w:r>
      <w:r w:rsidRPr="000B3FDF">
        <w:t xml:space="preserve"> months </w:t>
      </w:r>
      <w:r w:rsidR="00982844" w:rsidRPr="000B3FDF">
        <w:t xml:space="preserve">following </w:t>
      </w:r>
      <w:r w:rsidRPr="000B3FDF">
        <w:t xml:space="preserve">after three years from the date </w:t>
      </w:r>
      <w:r w:rsidR="00982844" w:rsidRPr="000B3FDF">
        <w:t>on which</w:t>
      </w:r>
      <w:r w:rsidRPr="000B3FDF">
        <w:t xml:space="preserve"> the national registration was granted.  </w:t>
      </w:r>
    </w:p>
    <w:p w:rsidR="00940647" w:rsidRPr="000B3FDF" w:rsidRDefault="00940647" w:rsidP="001178CA">
      <w:pPr>
        <w:pStyle w:val="ListParagraph"/>
        <w:ind w:left="567"/>
        <w:rPr>
          <w:b/>
        </w:rPr>
      </w:pPr>
    </w:p>
    <w:p w:rsidR="00940647" w:rsidRPr="000B3FDF" w:rsidRDefault="00940647" w:rsidP="001178CA">
      <w:pPr>
        <w:ind w:left="567"/>
        <w:rPr>
          <w:u w:val="single"/>
        </w:rPr>
      </w:pPr>
      <w:r w:rsidRPr="000B3FDF">
        <w:t xml:space="preserve">The effect of </w:t>
      </w:r>
      <w:r w:rsidR="00F72B56" w:rsidRPr="000B3FDF">
        <w:t>not</w:t>
      </w:r>
      <w:r w:rsidRPr="000B3FDF">
        <w:t xml:space="preserve"> complying with this requirement is that the protection of the trademark will be considered as lapsed by IMPI on</w:t>
      </w:r>
      <w:r w:rsidR="00F14AFC" w:rsidRPr="000B3FDF">
        <w:t xml:space="preserve"> an</w:t>
      </w:r>
      <w:r w:rsidRPr="000B3FDF">
        <w:t xml:space="preserve"> </w:t>
      </w:r>
      <w:r w:rsidRPr="000B3FDF">
        <w:rPr>
          <w:i/>
          <w:noProof/>
        </w:rPr>
        <w:t>ex</w:t>
      </w:r>
      <w:r w:rsidRPr="000B3FDF">
        <w:rPr>
          <w:i/>
        </w:rPr>
        <w:t xml:space="preserve"> officio</w:t>
      </w:r>
      <w:r w:rsidRPr="000B3FDF">
        <w:t xml:space="preserve"> basis.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Furthermore, in the “Declaration of </w:t>
      </w:r>
      <w:r w:rsidR="00D70C96" w:rsidRPr="000B3FDF">
        <w:t>A</w:t>
      </w:r>
      <w:r w:rsidRPr="000B3FDF">
        <w:t xml:space="preserve">ctual and </w:t>
      </w:r>
      <w:r w:rsidR="00D70C96" w:rsidRPr="000B3FDF">
        <w:rPr>
          <w:noProof/>
        </w:rPr>
        <w:t>E</w:t>
      </w:r>
      <w:r w:rsidRPr="000B3FDF">
        <w:rPr>
          <w:noProof/>
        </w:rPr>
        <w:t>ffective</w:t>
      </w:r>
      <w:r w:rsidRPr="000B3FDF">
        <w:t xml:space="preserve"> </w:t>
      </w:r>
      <w:r w:rsidR="00D70C96" w:rsidRPr="000B3FDF">
        <w:t>U</w:t>
      </w:r>
      <w:r w:rsidRPr="000B3FDF">
        <w:t>se”, the right</w:t>
      </w:r>
      <w:r w:rsidR="00D70C96" w:rsidRPr="000B3FDF">
        <w:t>-</w:t>
      </w:r>
      <w:r w:rsidRPr="000B3FDF">
        <w:t xml:space="preserve">holder must indicate the goods or services </w:t>
      </w:r>
      <w:r w:rsidR="00D8192B" w:rsidRPr="000B3FDF">
        <w:t>for</w:t>
      </w:r>
      <w:r w:rsidRPr="000B3FDF">
        <w:t xml:space="preserve"> which </w:t>
      </w:r>
      <w:r w:rsidRPr="000B3FDF">
        <w:rPr>
          <w:noProof/>
        </w:rPr>
        <w:t>use of the trademark</w:t>
      </w:r>
      <w:r w:rsidR="00D8192B" w:rsidRPr="000B3FDF">
        <w:rPr>
          <w:noProof/>
        </w:rPr>
        <w:t xml:space="preserve"> is being declared</w:t>
      </w:r>
      <w:r w:rsidRPr="000B3FDF">
        <w:rPr>
          <w:noProof/>
        </w:rPr>
        <w:t xml:space="preserve">. </w:t>
      </w:r>
      <w:r w:rsidR="001178CA" w:rsidRPr="000B3FDF">
        <w:rPr>
          <w:noProof/>
        </w:rPr>
        <w:t xml:space="preserve"> </w:t>
      </w:r>
      <w:r w:rsidRPr="000B3FDF">
        <w:rPr>
          <w:noProof/>
        </w:rPr>
        <w:t>The</w:t>
      </w:r>
      <w:r w:rsidR="001178CA" w:rsidRPr="000B3FDF">
        <w:rPr>
          <w:noProof/>
        </w:rPr>
        <w:t> </w:t>
      </w:r>
      <w:r w:rsidRPr="000B3FDF">
        <w:rPr>
          <w:noProof/>
        </w:rPr>
        <w:t xml:space="preserve">scope of protection of the trademark registration will continue </w:t>
      </w:r>
      <w:r w:rsidR="00041169" w:rsidRPr="000B3FDF">
        <w:rPr>
          <w:noProof/>
        </w:rPr>
        <w:t xml:space="preserve">for </w:t>
      </w:r>
      <w:r w:rsidRPr="000B3FDF">
        <w:rPr>
          <w:noProof/>
        </w:rPr>
        <w:t xml:space="preserve">the goods or services </w:t>
      </w:r>
      <w:r w:rsidR="00D8192B" w:rsidRPr="000B3FDF">
        <w:rPr>
          <w:noProof/>
        </w:rPr>
        <w:t>for</w:t>
      </w:r>
      <w:r w:rsidRPr="000B3FDF">
        <w:rPr>
          <w:noProof/>
        </w:rPr>
        <w:t xml:space="preserve"> which the actual and effective use has been declared.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Additionally, in both cases of the filing of the “Declaration of </w:t>
      </w:r>
      <w:r w:rsidR="00032DC2" w:rsidRPr="000B3FDF">
        <w:t xml:space="preserve">Actual and </w:t>
      </w:r>
      <w:r w:rsidR="00032DC2" w:rsidRPr="000B3FDF">
        <w:rPr>
          <w:noProof/>
        </w:rPr>
        <w:t>Effective</w:t>
      </w:r>
      <w:r w:rsidR="00032DC2" w:rsidRPr="000B3FDF">
        <w:t xml:space="preserve"> </w:t>
      </w:r>
      <w:r w:rsidRPr="000B3FDF">
        <w:t>Use”, the right</w:t>
      </w:r>
      <w:r w:rsidR="00032DC2" w:rsidRPr="000B3FDF">
        <w:t>-</w:t>
      </w:r>
      <w:r w:rsidRPr="000B3FDF">
        <w:t xml:space="preserve">holder will only be required to submit the payment of the corresponding fee, but there is no obligation regarding evidence to prove the trademark use. </w:t>
      </w:r>
      <w:r w:rsidR="001178CA" w:rsidRPr="000B3FDF">
        <w:t xml:space="preserve"> </w:t>
      </w:r>
    </w:p>
    <w:p w:rsidR="00940647" w:rsidRPr="000B3FDF" w:rsidRDefault="00940647" w:rsidP="001178CA">
      <w:pPr>
        <w:pStyle w:val="Default"/>
        <w:ind w:left="567"/>
        <w:rPr>
          <w:lang w:val="en-US"/>
        </w:rPr>
      </w:pPr>
    </w:p>
    <w:p w:rsidR="00940647" w:rsidRPr="000B3FDF" w:rsidRDefault="00940647" w:rsidP="001178CA">
      <w:pPr>
        <w:ind w:left="567"/>
      </w:pPr>
      <w:r w:rsidRPr="000B3FDF">
        <w:t xml:space="preserve">The declaration of actual and effective use of the mark must be submitted by the holder’s authorized representative with a local address or by a legal representative in Mexico. </w:t>
      </w:r>
      <w:r w:rsidR="001178CA" w:rsidRPr="000B3FDF">
        <w:t xml:space="preserve"> </w:t>
      </w:r>
      <w:r w:rsidRPr="000B3FDF">
        <w:t>A</w:t>
      </w:r>
      <w:r w:rsidR="001178CA" w:rsidRPr="000B3FDF">
        <w:t> </w:t>
      </w:r>
      <w:r w:rsidRPr="000B3FDF">
        <w:t xml:space="preserve">local address is required for purposes of notification. </w:t>
      </w:r>
    </w:p>
    <w:p w:rsidR="00940647" w:rsidRPr="000B3FDF" w:rsidRDefault="00940647" w:rsidP="001178CA">
      <w:pPr>
        <w:ind w:left="567" w:hanging="708"/>
      </w:pPr>
    </w:p>
    <w:p w:rsidR="00940647" w:rsidRPr="000B3FDF" w:rsidRDefault="00940647" w:rsidP="001178CA">
      <w:pPr>
        <w:ind w:left="567"/>
        <w:rPr>
          <w:b/>
        </w:rPr>
      </w:pPr>
      <w:r w:rsidRPr="000B3FDF">
        <w:rPr>
          <w:b/>
        </w:rPr>
        <w:t xml:space="preserve">New </w:t>
      </w:r>
      <w:r w:rsidR="001178CA" w:rsidRPr="000B3FDF">
        <w:rPr>
          <w:b/>
        </w:rPr>
        <w:t>t</w:t>
      </w:r>
      <w:r w:rsidR="00DA3B60" w:rsidRPr="000B3FDF">
        <w:rPr>
          <w:b/>
        </w:rPr>
        <w:t>ypes</w:t>
      </w:r>
      <w:r w:rsidRPr="000B3FDF">
        <w:rPr>
          <w:b/>
        </w:rPr>
        <w:t xml:space="preserve"> of </w:t>
      </w:r>
      <w:r w:rsidR="001178CA" w:rsidRPr="000B3FDF">
        <w:rPr>
          <w:b/>
        </w:rPr>
        <w:t>t</w:t>
      </w:r>
      <w:r w:rsidRPr="000B3FDF">
        <w:rPr>
          <w:b/>
        </w:rPr>
        <w:t>rademarks</w:t>
      </w:r>
    </w:p>
    <w:p w:rsidR="00940647" w:rsidRPr="000B3FDF" w:rsidRDefault="00940647" w:rsidP="001178CA">
      <w:pPr>
        <w:ind w:left="567"/>
        <w:rPr>
          <w:b/>
        </w:rPr>
      </w:pPr>
    </w:p>
    <w:p w:rsidR="00940647" w:rsidRPr="000B3FDF" w:rsidRDefault="00940647" w:rsidP="001178CA">
      <w:pPr>
        <w:ind w:left="567"/>
        <w:rPr>
          <w:noProof/>
        </w:rPr>
      </w:pPr>
      <w:r w:rsidRPr="000B3FDF">
        <w:t xml:space="preserve">According to the amendments, the </w:t>
      </w:r>
      <w:r w:rsidR="00EF438E" w:rsidRPr="000B3FDF">
        <w:t xml:space="preserve">Mexican </w:t>
      </w:r>
      <w:r w:rsidRPr="000B3FDF">
        <w:t xml:space="preserve">trademark system will be available for sounds, scents and holographic signs. </w:t>
      </w:r>
      <w:r w:rsidRPr="000B3FDF">
        <w:rPr>
          <w:noProof/>
        </w:rPr>
        <w:t xml:space="preserve">The granting of </w:t>
      </w:r>
      <w:r w:rsidR="00EF438E" w:rsidRPr="000B3FDF">
        <w:rPr>
          <w:noProof/>
        </w:rPr>
        <w:t>protection to these</w:t>
      </w:r>
      <w:r w:rsidRPr="000B3FDF">
        <w:rPr>
          <w:noProof/>
        </w:rPr>
        <w:t xml:space="preserve"> new </w:t>
      </w:r>
      <w:r w:rsidR="00EF438E" w:rsidRPr="000B3FDF">
        <w:rPr>
          <w:noProof/>
        </w:rPr>
        <w:t>types</w:t>
      </w:r>
      <w:r w:rsidRPr="000B3FDF">
        <w:rPr>
          <w:noProof/>
        </w:rPr>
        <w:t xml:space="preserve"> of trademarks will be subject to substantive examination by IMPI. </w:t>
      </w:r>
    </w:p>
    <w:p w:rsidR="00940647" w:rsidRPr="000B3FDF" w:rsidRDefault="00940647" w:rsidP="001178CA">
      <w:pPr>
        <w:ind w:left="567"/>
        <w:rPr>
          <w:b/>
        </w:rPr>
      </w:pPr>
    </w:p>
    <w:p w:rsidR="00940647" w:rsidRPr="000B3FDF" w:rsidRDefault="00940647" w:rsidP="001178CA">
      <w:pPr>
        <w:ind w:left="567"/>
      </w:pPr>
      <w:r w:rsidRPr="000B3FDF">
        <w:t xml:space="preserve">With the amendment, </w:t>
      </w:r>
      <w:r w:rsidR="00EF438E" w:rsidRPr="000B3FDF">
        <w:rPr>
          <w:noProof/>
        </w:rPr>
        <w:t>the following signs</w:t>
      </w:r>
      <w:r w:rsidRPr="000B3FDF">
        <w:rPr>
          <w:noProof/>
        </w:rPr>
        <w:t xml:space="preserve"> can also constitute a trademark:</w:t>
      </w:r>
      <w:r w:rsidRPr="000B3FDF">
        <w:t xml:space="preserve"> </w:t>
      </w:r>
      <w:r w:rsidR="00D06D7C" w:rsidRPr="000B3FDF">
        <w:t xml:space="preserve"> </w:t>
      </w:r>
      <w:r w:rsidRPr="000B3FDF">
        <w:t>the plurality of operative and image elements including</w:t>
      </w:r>
      <w:r w:rsidR="00DA3B60" w:rsidRPr="000B3FDF">
        <w:t>,</w:t>
      </w:r>
      <w:r w:rsidRPr="000B3FDF">
        <w:t xml:space="preserve"> among others, the size, design, color, layout of the shape, label, packaging, decoration or any other that</w:t>
      </w:r>
      <w:r w:rsidR="00EF438E" w:rsidRPr="000B3FDF">
        <w:t>,</w:t>
      </w:r>
      <w:r w:rsidRPr="000B3FDF">
        <w:t xml:space="preserve"> when combined, distinguish goods or services in the market. In the international </w:t>
      </w:r>
      <w:r w:rsidRPr="000B3FDF">
        <w:rPr>
          <w:noProof/>
        </w:rPr>
        <w:t>context,</w:t>
      </w:r>
      <w:r w:rsidRPr="000B3FDF">
        <w:t xml:space="preserve"> this </w:t>
      </w:r>
      <w:r w:rsidR="00EF438E" w:rsidRPr="000B3FDF">
        <w:t>type of mark</w:t>
      </w:r>
      <w:r w:rsidRPr="000B3FDF">
        <w:t xml:space="preserve"> </w:t>
      </w:r>
      <w:r w:rsidRPr="000B3FDF">
        <w:rPr>
          <w:noProof/>
        </w:rPr>
        <w:t>is known</w:t>
      </w:r>
      <w:r w:rsidRPr="000B3FDF">
        <w:t xml:space="preserve"> as</w:t>
      </w:r>
      <w:r w:rsidR="00D06D7C" w:rsidRPr="000B3FDF">
        <w:t> </w:t>
      </w:r>
      <w:r w:rsidRPr="000B3FDF">
        <w:rPr>
          <w:b/>
        </w:rPr>
        <w:t>trade dress.</w:t>
      </w:r>
    </w:p>
    <w:p w:rsidR="00940647" w:rsidRPr="000B3FDF" w:rsidRDefault="00940647" w:rsidP="001178CA">
      <w:pPr>
        <w:pStyle w:val="ListParagraph"/>
        <w:ind w:left="567"/>
      </w:pPr>
    </w:p>
    <w:p w:rsidR="00940647" w:rsidRPr="000B3FDF" w:rsidRDefault="00930B3E" w:rsidP="001178CA">
      <w:pPr>
        <w:ind w:left="567"/>
      </w:pPr>
      <w:r w:rsidRPr="000B3FDF">
        <w:rPr>
          <w:noProof/>
        </w:rPr>
        <w:t>To</w:t>
      </w:r>
      <w:r w:rsidR="00940647" w:rsidRPr="000B3FDF">
        <w:t xml:space="preserve"> the extent that the reproduction of a trademark is possible within the </w:t>
      </w:r>
      <w:r w:rsidRPr="000B3FDF">
        <w:t>i</w:t>
      </w:r>
      <w:r w:rsidR="00940647" w:rsidRPr="000B3FDF">
        <w:t xml:space="preserve">tem 7 of the official form, the applicant may resort to the Madrid System to apply for sound trademarks in Mexico. </w:t>
      </w:r>
    </w:p>
    <w:p w:rsidR="00940647" w:rsidRPr="000B3FDF" w:rsidRDefault="00940647" w:rsidP="001178CA">
      <w:pPr>
        <w:ind w:left="567"/>
        <w:rPr>
          <w:b/>
        </w:rPr>
      </w:pPr>
    </w:p>
    <w:p w:rsidR="00940647" w:rsidRPr="000B3FDF" w:rsidRDefault="00940647" w:rsidP="001178CA">
      <w:pPr>
        <w:ind w:left="567"/>
        <w:rPr>
          <w:b/>
        </w:rPr>
      </w:pPr>
      <w:r w:rsidRPr="000B3FDF">
        <w:rPr>
          <w:b/>
        </w:rPr>
        <w:t xml:space="preserve">Collective and </w:t>
      </w:r>
      <w:r w:rsidR="001178CA" w:rsidRPr="000B3FDF">
        <w:rPr>
          <w:b/>
        </w:rPr>
        <w:t>c</w:t>
      </w:r>
      <w:r w:rsidRPr="000B3FDF">
        <w:rPr>
          <w:b/>
        </w:rPr>
        <w:t xml:space="preserve">ertification </w:t>
      </w:r>
      <w:r w:rsidR="001178CA" w:rsidRPr="000B3FDF">
        <w:rPr>
          <w:b/>
        </w:rPr>
        <w:t>t</w:t>
      </w:r>
      <w:r w:rsidRPr="000B3FDF">
        <w:rPr>
          <w:b/>
        </w:rPr>
        <w:t>rademarks</w:t>
      </w:r>
    </w:p>
    <w:p w:rsidR="00940647" w:rsidRPr="000B3FDF" w:rsidRDefault="00940647" w:rsidP="001178CA">
      <w:pPr>
        <w:pStyle w:val="ListParagraph"/>
        <w:ind w:left="567"/>
      </w:pPr>
    </w:p>
    <w:p w:rsidR="00940647" w:rsidRPr="000B3FDF" w:rsidRDefault="00940647" w:rsidP="001178CA">
      <w:pPr>
        <w:ind w:left="567"/>
      </w:pPr>
      <w:r w:rsidRPr="000B3FDF">
        <w:t>The regulation</w:t>
      </w:r>
      <w:r w:rsidR="00DA3B60" w:rsidRPr="000B3FDF">
        <w:t>s for</w:t>
      </w:r>
      <w:r w:rsidRPr="000B3FDF">
        <w:t xml:space="preserve"> Collective Marks </w:t>
      </w:r>
      <w:r w:rsidR="00DA3B60" w:rsidRPr="000B3FDF">
        <w:t>are</w:t>
      </w:r>
      <w:r w:rsidRPr="000B3FDF">
        <w:t xml:space="preserve"> strengthened</w:t>
      </w:r>
      <w:r w:rsidR="00DA3B60" w:rsidRPr="000B3FDF">
        <w:t xml:space="preserve"> by</w:t>
      </w:r>
      <w:r w:rsidRPr="000B3FDF">
        <w:t xml:space="preserve"> regulating the specific requirements that shall be foreseen by the rules for their use.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>The figure of the Certification Mark is incorporated into the IP regime to distinguish goods and services whose qualities or other characteristics have been certified by its right</w:t>
      </w:r>
      <w:r w:rsidR="00D06D7C" w:rsidRPr="000B3FDF">
        <w:noBreakHyphen/>
      </w:r>
      <w:r w:rsidRPr="000B3FDF">
        <w:t>holder.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rPr>
          <w:noProof/>
        </w:rPr>
        <w:t>The certification mark can be conformed by the name of a geographic area</w:t>
      </w:r>
      <w:r w:rsidRPr="000B3FDF">
        <w:t xml:space="preserve"> or other indication used to </w:t>
      </w:r>
      <w:r w:rsidRPr="000B3FDF">
        <w:rPr>
          <w:noProof/>
        </w:rPr>
        <w:t>refer</w:t>
      </w:r>
      <w:r w:rsidRPr="000B3FDF">
        <w:t xml:space="preserve"> to such zone, which identifies a good as originating from that area, when a given quality, reputation or an</w:t>
      </w:r>
      <w:r w:rsidRPr="000B3FDF">
        <w:rPr>
          <w:noProof/>
        </w:rPr>
        <w:t>other characteristic</w:t>
      </w:r>
      <w:r w:rsidRPr="000B3FDF">
        <w:t xml:space="preserve"> of the good is </w:t>
      </w:r>
      <w:r w:rsidRPr="000B3FDF">
        <w:rPr>
          <w:noProof/>
        </w:rPr>
        <w:t>mainly</w:t>
      </w:r>
      <w:r w:rsidRPr="000B3FDF">
        <w:t xml:space="preserve"> attributable to its geographical origin.</w:t>
      </w:r>
    </w:p>
    <w:p w:rsidR="00D06D7C" w:rsidRPr="000B3FDF" w:rsidRDefault="00D06D7C" w:rsidP="001178CA">
      <w:pPr>
        <w:ind w:left="567"/>
      </w:pPr>
      <w:r w:rsidRPr="000B3FDF">
        <w:br w:type="page"/>
      </w:r>
    </w:p>
    <w:p w:rsidR="00940647" w:rsidRPr="000B3FDF" w:rsidRDefault="00940647" w:rsidP="001178CA">
      <w:pPr>
        <w:ind w:left="567"/>
      </w:pPr>
      <w:r w:rsidRPr="000B3FDF">
        <w:lastRenderedPageBreak/>
        <w:t xml:space="preserve">The application for a </w:t>
      </w:r>
      <w:r w:rsidR="00041169" w:rsidRPr="000B3FDF">
        <w:t>c</w:t>
      </w:r>
      <w:r w:rsidRPr="000B3FDF">
        <w:t xml:space="preserve">ollective or </w:t>
      </w:r>
      <w:r w:rsidR="00041169" w:rsidRPr="000B3FDF">
        <w:t>c</w:t>
      </w:r>
      <w:r w:rsidRPr="000B3FDF">
        <w:t xml:space="preserve">ertification </w:t>
      </w:r>
      <w:r w:rsidR="00041169" w:rsidRPr="000B3FDF">
        <w:t>mark</w:t>
      </w:r>
      <w:r w:rsidRPr="000B3FDF">
        <w:t xml:space="preserve"> shall </w:t>
      </w:r>
      <w:r w:rsidRPr="000B3FDF">
        <w:rPr>
          <w:noProof/>
        </w:rPr>
        <w:t>be accompanied</w:t>
      </w:r>
      <w:r w:rsidRPr="000B3FDF">
        <w:t xml:space="preserve"> </w:t>
      </w:r>
      <w:r w:rsidR="00120443" w:rsidRPr="000B3FDF">
        <w:rPr>
          <w:noProof/>
        </w:rPr>
        <w:t>by</w:t>
      </w:r>
      <w:r w:rsidRPr="000B3FDF">
        <w:rPr>
          <w:noProof/>
        </w:rPr>
        <w:t xml:space="preserve"> </w:t>
      </w:r>
      <w:r w:rsidRPr="000B3FDF">
        <w:t>the “</w:t>
      </w:r>
      <w:r w:rsidR="00EF3461" w:rsidRPr="000B3FDF">
        <w:t>R</w:t>
      </w:r>
      <w:r w:rsidRPr="000B3FDF">
        <w:t xml:space="preserve">ules of </w:t>
      </w:r>
      <w:r w:rsidR="00EF3461" w:rsidRPr="000B3FDF">
        <w:rPr>
          <w:noProof/>
        </w:rPr>
        <w:t>U</w:t>
      </w:r>
      <w:r w:rsidRPr="000B3FDF">
        <w:rPr>
          <w:noProof/>
        </w:rPr>
        <w:t>se</w:t>
      </w:r>
      <w:r w:rsidRPr="000B3FDF">
        <w:t xml:space="preserve">” in which the information foreseen in Article 98 BIS-2 of </w:t>
      </w:r>
      <w:r w:rsidRPr="000B3FDF">
        <w:rPr>
          <w:noProof/>
        </w:rPr>
        <w:t>the Industrial Property Law</w:t>
      </w:r>
      <w:r w:rsidR="00EF3461" w:rsidRPr="000B3FDF">
        <w:rPr>
          <w:noProof/>
        </w:rPr>
        <w:t xml:space="preserve"> must be included</w:t>
      </w:r>
      <w:r w:rsidRPr="000B3FDF">
        <w:rPr>
          <w:noProof/>
        </w:rPr>
        <w:t>.</w:t>
      </w:r>
      <w:r w:rsidRPr="000B3FDF">
        <w:t xml:space="preserve"> 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>The “</w:t>
      </w:r>
      <w:r w:rsidR="007A13BF" w:rsidRPr="000B3FDF">
        <w:t>R</w:t>
      </w:r>
      <w:r w:rsidRPr="000B3FDF">
        <w:t xml:space="preserve">ules of </w:t>
      </w:r>
      <w:r w:rsidR="007A13BF" w:rsidRPr="000B3FDF">
        <w:t>U</w:t>
      </w:r>
      <w:r w:rsidRPr="000B3FDF">
        <w:t xml:space="preserve">se” shall be directly submitted by the applicant to IMPI where (i) Mexico is a Designated Contracting Party or (ii) territorial extension of protection is requested for a certification or collective trademark </w:t>
      </w:r>
      <w:r w:rsidR="007A13BF" w:rsidRPr="000B3FDF">
        <w:t>under</w:t>
      </w:r>
      <w:r w:rsidRPr="000B3FDF">
        <w:t xml:space="preserve"> Article 3</w:t>
      </w:r>
      <w:r w:rsidR="00DA3B60" w:rsidRPr="000B3FDF">
        <w:rPr>
          <w:i/>
        </w:rPr>
        <w:t>ter</w:t>
      </w:r>
      <w:r w:rsidRPr="000B3FDF">
        <w:t xml:space="preserve">(2) of the Madrid Protocol.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Any legal entity may apply for a certification trademark, with the limitation that such is </w:t>
      </w:r>
      <w:r w:rsidR="007A13BF" w:rsidRPr="000B3FDF">
        <w:t>prevented</w:t>
      </w:r>
      <w:r w:rsidRPr="000B3FDF">
        <w:t xml:space="preserve"> </w:t>
      </w:r>
      <w:r w:rsidR="007A13BF" w:rsidRPr="000B3FDF">
        <w:t>from</w:t>
      </w:r>
      <w:r w:rsidRPr="000B3FDF">
        <w:t xml:space="preserve"> develop</w:t>
      </w:r>
      <w:r w:rsidR="007A13BF" w:rsidRPr="000B3FDF">
        <w:t>ing</w:t>
      </w:r>
      <w:r w:rsidRPr="000B3FDF">
        <w:t xml:space="preserve"> a business activity involving the supply of goods or services similar to those protected under the certification trademark.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  <w:rPr>
          <w:b/>
        </w:rPr>
      </w:pPr>
      <w:r w:rsidRPr="000B3FDF">
        <w:rPr>
          <w:b/>
        </w:rPr>
        <w:t>Opposition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The trademark opposition system </w:t>
      </w:r>
      <w:r w:rsidRPr="000B3FDF">
        <w:rPr>
          <w:noProof/>
        </w:rPr>
        <w:t>is strengthened</w:t>
      </w:r>
      <w:r w:rsidRPr="000B3FDF">
        <w:t xml:space="preserve"> with the inclusion of the opportunity </w:t>
      </w:r>
      <w:r w:rsidR="00DA3B60" w:rsidRPr="000B3FDF">
        <w:t>for</w:t>
      </w:r>
      <w:r w:rsidRPr="000B3FDF">
        <w:t xml:space="preserve"> the parties (applicant and opponent) to submit evidence and arguments which will be taken into account by IMPI </w:t>
      </w:r>
      <w:r w:rsidR="00DA3B60" w:rsidRPr="000B3FDF">
        <w:t>when</w:t>
      </w:r>
      <w:r w:rsidRPr="000B3FDF">
        <w:t xml:space="preserve"> </w:t>
      </w:r>
      <w:r w:rsidR="0028487C" w:rsidRPr="000B3FDF">
        <w:t>deciding on</w:t>
      </w:r>
      <w:r w:rsidRPr="000B3FDF">
        <w:t xml:space="preserve"> the opposition.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  <w:rPr>
          <w:noProof/>
        </w:rPr>
      </w:pPr>
      <w:r w:rsidRPr="000B3FDF">
        <w:t xml:space="preserve">The lack of answer to </w:t>
      </w:r>
      <w:r w:rsidR="00E54E77" w:rsidRPr="000B3FDF">
        <w:t>an</w:t>
      </w:r>
      <w:r w:rsidRPr="000B3FDF">
        <w:t xml:space="preserve"> opposition does not automatically imply that the application is considered as abandoned, therefore IMPI will continue with regular examination. </w:t>
      </w:r>
    </w:p>
    <w:p w:rsidR="00940647" w:rsidRPr="000B3FDF" w:rsidRDefault="00940647" w:rsidP="001178CA">
      <w:pPr>
        <w:ind w:left="567"/>
      </w:pPr>
    </w:p>
    <w:p w:rsidR="00940647" w:rsidRPr="000B3FDF" w:rsidRDefault="00E9695F" w:rsidP="001178CA">
      <w:pPr>
        <w:ind w:left="567"/>
      </w:pPr>
      <w:r w:rsidRPr="000B3FDF">
        <w:t>Filed o</w:t>
      </w:r>
      <w:r w:rsidR="00940647" w:rsidRPr="000B3FDF">
        <w:rPr>
          <w:noProof/>
        </w:rPr>
        <w:t xml:space="preserve">ppositions </w:t>
      </w:r>
      <w:r w:rsidR="00940647" w:rsidRPr="000B3FDF">
        <w:t xml:space="preserve">will continue </w:t>
      </w:r>
      <w:r w:rsidRPr="000B3FDF">
        <w:t>to be</w:t>
      </w:r>
      <w:r w:rsidR="00940647" w:rsidRPr="000B3FDF">
        <w:t xml:space="preserve"> published in the Industrial Property G</w:t>
      </w:r>
      <w:r w:rsidR="00940647" w:rsidRPr="000B3FDF">
        <w:rPr>
          <w:noProof/>
        </w:rPr>
        <w:t xml:space="preserve">azette. </w:t>
      </w:r>
      <w:r w:rsidR="00D06D7C" w:rsidRPr="000B3FDF">
        <w:rPr>
          <w:noProof/>
        </w:rPr>
        <w:t xml:space="preserve"> </w:t>
      </w:r>
      <w:r w:rsidR="00F95709" w:rsidRPr="000B3FDF">
        <w:rPr>
          <w:noProof/>
        </w:rPr>
        <w:t>However</w:t>
      </w:r>
      <w:r w:rsidR="00940647" w:rsidRPr="000B3FDF">
        <w:rPr>
          <w:noProof/>
        </w:rPr>
        <w:t xml:space="preserve">, </w:t>
      </w:r>
      <w:r w:rsidR="00940647" w:rsidRPr="000B3FDF">
        <w:t xml:space="preserve">IMPI will </w:t>
      </w:r>
      <w:r w:rsidR="00F95709" w:rsidRPr="000B3FDF">
        <w:t xml:space="preserve">now </w:t>
      </w:r>
      <w:r w:rsidR="00940647" w:rsidRPr="000B3FDF">
        <w:t xml:space="preserve">issue </w:t>
      </w:r>
      <w:r w:rsidR="00940647" w:rsidRPr="000B3FDF">
        <w:rPr>
          <w:noProof/>
        </w:rPr>
        <w:t>provisional</w:t>
      </w:r>
      <w:r w:rsidR="00940647" w:rsidRPr="000B3FDF">
        <w:t xml:space="preserve"> refusals </w:t>
      </w:r>
      <w:r w:rsidR="009A269F" w:rsidRPr="000B3FDF">
        <w:rPr>
          <w:noProof/>
        </w:rPr>
        <w:t>in connection</w:t>
      </w:r>
      <w:r w:rsidR="00940647" w:rsidRPr="000B3FDF">
        <w:rPr>
          <w:noProof/>
        </w:rPr>
        <w:t xml:space="preserve"> with </w:t>
      </w:r>
      <w:r w:rsidR="00940647" w:rsidRPr="000B3FDF">
        <w:t>oppositions involving international registrations under the Madrid System.</w:t>
      </w:r>
      <w:r w:rsidR="00940647" w:rsidRPr="000B3FDF">
        <w:rPr>
          <w:noProof/>
        </w:rPr>
        <w:t xml:space="preserve">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The </w:t>
      </w:r>
      <w:r w:rsidRPr="000B3FDF">
        <w:rPr>
          <w:noProof/>
        </w:rPr>
        <w:t xml:space="preserve">deadlines and conditions </w:t>
      </w:r>
      <w:r w:rsidRPr="000B3FDF">
        <w:t xml:space="preserve">to submit and answer an opposition are not modified by the amendment.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>Each opposition filed will be resolved by IMPI in a resolution legally grounded.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  <w:rPr>
          <w:b/>
        </w:rPr>
      </w:pPr>
      <w:r w:rsidRPr="000B3FDF">
        <w:rPr>
          <w:b/>
          <w:noProof/>
        </w:rPr>
        <w:t xml:space="preserve">The </w:t>
      </w:r>
      <w:r w:rsidRPr="000B3FDF">
        <w:rPr>
          <w:b/>
        </w:rPr>
        <w:t xml:space="preserve">concept of </w:t>
      </w:r>
      <w:r w:rsidR="001178CA" w:rsidRPr="000B3FDF">
        <w:rPr>
          <w:b/>
        </w:rPr>
        <w:t>b</w:t>
      </w:r>
      <w:r w:rsidRPr="000B3FDF">
        <w:rPr>
          <w:b/>
        </w:rPr>
        <w:t xml:space="preserve">ad faith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>B</w:t>
      </w:r>
      <w:r w:rsidRPr="000B3FDF">
        <w:rPr>
          <w:noProof/>
        </w:rPr>
        <w:t>ad</w:t>
      </w:r>
      <w:r w:rsidRPr="000B3FDF">
        <w:t xml:space="preserve"> faith </w:t>
      </w:r>
      <w:r w:rsidRPr="000B3FDF">
        <w:rPr>
          <w:noProof/>
        </w:rPr>
        <w:t>is</w:t>
      </w:r>
      <w:r w:rsidRPr="000B3FDF">
        <w:t xml:space="preserve"> included as a ground</w:t>
      </w:r>
      <w:r w:rsidR="0008303E" w:rsidRPr="000B3FDF">
        <w:t xml:space="preserve"> to</w:t>
      </w:r>
      <w:r w:rsidRPr="000B3FDF">
        <w:t xml:space="preserve"> (i) deny the registration of a trademark </w:t>
      </w:r>
      <w:r w:rsidR="001E250B" w:rsidRPr="000B3FDF">
        <w:t>or</w:t>
      </w:r>
      <w:r w:rsidRPr="000B3FDF">
        <w:t xml:space="preserve"> (ii) nullify a granted trademark.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</w:pPr>
      <w:r w:rsidRPr="000B3FDF">
        <w:t xml:space="preserve">Bad faith </w:t>
      </w:r>
      <w:r w:rsidRPr="000B3FDF">
        <w:rPr>
          <w:noProof/>
        </w:rPr>
        <w:t>is considered</w:t>
      </w:r>
      <w:r w:rsidR="0008303E" w:rsidRPr="000B3FDF">
        <w:rPr>
          <w:noProof/>
        </w:rPr>
        <w:t>,</w:t>
      </w:r>
      <w:r w:rsidRPr="000B3FDF">
        <w:rPr>
          <w:noProof/>
        </w:rPr>
        <w:t xml:space="preserve"> as among</w:t>
      </w:r>
      <w:r w:rsidRPr="000B3FDF">
        <w:t xml:space="preserve"> other </w:t>
      </w:r>
      <w:r w:rsidRPr="000B3FDF">
        <w:rPr>
          <w:noProof/>
        </w:rPr>
        <w:t>cases,</w:t>
      </w:r>
      <w:r w:rsidRPr="000B3FDF">
        <w:t xml:space="preserve"> when </w:t>
      </w:r>
      <w:r w:rsidRPr="000B3FDF">
        <w:rPr>
          <w:noProof/>
        </w:rPr>
        <w:t>registration is requested</w:t>
      </w:r>
      <w:r w:rsidRPr="000B3FDF">
        <w:t xml:space="preserve"> in a manner contrary to honest uses, customs </w:t>
      </w:r>
      <w:r w:rsidRPr="000B3FDF">
        <w:rPr>
          <w:noProof/>
        </w:rPr>
        <w:t>and</w:t>
      </w:r>
      <w:r w:rsidRPr="000B3FDF">
        <w:t xml:space="preserve"> practices in the industrial property system, commerce or industry</w:t>
      </w:r>
      <w:proofErr w:type="gramStart"/>
      <w:r w:rsidRPr="000B3FDF">
        <w:t xml:space="preserve">; </w:t>
      </w:r>
      <w:r w:rsidR="00D06D7C" w:rsidRPr="000B3FDF">
        <w:t xml:space="preserve"> </w:t>
      </w:r>
      <w:r w:rsidRPr="000B3FDF">
        <w:t>or</w:t>
      </w:r>
      <w:proofErr w:type="gramEnd"/>
      <w:r w:rsidR="0008303E" w:rsidRPr="000B3FDF">
        <w:t>,</w:t>
      </w:r>
      <w:r w:rsidRPr="000B3FDF">
        <w:t xml:space="preserve"> it is </w:t>
      </w:r>
      <w:r w:rsidR="0028487C" w:rsidRPr="000B3FDF">
        <w:t>requested with the intention</w:t>
      </w:r>
      <w:r w:rsidRPr="000B3FDF">
        <w:t xml:space="preserve"> to obtain </w:t>
      </w:r>
      <w:r w:rsidRPr="000B3FDF">
        <w:rPr>
          <w:noProof/>
        </w:rPr>
        <w:t>an undue</w:t>
      </w:r>
      <w:r w:rsidRPr="000B3FDF">
        <w:t xml:space="preserve"> benefit or advantage to the detriment of the rightful holder. </w:t>
      </w:r>
    </w:p>
    <w:p w:rsidR="00940647" w:rsidRPr="000B3FDF" w:rsidRDefault="00940647" w:rsidP="001178CA">
      <w:pPr>
        <w:ind w:left="567"/>
      </w:pPr>
    </w:p>
    <w:p w:rsidR="00940647" w:rsidRPr="000B3FDF" w:rsidRDefault="00940647" w:rsidP="001178CA">
      <w:pPr>
        <w:ind w:left="567"/>
        <w:rPr>
          <w:b/>
        </w:rPr>
      </w:pPr>
      <w:r w:rsidRPr="000B3FDF">
        <w:rPr>
          <w:b/>
        </w:rPr>
        <w:t>Consent</w:t>
      </w:r>
    </w:p>
    <w:p w:rsidR="00940647" w:rsidRPr="000B3FDF" w:rsidRDefault="00940647" w:rsidP="001178CA">
      <w:pPr>
        <w:ind w:left="567"/>
        <w:rPr>
          <w:sz w:val="16"/>
          <w:szCs w:val="16"/>
        </w:rPr>
      </w:pPr>
    </w:p>
    <w:p w:rsidR="00940647" w:rsidRPr="000B3FDF" w:rsidRDefault="00940647" w:rsidP="001178CA">
      <w:pPr>
        <w:ind w:left="567"/>
      </w:pPr>
      <w:r w:rsidRPr="000B3FDF">
        <w:t>Exceptionally</w:t>
      </w:r>
      <w:r w:rsidR="006B3F0C" w:rsidRPr="000B3FDF">
        <w:t>,</w:t>
      </w:r>
      <w:r w:rsidRPr="000B3FDF">
        <w:t xml:space="preserve"> IMPI will grant</w:t>
      </w:r>
      <w:r w:rsidR="00F576A6" w:rsidRPr="000B3FDF">
        <w:t xml:space="preserve"> protection to</w:t>
      </w:r>
      <w:r w:rsidRPr="000B3FDF">
        <w:t xml:space="preserve"> trademarks that are confusingly similar to prior trademark registrations, prior trademark applications, commercial names </w:t>
      </w:r>
      <w:r w:rsidR="00F576A6" w:rsidRPr="000B3FDF">
        <w:t>or</w:t>
      </w:r>
      <w:r w:rsidRPr="000B3FDF">
        <w:t xml:space="preserve"> names of natural persons, if the legitimate right</w:t>
      </w:r>
      <w:r w:rsidR="00F576A6" w:rsidRPr="000B3FDF">
        <w:t>-</w:t>
      </w:r>
      <w:r w:rsidRPr="000B3FDF">
        <w:t>holder expressly consent</w:t>
      </w:r>
      <w:r w:rsidR="00F576A6" w:rsidRPr="000B3FDF">
        <w:t>s</w:t>
      </w:r>
      <w:r w:rsidRPr="000B3FDF">
        <w:t xml:space="preserve"> </w:t>
      </w:r>
      <w:r w:rsidR="00F576A6" w:rsidRPr="000B3FDF">
        <w:t>in writing</w:t>
      </w:r>
      <w:r w:rsidRPr="000B3FDF">
        <w:t xml:space="preserve"> </w:t>
      </w:r>
      <w:r w:rsidR="006B3F0C" w:rsidRPr="000B3FDF">
        <w:t>to</w:t>
      </w:r>
      <w:r w:rsidRPr="000B3FDF">
        <w:t xml:space="preserve"> that protection.</w:t>
      </w:r>
      <w:r w:rsidR="0008303E" w:rsidRPr="000B3FDF">
        <w:t>”</w:t>
      </w:r>
      <w:r w:rsidRPr="000B3FDF">
        <w:t xml:space="preserve"> </w:t>
      </w:r>
      <w:r w:rsidR="001178CA" w:rsidRPr="000B3FDF">
        <w:t xml:space="preserve"> </w:t>
      </w:r>
    </w:p>
    <w:p w:rsidR="00940647" w:rsidRPr="000B3FDF" w:rsidRDefault="00940647" w:rsidP="001178CA"/>
    <w:p w:rsidR="00D67B06" w:rsidRPr="000B3FDF" w:rsidRDefault="00D67B06" w:rsidP="001178CA">
      <w:pPr>
        <w:pStyle w:val="ONUME"/>
      </w:pPr>
      <w:r w:rsidRPr="000B3FDF">
        <w:t xml:space="preserve">Further information on the </w:t>
      </w:r>
      <w:r w:rsidR="00C868E5" w:rsidRPr="000B3FDF">
        <w:t xml:space="preserve">new </w:t>
      </w:r>
      <w:r w:rsidRPr="000B3FDF">
        <w:t xml:space="preserve">obligation to file </w:t>
      </w:r>
      <w:r w:rsidR="00CC2C52" w:rsidRPr="000B3FDF">
        <w:t xml:space="preserve">a declaration of actual and effective </w:t>
      </w:r>
      <w:r w:rsidRPr="000B3FDF">
        <w:t xml:space="preserve">use </w:t>
      </w:r>
      <w:r w:rsidR="00CC2C52" w:rsidRPr="000B3FDF">
        <w:t>of</w:t>
      </w:r>
      <w:r w:rsidR="000B3FDF">
        <w:t> </w:t>
      </w:r>
      <w:r w:rsidR="00CC2C52" w:rsidRPr="000B3FDF">
        <w:t xml:space="preserve">the mark </w:t>
      </w:r>
      <w:r w:rsidRPr="000B3FDF">
        <w:t xml:space="preserve">in Mexico can be found in </w:t>
      </w:r>
      <w:r w:rsidR="00D06D7C" w:rsidRPr="000B3FDF">
        <w:t xml:space="preserve">Information </w:t>
      </w:r>
      <w:r w:rsidRPr="000B3FDF">
        <w:t xml:space="preserve">Notice </w:t>
      </w:r>
      <w:r w:rsidR="000B3FDF" w:rsidRPr="000B3FDF">
        <w:t>14</w:t>
      </w:r>
      <w:r w:rsidRPr="000B3FDF">
        <w:t>/2018.</w:t>
      </w:r>
    </w:p>
    <w:p w:rsidR="00003726" w:rsidRPr="000B3FDF" w:rsidRDefault="005E709F" w:rsidP="001178CA">
      <w:pPr>
        <w:pStyle w:val="ONUME"/>
      </w:pPr>
      <w:r w:rsidRPr="000B3FDF">
        <w:t xml:space="preserve">Users of the Madrid System may contact IMPI for further information </w:t>
      </w:r>
      <w:r w:rsidR="000B3FDF">
        <w:t>regarding</w:t>
      </w:r>
      <w:r w:rsidRPr="000B3FDF">
        <w:t xml:space="preserve"> the abovementioned amendments.  </w:t>
      </w:r>
      <w:bookmarkStart w:id="1" w:name="_GoBack"/>
      <w:bookmarkEnd w:id="1"/>
    </w:p>
    <w:p w:rsidR="00D06D7C" w:rsidRPr="000B3FDF" w:rsidRDefault="00D06D7C" w:rsidP="001178CA">
      <w:pPr>
        <w:pStyle w:val="ONUME"/>
        <w:numPr>
          <w:ilvl w:val="0"/>
          <w:numId w:val="0"/>
        </w:numPr>
      </w:pPr>
    </w:p>
    <w:p w:rsidR="00163F61" w:rsidRPr="00D409DF" w:rsidRDefault="00D06D7C" w:rsidP="00F87C3E">
      <w:pPr>
        <w:pStyle w:val="Endofdocument-Annex"/>
      </w:pPr>
      <w:r w:rsidRPr="000B3FDF">
        <w:t>September</w:t>
      </w:r>
      <w:r w:rsidR="005A0CFF" w:rsidRPr="000B3FDF">
        <w:t xml:space="preserve"> </w:t>
      </w:r>
      <w:r w:rsidR="000B3FDF" w:rsidRPr="000B3FDF">
        <w:t>21</w:t>
      </w:r>
      <w:r w:rsidR="00CA4166" w:rsidRPr="000B3FDF">
        <w:t xml:space="preserve">, </w:t>
      </w:r>
      <w:r w:rsidR="00253A4B" w:rsidRPr="000B3FDF">
        <w:t>201</w:t>
      </w:r>
      <w:r w:rsidR="000C411B" w:rsidRPr="000B3FDF">
        <w:t>8</w:t>
      </w:r>
    </w:p>
    <w:sectPr w:rsidR="00163F61" w:rsidRPr="00D409DF" w:rsidSect="003C2450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B3FDF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3957A7"/>
    <w:multiLevelType w:val="hybridMultilevel"/>
    <w:tmpl w:val="455C3DBA"/>
    <w:lvl w:ilvl="0" w:tplc="2BF827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3726"/>
    <w:rsid w:val="00005CFF"/>
    <w:rsid w:val="000112B6"/>
    <w:rsid w:val="000123A6"/>
    <w:rsid w:val="00013F2F"/>
    <w:rsid w:val="00032DC2"/>
    <w:rsid w:val="00041169"/>
    <w:rsid w:val="00043313"/>
    <w:rsid w:val="00043CAA"/>
    <w:rsid w:val="00050224"/>
    <w:rsid w:val="00057E5F"/>
    <w:rsid w:val="000617A9"/>
    <w:rsid w:val="0006182B"/>
    <w:rsid w:val="00065151"/>
    <w:rsid w:val="000728FF"/>
    <w:rsid w:val="00075432"/>
    <w:rsid w:val="0008303E"/>
    <w:rsid w:val="000968ED"/>
    <w:rsid w:val="000A525D"/>
    <w:rsid w:val="000B3FDF"/>
    <w:rsid w:val="000C411B"/>
    <w:rsid w:val="000D3921"/>
    <w:rsid w:val="000E73ED"/>
    <w:rsid w:val="000F5E56"/>
    <w:rsid w:val="001178CA"/>
    <w:rsid w:val="00120443"/>
    <w:rsid w:val="001272E3"/>
    <w:rsid w:val="00131BD8"/>
    <w:rsid w:val="00133F53"/>
    <w:rsid w:val="001362EE"/>
    <w:rsid w:val="001368C6"/>
    <w:rsid w:val="001370D1"/>
    <w:rsid w:val="00145022"/>
    <w:rsid w:val="0015037D"/>
    <w:rsid w:val="00153AE0"/>
    <w:rsid w:val="00156454"/>
    <w:rsid w:val="001621E1"/>
    <w:rsid w:val="00163F61"/>
    <w:rsid w:val="00166299"/>
    <w:rsid w:val="00174735"/>
    <w:rsid w:val="00177A9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C35C5"/>
    <w:rsid w:val="001D15DD"/>
    <w:rsid w:val="001E1E9A"/>
    <w:rsid w:val="001E250B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675"/>
    <w:rsid w:val="0022493E"/>
    <w:rsid w:val="00224A8A"/>
    <w:rsid w:val="00232675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87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64E7"/>
    <w:rsid w:val="002E6FCE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019E"/>
    <w:rsid w:val="003A61ED"/>
    <w:rsid w:val="003A6F89"/>
    <w:rsid w:val="003B38C1"/>
    <w:rsid w:val="003B45F8"/>
    <w:rsid w:val="003C06B7"/>
    <w:rsid w:val="003C2450"/>
    <w:rsid w:val="003E0205"/>
    <w:rsid w:val="003E0D9F"/>
    <w:rsid w:val="003E165E"/>
    <w:rsid w:val="004052E1"/>
    <w:rsid w:val="00411FB2"/>
    <w:rsid w:val="00414A9E"/>
    <w:rsid w:val="004160A6"/>
    <w:rsid w:val="00423E3E"/>
    <w:rsid w:val="00427AF4"/>
    <w:rsid w:val="00451915"/>
    <w:rsid w:val="004630B4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95682"/>
    <w:rsid w:val="004A6315"/>
    <w:rsid w:val="004B0093"/>
    <w:rsid w:val="004B279C"/>
    <w:rsid w:val="004B336C"/>
    <w:rsid w:val="004C38CC"/>
    <w:rsid w:val="004C7C7E"/>
    <w:rsid w:val="004E1955"/>
    <w:rsid w:val="004E2CBA"/>
    <w:rsid w:val="004F5A30"/>
    <w:rsid w:val="005019FF"/>
    <w:rsid w:val="005243B1"/>
    <w:rsid w:val="0053057A"/>
    <w:rsid w:val="00536EA4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0CFF"/>
    <w:rsid w:val="005A192B"/>
    <w:rsid w:val="005B5479"/>
    <w:rsid w:val="005C6649"/>
    <w:rsid w:val="005C720D"/>
    <w:rsid w:val="005D047A"/>
    <w:rsid w:val="005D5269"/>
    <w:rsid w:val="005E58F6"/>
    <w:rsid w:val="005E709F"/>
    <w:rsid w:val="005F2F3B"/>
    <w:rsid w:val="00605827"/>
    <w:rsid w:val="00606FC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14C8"/>
    <w:rsid w:val="00672128"/>
    <w:rsid w:val="00674ABA"/>
    <w:rsid w:val="00676C5C"/>
    <w:rsid w:val="00684699"/>
    <w:rsid w:val="006846EF"/>
    <w:rsid w:val="00687B7E"/>
    <w:rsid w:val="006A143E"/>
    <w:rsid w:val="006A27A6"/>
    <w:rsid w:val="006B0BE3"/>
    <w:rsid w:val="006B3F0C"/>
    <w:rsid w:val="006C7FD0"/>
    <w:rsid w:val="006D1756"/>
    <w:rsid w:val="006D3AB3"/>
    <w:rsid w:val="006D529E"/>
    <w:rsid w:val="006E17B3"/>
    <w:rsid w:val="006E6086"/>
    <w:rsid w:val="006F073B"/>
    <w:rsid w:val="006F0AEC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4F36"/>
    <w:rsid w:val="00775EBD"/>
    <w:rsid w:val="007817CB"/>
    <w:rsid w:val="00782581"/>
    <w:rsid w:val="0078535A"/>
    <w:rsid w:val="00790A94"/>
    <w:rsid w:val="0079611A"/>
    <w:rsid w:val="007A0427"/>
    <w:rsid w:val="007A0D38"/>
    <w:rsid w:val="007A13BF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344F"/>
    <w:rsid w:val="00824519"/>
    <w:rsid w:val="008267DC"/>
    <w:rsid w:val="008349FA"/>
    <w:rsid w:val="008368D1"/>
    <w:rsid w:val="00841ED0"/>
    <w:rsid w:val="00853FA8"/>
    <w:rsid w:val="00854071"/>
    <w:rsid w:val="00864DDA"/>
    <w:rsid w:val="008656BD"/>
    <w:rsid w:val="00885618"/>
    <w:rsid w:val="00886684"/>
    <w:rsid w:val="008929D1"/>
    <w:rsid w:val="008948BE"/>
    <w:rsid w:val="008977D0"/>
    <w:rsid w:val="008A175B"/>
    <w:rsid w:val="008A27E0"/>
    <w:rsid w:val="008B23F7"/>
    <w:rsid w:val="008B2CC1"/>
    <w:rsid w:val="008B60B2"/>
    <w:rsid w:val="008C20A4"/>
    <w:rsid w:val="008C2D2F"/>
    <w:rsid w:val="008C2FE6"/>
    <w:rsid w:val="008D5107"/>
    <w:rsid w:val="008E17A1"/>
    <w:rsid w:val="008F1F70"/>
    <w:rsid w:val="0090731E"/>
    <w:rsid w:val="00916EE2"/>
    <w:rsid w:val="00922789"/>
    <w:rsid w:val="009237AA"/>
    <w:rsid w:val="00930A99"/>
    <w:rsid w:val="00930B3E"/>
    <w:rsid w:val="009378BE"/>
    <w:rsid w:val="00940647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2844"/>
    <w:rsid w:val="009831AA"/>
    <w:rsid w:val="00987E9A"/>
    <w:rsid w:val="00993D16"/>
    <w:rsid w:val="00997AAD"/>
    <w:rsid w:val="009A269F"/>
    <w:rsid w:val="009A3EF9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52B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B7BC4"/>
    <w:rsid w:val="00AC205C"/>
    <w:rsid w:val="00AC76CA"/>
    <w:rsid w:val="00AD38EE"/>
    <w:rsid w:val="00AE475B"/>
    <w:rsid w:val="00AE5CBB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32B66"/>
    <w:rsid w:val="00B36188"/>
    <w:rsid w:val="00B46D7E"/>
    <w:rsid w:val="00B54D7D"/>
    <w:rsid w:val="00B5748E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C35A8"/>
    <w:rsid w:val="00BD1BF1"/>
    <w:rsid w:val="00BD1ECD"/>
    <w:rsid w:val="00BE55D6"/>
    <w:rsid w:val="00BE5857"/>
    <w:rsid w:val="00BF3B13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868E5"/>
    <w:rsid w:val="00C977DB"/>
    <w:rsid w:val="00CA0392"/>
    <w:rsid w:val="00CA4166"/>
    <w:rsid w:val="00CB132F"/>
    <w:rsid w:val="00CB13CA"/>
    <w:rsid w:val="00CB5A5D"/>
    <w:rsid w:val="00CC2C52"/>
    <w:rsid w:val="00CC5016"/>
    <w:rsid w:val="00CD3F54"/>
    <w:rsid w:val="00CE0A51"/>
    <w:rsid w:val="00CE0F4D"/>
    <w:rsid w:val="00CE6390"/>
    <w:rsid w:val="00CF0E7D"/>
    <w:rsid w:val="00CF4536"/>
    <w:rsid w:val="00D01FB2"/>
    <w:rsid w:val="00D04D40"/>
    <w:rsid w:val="00D06D7C"/>
    <w:rsid w:val="00D22BD4"/>
    <w:rsid w:val="00D270DE"/>
    <w:rsid w:val="00D3087F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7B06"/>
    <w:rsid w:val="00D70C96"/>
    <w:rsid w:val="00D71B4D"/>
    <w:rsid w:val="00D76F38"/>
    <w:rsid w:val="00D8192B"/>
    <w:rsid w:val="00D826FA"/>
    <w:rsid w:val="00D90EE5"/>
    <w:rsid w:val="00D93D55"/>
    <w:rsid w:val="00DA0607"/>
    <w:rsid w:val="00DA3B60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14778"/>
    <w:rsid w:val="00E210C4"/>
    <w:rsid w:val="00E213EE"/>
    <w:rsid w:val="00E335FE"/>
    <w:rsid w:val="00E42B9A"/>
    <w:rsid w:val="00E50323"/>
    <w:rsid w:val="00E52C2C"/>
    <w:rsid w:val="00E532DC"/>
    <w:rsid w:val="00E54E77"/>
    <w:rsid w:val="00E6635C"/>
    <w:rsid w:val="00E66C2C"/>
    <w:rsid w:val="00E73486"/>
    <w:rsid w:val="00E80539"/>
    <w:rsid w:val="00E9695F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EF3461"/>
    <w:rsid w:val="00EF438E"/>
    <w:rsid w:val="00F05EC7"/>
    <w:rsid w:val="00F06DF3"/>
    <w:rsid w:val="00F0720F"/>
    <w:rsid w:val="00F14AFC"/>
    <w:rsid w:val="00F201C4"/>
    <w:rsid w:val="00F37F68"/>
    <w:rsid w:val="00F407E2"/>
    <w:rsid w:val="00F52AC0"/>
    <w:rsid w:val="00F576A6"/>
    <w:rsid w:val="00F6258E"/>
    <w:rsid w:val="00F62CDB"/>
    <w:rsid w:val="00F64B5E"/>
    <w:rsid w:val="00F66152"/>
    <w:rsid w:val="00F72B56"/>
    <w:rsid w:val="00F7315B"/>
    <w:rsid w:val="00F7721F"/>
    <w:rsid w:val="00F87C3E"/>
    <w:rsid w:val="00F95709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94064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94064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D1CA-915F-40F7-BAA9-74B0DF5D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1158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81</cp:revision>
  <cp:lastPrinted>2018-09-11T07:49:00Z</cp:lastPrinted>
  <dcterms:created xsi:type="dcterms:W3CDTF">2018-08-29T08:40:00Z</dcterms:created>
  <dcterms:modified xsi:type="dcterms:W3CDTF">2018-09-21T12:19:00Z</dcterms:modified>
</cp:coreProperties>
</file>