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8A15E7">
        <w:tc>
          <w:tcPr>
            <w:tcW w:w="4513" w:type="dxa"/>
            <w:tcBorders>
              <w:bottom w:val="single" w:sz="4" w:space="0" w:color="auto"/>
            </w:tcBorders>
            <w:shd w:val="clear" w:color="auto" w:fill="auto"/>
            <w:tcMar>
              <w:bottom w:w="170" w:type="dxa"/>
            </w:tcMar>
          </w:tcPr>
          <w:p w:rsidR="00EC4E49" w:rsidRPr="008B2CC1" w:rsidRDefault="00EC4E49" w:rsidP="00916EE2"/>
        </w:tc>
        <w:tc>
          <w:tcPr>
            <w:tcW w:w="4337" w:type="dxa"/>
            <w:tcBorders>
              <w:bottom w:val="single" w:sz="4" w:space="0" w:color="auto"/>
            </w:tcBorders>
            <w:shd w:val="clear" w:color="auto" w:fill="auto"/>
            <w:tcMar>
              <w:left w:w="0" w:type="dxa"/>
              <w:right w:w="0" w:type="dxa"/>
            </w:tcMar>
          </w:tcPr>
          <w:p w:rsidR="00EC4E49" w:rsidRPr="008B2CC1" w:rsidRDefault="00DF4F2D" w:rsidP="00916EE2">
            <w:r>
              <w:rPr>
                <w:noProof/>
                <w:lang w:eastAsia="en-US"/>
              </w:rPr>
              <w:drawing>
                <wp:inline distT="0" distB="0" distL="0" distR="0" wp14:anchorId="7B9089D0" wp14:editId="7303E60C">
                  <wp:extent cx="1860550" cy="1324610"/>
                  <wp:effectExtent l="0" t="0" r="6350" b="889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4610"/>
                          </a:xfrm>
                          <a:prstGeom prst="rect">
                            <a:avLst/>
                          </a:prstGeom>
                          <a:noFill/>
                          <a:ln>
                            <a:noFill/>
                          </a:ln>
                        </pic:spPr>
                      </pic:pic>
                    </a:graphicData>
                  </a:graphic>
                </wp:inline>
              </w:drawing>
            </w:r>
          </w:p>
        </w:tc>
        <w:tc>
          <w:tcPr>
            <w:tcW w:w="506" w:type="dxa"/>
            <w:tcBorders>
              <w:bottom w:val="single" w:sz="4" w:space="0" w:color="auto"/>
            </w:tcBorders>
            <w:shd w:val="clear" w:color="auto" w:fill="auto"/>
            <w:tcMar>
              <w:left w:w="0" w:type="dxa"/>
              <w:right w:w="0" w:type="dxa"/>
            </w:tcMar>
          </w:tcPr>
          <w:p w:rsidR="00EC4E49" w:rsidRPr="008B2CC1" w:rsidRDefault="00EC4E49" w:rsidP="00916EE2">
            <w:pPr>
              <w:jc w:val="right"/>
            </w:pPr>
          </w:p>
        </w:tc>
      </w:tr>
      <w:tr w:rsidR="008B2CC1" w:rsidRPr="001832A6" w:rsidTr="008A15E7">
        <w:trPr>
          <w:trHeight w:hRule="exact" w:val="170"/>
        </w:trPr>
        <w:tc>
          <w:tcPr>
            <w:tcW w:w="9356" w:type="dxa"/>
            <w:gridSpan w:val="3"/>
            <w:tcBorders>
              <w:top w:val="single" w:sz="4" w:space="0" w:color="auto"/>
            </w:tcBorders>
            <w:shd w:val="clear" w:color="auto" w:fill="auto"/>
            <w:noWrap/>
            <w:tcMar>
              <w:left w:w="0" w:type="dxa"/>
              <w:right w:w="0" w:type="dxa"/>
            </w:tcMar>
            <w:vAlign w:val="bottom"/>
          </w:tcPr>
          <w:p w:rsidR="008B2CC1" w:rsidRPr="0090731E" w:rsidRDefault="008B2CC1" w:rsidP="00916EE2">
            <w:pPr>
              <w:jc w:val="right"/>
              <w:rPr>
                <w:rFonts w:ascii="Arial Black" w:hAnsi="Arial Black"/>
                <w:caps/>
                <w:sz w:val="15"/>
              </w:rPr>
            </w:pPr>
            <w:bookmarkStart w:id="0" w:name="Original"/>
            <w:bookmarkEnd w:id="0"/>
          </w:p>
        </w:tc>
      </w:tr>
      <w:tr w:rsidR="008B2CC1" w:rsidRPr="001832A6" w:rsidTr="00722E32">
        <w:trPr>
          <w:trHeight w:hRule="exact" w:val="198"/>
        </w:trPr>
        <w:tc>
          <w:tcPr>
            <w:tcW w:w="9356" w:type="dxa"/>
            <w:gridSpan w:val="3"/>
            <w:shd w:val="clear" w:color="auto" w:fill="auto"/>
            <w:tcMar>
              <w:left w:w="0" w:type="dxa"/>
              <w:right w:w="0" w:type="dxa"/>
            </w:tcMar>
            <w:vAlign w:val="bottom"/>
          </w:tcPr>
          <w:p w:rsidR="008B2CC1" w:rsidRPr="0090731E" w:rsidRDefault="00CC5016" w:rsidP="000C4285">
            <w:pPr>
              <w:jc w:val="right"/>
              <w:rPr>
                <w:rFonts w:ascii="Arial Black" w:hAnsi="Arial Black"/>
                <w:caps/>
                <w:sz w:val="15"/>
              </w:rPr>
            </w:pPr>
            <w:r>
              <w:rPr>
                <w:rFonts w:ascii="Arial Black" w:hAnsi="Arial Black"/>
                <w:caps/>
                <w:sz w:val="15"/>
              </w:rPr>
              <w:t xml:space="preserve">INFORMATION NOTICE NO. </w:t>
            </w:r>
            <w:r w:rsidR="00850E0E">
              <w:rPr>
                <w:rFonts w:ascii="Arial Black" w:hAnsi="Arial Black"/>
                <w:caps/>
                <w:sz w:val="15"/>
              </w:rPr>
              <w:t>17</w:t>
            </w:r>
            <w:bookmarkStart w:id="1" w:name="_GoBack"/>
            <w:bookmarkEnd w:id="1"/>
            <w:r>
              <w:rPr>
                <w:rFonts w:ascii="Arial Black" w:hAnsi="Arial Black"/>
                <w:caps/>
                <w:sz w:val="15"/>
              </w:rPr>
              <w:t>/201</w:t>
            </w:r>
            <w:r w:rsidR="000942EB">
              <w:rPr>
                <w:rFonts w:ascii="Arial Black" w:hAnsi="Arial Black"/>
                <w:caps/>
                <w:sz w:val="15"/>
              </w:rPr>
              <w:t>7</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CC5016" w:rsidRPr="008B2CC1" w:rsidRDefault="00CC5016" w:rsidP="00CC5016"/>
    <w:p w:rsidR="00CC5016" w:rsidRPr="008B2CC1" w:rsidRDefault="00CC5016" w:rsidP="00CC5016"/>
    <w:p w:rsidR="00CC5016" w:rsidRDefault="00CC5016" w:rsidP="00CC5016">
      <w:pPr>
        <w:autoSpaceDE w:val="0"/>
        <w:autoSpaceDN w:val="0"/>
        <w:adjustRightInd w:val="0"/>
        <w:rPr>
          <w:b/>
          <w:bCs/>
          <w:sz w:val="28"/>
          <w:szCs w:val="28"/>
        </w:rPr>
      </w:pPr>
      <w:smartTag w:uri="urn:schemas-microsoft-com:office:smarttags" w:element="State">
        <w:smartTag w:uri="urn:schemas-microsoft-com:office:smarttags" w:element="place">
          <w:r>
            <w:rPr>
              <w:b/>
              <w:bCs/>
              <w:sz w:val="28"/>
              <w:szCs w:val="28"/>
            </w:rPr>
            <w:t>Madrid</w:t>
          </w:r>
        </w:smartTag>
      </w:smartTag>
      <w:r>
        <w:rPr>
          <w:b/>
          <w:bCs/>
          <w:sz w:val="28"/>
          <w:szCs w:val="28"/>
        </w:rPr>
        <w:t xml:space="preserve"> Protocol Concerning the International Registration of Marks</w:t>
      </w:r>
    </w:p>
    <w:p w:rsidR="00CC5016" w:rsidRPr="00CC5016" w:rsidRDefault="00CC5016" w:rsidP="00CC5016">
      <w:pPr>
        <w:autoSpaceDE w:val="0"/>
        <w:autoSpaceDN w:val="0"/>
        <w:adjustRightInd w:val="0"/>
        <w:rPr>
          <w:bCs/>
          <w:szCs w:val="22"/>
        </w:rPr>
      </w:pPr>
    </w:p>
    <w:p w:rsidR="00CC5016" w:rsidRPr="00CC5016" w:rsidRDefault="00CC5016" w:rsidP="00CC5016">
      <w:pPr>
        <w:autoSpaceDE w:val="0"/>
        <w:autoSpaceDN w:val="0"/>
        <w:adjustRightInd w:val="0"/>
        <w:rPr>
          <w:bCs/>
          <w:szCs w:val="22"/>
        </w:rPr>
      </w:pPr>
    </w:p>
    <w:p w:rsidR="00CC5016" w:rsidRPr="00CC5016" w:rsidRDefault="00CC5016" w:rsidP="00CC5016">
      <w:pPr>
        <w:autoSpaceDE w:val="0"/>
        <w:autoSpaceDN w:val="0"/>
        <w:adjustRightInd w:val="0"/>
        <w:rPr>
          <w:bCs/>
          <w:szCs w:val="22"/>
        </w:rPr>
      </w:pPr>
    </w:p>
    <w:p w:rsidR="001F1B95" w:rsidRPr="001F1B95" w:rsidRDefault="00CE0A51" w:rsidP="001F1B95">
      <w:pPr>
        <w:autoSpaceDE w:val="0"/>
        <w:autoSpaceDN w:val="0"/>
        <w:adjustRightInd w:val="0"/>
        <w:rPr>
          <w:b/>
          <w:bCs/>
          <w:sz w:val="24"/>
          <w:szCs w:val="24"/>
        </w:rPr>
      </w:pPr>
      <w:r>
        <w:rPr>
          <w:b/>
          <w:bCs/>
          <w:sz w:val="24"/>
          <w:szCs w:val="24"/>
        </w:rPr>
        <w:t>Accession to the Madrid</w:t>
      </w:r>
      <w:r w:rsidR="00A63591">
        <w:rPr>
          <w:b/>
          <w:bCs/>
          <w:sz w:val="24"/>
          <w:szCs w:val="24"/>
        </w:rPr>
        <w:t xml:space="preserve"> Protocol:  </w:t>
      </w:r>
      <w:r w:rsidR="00CE187C">
        <w:rPr>
          <w:b/>
          <w:bCs/>
          <w:sz w:val="24"/>
          <w:szCs w:val="24"/>
        </w:rPr>
        <w:t>Indonesia</w:t>
      </w:r>
    </w:p>
    <w:p w:rsidR="00CC5016" w:rsidRDefault="00CC5016" w:rsidP="00CC5016">
      <w:pPr>
        <w:rPr>
          <w:szCs w:val="22"/>
        </w:rPr>
      </w:pPr>
    </w:p>
    <w:p w:rsidR="001F1B95" w:rsidRDefault="0078045E" w:rsidP="0078045E">
      <w:r>
        <w:fldChar w:fldCharType="begin"/>
      </w:r>
      <w:r>
        <w:instrText xml:space="preserve"> AUTONUM  </w:instrText>
      </w:r>
      <w:r>
        <w:fldChar w:fldCharType="end"/>
      </w:r>
      <w:r>
        <w:tab/>
      </w:r>
      <w:r w:rsidR="00411FB2" w:rsidRPr="0078045E">
        <w:t xml:space="preserve">On </w:t>
      </w:r>
      <w:r w:rsidR="00CE187C">
        <w:t>October 2</w:t>
      </w:r>
      <w:r w:rsidR="000942EB" w:rsidRPr="0078045E">
        <w:t xml:space="preserve">, 2017, </w:t>
      </w:r>
      <w:r w:rsidR="00411FB2" w:rsidRPr="0078045E">
        <w:t xml:space="preserve">the Government of </w:t>
      </w:r>
      <w:r w:rsidR="00CE187C">
        <w:t>Indonesia</w:t>
      </w:r>
      <w:r w:rsidR="00793338" w:rsidRPr="0078045E">
        <w:t xml:space="preserve"> </w:t>
      </w:r>
      <w:r w:rsidR="00411FB2" w:rsidRPr="0078045E">
        <w:t>deposited with the Director General of the World Intellectual Property Organization (WIPO) its instrument of accession to the Protocol Relating to the Madrid Agreement Concerning the International Registration of Marks (“the</w:t>
      </w:r>
      <w:r w:rsidR="007C7F0C" w:rsidRPr="0078045E">
        <w:t> </w:t>
      </w:r>
      <w:r w:rsidR="007B4F84" w:rsidRPr="0078045E">
        <w:t>Madrid </w:t>
      </w:r>
      <w:r w:rsidR="00411FB2" w:rsidRPr="0078045E">
        <w:t xml:space="preserve">Protocol”).  The </w:t>
      </w:r>
      <w:r w:rsidR="007B4F84" w:rsidRPr="0078045E">
        <w:t xml:space="preserve">Madrid </w:t>
      </w:r>
      <w:r w:rsidR="00411FB2" w:rsidRPr="0078045E">
        <w:t xml:space="preserve">Protocol will enter into force, with respect to </w:t>
      </w:r>
      <w:r w:rsidR="00CE187C" w:rsidRPr="00CE187C">
        <w:t>Indonesia</w:t>
      </w:r>
      <w:r w:rsidR="00411FB2" w:rsidRPr="0078045E">
        <w:t>, on</w:t>
      </w:r>
      <w:r w:rsidR="00F706C5" w:rsidRPr="0078045E">
        <w:t> </w:t>
      </w:r>
      <w:r w:rsidR="00CE187C">
        <w:t>January 2, 2018</w:t>
      </w:r>
      <w:r w:rsidR="00411FB2" w:rsidRPr="0078045E">
        <w:t xml:space="preserve">.  </w:t>
      </w:r>
    </w:p>
    <w:p w:rsidR="0078045E" w:rsidRPr="0078045E" w:rsidRDefault="0078045E" w:rsidP="0078045E"/>
    <w:p w:rsidR="000B3F74" w:rsidRDefault="0078045E" w:rsidP="0078045E">
      <w:r>
        <w:fldChar w:fldCharType="begin"/>
      </w:r>
      <w:r>
        <w:instrText xml:space="preserve"> AUTONUM  </w:instrText>
      </w:r>
      <w:r>
        <w:fldChar w:fldCharType="end"/>
      </w:r>
      <w:r>
        <w:tab/>
      </w:r>
      <w:r w:rsidR="002540E4" w:rsidRPr="0078045E">
        <w:t>The said instrument of accession was accompanied by</w:t>
      </w:r>
      <w:r w:rsidRPr="0078045E">
        <w:t xml:space="preserve">:  </w:t>
      </w:r>
    </w:p>
    <w:p w:rsidR="0078045E" w:rsidRPr="0078045E" w:rsidRDefault="0078045E" w:rsidP="0078045E"/>
    <w:p w:rsidR="002540E4" w:rsidRDefault="0078045E" w:rsidP="00EB001E">
      <w:pPr>
        <w:ind w:left="1134" w:hanging="567"/>
      </w:pPr>
      <w:r w:rsidRPr="0078045E">
        <w:t>–</w:t>
      </w:r>
      <w:r w:rsidRPr="0078045E">
        <w:tab/>
      </w:r>
      <w:r w:rsidR="000B3F74" w:rsidRPr="0078045E">
        <w:t>the declaration</w:t>
      </w:r>
      <w:r w:rsidR="002540E4" w:rsidRPr="0078045E">
        <w:t xml:space="preserve"> referred to in Article</w:t>
      </w:r>
      <w:r w:rsidR="000B3F74" w:rsidRPr="0078045E">
        <w:t> </w:t>
      </w:r>
      <w:r w:rsidR="002540E4" w:rsidRPr="0078045E">
        <w:t>5(2)(b) of the Madrid Protocol</w:t>
      </w:r>
      <w:r w:rsidR="00EB001E">
        <w:t>, whereby the time limit of one </w:t>
      </w:r>
      <w:r w:rsidR="002540E4" w:rsidRPr="0078045E">
        <w:t>year to notify a provisional refusal of protection is replaced by</w:t>
      </w:r>
      <w:r w:rsidR="00EB001E">
        <w:t> </w:t>
      </w:r>
      <w:r w:rsidR="002540E4" w:rsidRPr="0078045E">
        <w:t>18</w:t>
      </w:r>
      <w:r w:rsidR="00EB001E">
        <w:t> </w:t>
      </w:r>
      <w:r w:rsidR="002540E4" w:rsidRPr="0078045E">
        <w:t>months</w:t>
      </w:r>
      <w:r w:rsidR="006309AE">
        <w:t xml:space="preserve">;  </w:t>
      </w:r>
    </w:p>
    <w:p w:rsidR="0078045E" w:rsidRPr="0078045E" w:rsidRDefault="0078045E" w:rsidP="00EB001E">
      <w:pPr>
        <w:ind w:left="1134" w:hanging="567"/>
      </w:pPr>
    </w:p>
    <w:p w:rsidR="000B3F74" w:rsidRPr="0078045E" w:rsidRDefault="0078045E" w:rsidP="00EB001E">
      <w:pPr>
        <w:ind w:left="1134" w:hanging="567"/>
      </w:pPr>
      <w:r w:rsidRPr="0078045E">
        <w:t>–</w:t>
      </w:r>
      <w:r w:rsidRPr="0078045E">
        <w:tab/>
      </w:r>
      <w:r w:rsidR="000B3F74" w:rsidRPr="0078045E">
        <w:t>the declaration referred to in Article 8(7</w:t>
      </w:r>
      <w:proofErr w:type="gramStart"/>
      <w:r w:rsidR="000B3F74" w:rsidRPr="0078045E">
        <w:t>)(</w:t>
      </w:r>
      <w:proofErr w:type="gramEnd"/>
      <w:r w:rsidR="000B3F74" w:rsidRPr="0078045E">
        <w:t xml:space="preserve">a) of the Madrid Protocol, whereby </w:t>
      </w:r>
      <w:r w:rsidR="00CE187C" w:rsidRPr="00CE187C">
        <w:t>Indonesia</w:t>
      </w:r>
      <w:r w:rsidR="000B3F74" w:rsidRPr="0078045E">
        <w:t xml:space="preserve"> wishes to receive an individual fee where it is designated in an international application, in a designation subsequent to an international registration and in respect of the renewal of an international registration where </w:t>
      </w:r>
      <w:r w:rsidR="00CE187C" w:rsidRPr="00CE187C">
        <w:t>Indonesia</w:t>
      </w:r>
      <w:r w:rsidR="000B3F74" w:rsidRPr="0078045E">
        <w:t xml:space="preserve"> has been designated (instead of a share in the revenue produced by the supple</w:t>
      </w:r>
      <w:r w:rsidR="006309AE">
        <w:t>mentary and complementary fees);</w:t>
      </w:r>
      <w:r w:rsidR="000B3F74" w:rsidRPr="0078045E">
        <w:t xml:space="preserve">  </w:t>
      </w:r>
    </w:p>
    <w:p w:rsidR="0078045E" w:rsidRDefault="0078045E" w:rsidP="00EB001E">
      <w:pPr>
        <w:ind w:left="1134" w:hanging="567"/>
      </w:pPr>
    </w:p>
    <w:p w:rsidR="0078045E" w:rsidRDefault="0078045E" w:rsidP="00EB001E">
      <w:pPr>
        <w:ind w:left="1134" w:hanging="567"/>
      </w:pPr>
      <w:r>
        <w:t>–</w:t>
      </w:r>
      <w:r>
        <w:tab/>
      </w:r>
      <w:proofErr w:type="gramStart"/>
      <w:r>
        <w:t>t</w:t>
      </w:r>
      <w:r w:rsidRPr="0078045E">
        <w:t>he</w:t>
      </w:r>
      <w:proofErr w:type="gramEnd"/>
      <w:r w:rsidRPr="0078045E">
        <w:t xml:space="preserve"> notification under Rule 20</w:t>
      </w:r>
      <w:r w:rsidRPr="00EB001E">
        <w:rPr>
          <w:i/>
        </w:rPr>
        <w:t>bis</w:t>
      </w:r>
      <w:r w:rsidRPr="0078045E">
        <w:t>(6)(b) of the Comm</w:t>
      </w:r>
      <w:r w:rsidR="003768E3">
        <w:t>on Regulations under the Madrid </w:t>
      </w:r>
      <w:r w:rsidRPr="0078045E">
        <w:t xml:space="preserve">Agreement and the </w:t>
      </w:r>
      <w:r w:rsidR="00533376">
        <w:t xml:space="preserve">Madrid </w:t>
      </w:r>
      <w:r w:rsidRPr="0078045E">
        <w:t xml:space="preserve">Protocol, whereby the recording of licenses in the International Register shall have no effect in </w:t>
      </w:r>
      <w:r w:rsidR="00CE187C" w:rsidRPr="00CE187C">
        <w:t>Indonesia</w:t>
      </w:r>
      <w:r w:rsidRPr="0078045E">
        <w:t xml:space="preserve">.  </w:t>
      </w:r>
      <w:r w:rsidR="00EB001E">
        <w:t>C</w:t>
      </w:r>
      <w:r w:rsidRPr="0078045E">
        <w:t xml:space="preserve">onsequently, a license relating to an international registration of a mark which has been granted with respect to </w:t>
      </w:r>
      <w:r w:rsidR="00CE187C" w:rsidRPr="00CE187C">
        <w:t>Indonesia</w:t>
      </w:r>
      <w:r w:rsidRPr="0078045E">
        <w:t xml:space="preserve"> shall, in order to have effect in that Contracting Party, be recorded in the national Register of the Office of </w:t>
      </w:r>
      <w:r w:rsidR="00CE187C" w:rsidRPr="00CE187C">
        <w:t>Indonesia</w:t>
      </w:r>
      <w:r w:rsidRPr="0078045E">
        <w:t xml:space="preserve">.  The formalities required for such recording must be completed directly with the Office of </w:t>
      </w:r>
      <w:r w:rsidR="00CE187C" w:rsidRPr="00CE187C">
        <w:t>Indonesia</w:t>
      </w:r>
      <w:r w:rsidRPr="0078045E">
        <w:t xml:space="preserve"> and according to the conditions laid down by the legislation of that Contracting Party.  </w:t>
      </w:r>
    </w:p>
    <w:p w:rsidR="00EB001E" w:rsidRPr="0078045E" w:rsidRDefault="00EB001E" w:rsidP="00EB001E">
      <w:pPr>
        <w:ind w:left="1134" w:hanging="567"/>
      </w:pPr>
    </w:p>
    <w:p w:rsidR="00EB001E" w:rsidRDefault="00EB001E" w:rsidP="0078045E">
      <w:r>
        <w:br w:type="page"/>
      </w:r>
    </w:p>
    <w:p w:rsidR="000B3F74" w:rsidRDefault="00EB001E" w:rsidP="0078045E">
      <w:r>
        <w:lastRenderedPageBreak/>
        <w:fldChar w:fldCharType="begin"/>
      </w:r>
      <w:r>
        <w:instrText xml:space="preserve"> AUTONUM  </w:instrText>
      </w:r>
      <w:r>
        <w:fldChar w:fldCharType="end"/>
      </w:r>
      <w:r>
        <w:tab/>
      </w:r>
      <w:r w:rsidR="000B3F74" w:rsidRPr="0078045E">
        <w:t xml:space="preserve">The amounts of the individual fee, indicated by </w:t>
      </w:r>
      <w:r w:rsidR="00CE187C" w:rsidRPr="00CE187C">
        <w:t>Indonesia</w:t>
      </w:r>
      <w:r w:rsidR="000B3F74" w:rsidRPr="0078045E">
        <w:t xml:space="preserve"> under Article</w:t>
      </w:r>
      <w:r>
        <w:t> </w:t>
      </w:r>
      <w:r w:rsidR="000B3F74" w:rsidRPr="0078045E">
        <w:t>8(7</w:t>
      </w:r>
      <w:proofErr w:type="gramStart"/>
      <w:r w:rsidR="000B3F74" w:rsidRPr="0078045E">
        <w:t>)(</w:t>
      </w:r>
      <w:proofErr w:type="gramEnd"/>
      <w:r w:rsidR="000B3F74" w:rsidRPr="0078045E">
        <w:t xml:space="preserve">a) of the Madrid Protocol, will be the subject of a separate information notice.  </w:t>
      </w:r>
    </w:p>
    <w:p w:rsidR="00EB001E" w:rsidRPr="0078045E" w:rsidRDefault="00EB001E" w:rsidP="0078045E"/>
    <w:p w:rsidR="001F1B95" w:rsidRPr="0078045E" w:rsidRDefault="00EB001E" w:rsidP="0078045E">
      <w:r>
        <w:fldChar w:fldCharType="begin"/>
      </w:r>
      <w:r>
        <w:instrText xml:space="preserve"> AUTONUM  </w:instrText>
      </w:r>
      <w:r>
        <w:fldChar w:fldCharType="end"/>
      </w:r>
      <w:r>
        <w:tab/>
      </w:r>
      <w:r w:rsidR="00E15132" w:rsidRPr="0078045E">
        <w:t>A</w:t>
      </w:r>
      <w:r w:rsidR="00411FB2" w:rsidRPr="0078045E">
        <w:t xml:space="preserve">ccession to the </w:t>
      </w:r>
      <w:r w:rsidR="007B4F84" w:rsidRPr="0078045E">
        <w:t xml:space="preserve">Madrid </w:t>
      </w:r>
      <w:r w:rsidR="00411FB2" w:rsidRPr="0078045E">
        <w:t xml:space="preserve">Protocol by </w:t>
      </w:r>
      <w:r w:rsidR="00CE187C" w:rsidRPr="00CE187C">
        <w:t>Indonesia</w:t>
      </w:r>
      <w:r w:rsidR="00793338" w:rsidRPr="0078045E">
        <w:t xml:space="preserve"> </w:t>
      </w:r>
      <w:r w:rsidR="00411FB2" w:rsidRPr="0078045E">
        <w:t xml:space="preserve">brings the number of Contracting Parties of the </w:t>
      </w:r>
      <w:r w:rsidR="007B4F84" w:rsidRPr="0078045E">
        <w:t xml:space="preserve">Madrid </w:t>
      </w:r>
      <w:r w:rsidR="00CE187C">
        <w:t>Protocol to 100</w:t>
      </w:r>
      <w:r w:rsidR="00411FB2" w:rsidRPr="0078045E">
        <w:t>.  A</w:t>
      </w:r>
      <w:r w:rsidR="007B4F84" w:rsidRPr="0078045E">
        <w:t> </w:t>
      </w:r>
      <w:r w:rsidR="00411FB2" w:rsidRPr="0078045E">
        <w:t>list of the members of the Madrid Union</w:t>
      </w:r>
      <w:r w:rsidR="00693F20" w:rsidRPr="0078045E">
        <w:t xml:space="preserve">, with </w:t>
      </w:r>
      <w:r w:rsidR="00411FB2" w:rsidRPr="0078045E">
        <w:t xml:space="preserve">information on the dates on which these </w:t>
      </w:r>
      <w:r w:rsidR="00693F20" w:rsidRPr="0078045E">
        <w:t xml:space="preserve">members </w:t>
      </w:r>
      <w:r w:rsidR="00411FB2" w:rsidRPr="0078045E">
        <w:t>became party to the Madrid Agreement or the Madrid Protocol</w:t>
      </w:r>
      <w:r w:rsidR="00693F20" w:rsidRPr="0078045E">
        <w:t xml:space="preserve">, is </w:t>
      </w:r>
      <w:r w:rsidR="00411FB2" w:rsidRPr="0078045E">
        <w:t xml:space="preserve">available on WIPO’s website, at the following address:  www.wipo.int/madrid/en/members.  </w:t>
      </w:r>
    </w:p>
    <w:p w:rsidR="004936FC" w:rsidRPr="0078045E" w:rsidRDefault="004936FC" w:rsidP="0078045E"/>
    <w:p w:rsidR="004936FC" w:rsidRPr="0078045E" w:rsidRDefault="004936FC" w:rsidP="0078045E"/>
    <w:p w:rsidR="004936FC" w:rsidRPr="0078045E" w:rsidRDefault="005A6619" w:rsidP="00EB001E">
      <w:pPr>
        <w:pStyle w:val="Endofdocument-Annex"/>
      </w:pPr>
      <w:r>
        <w:t>Novem</w:t>
      </w:r>
      <w:r w:rsidR="00CE187C">
        <w:t>ber</w:t>
      </w:r>
      <w:r w:rsidR="00EB001E">
        <w:t> </w:t>
      </w:r>
      <w:r>
        <w:t>1</w:t>
      </w:r>
      <w:r w:rsidR="004936FC" w:rsidRPr="0078045E">
        <w:t>,</w:t>
      </w:r>
      <w:r w:rsidR="00EB001E">
        <w:t> </w:t>
      </w:r>
      <w:r w:rsidR="004936FC" w:rsidRPr="0078045E">
        <w:t>201</w:t>
      </w:r>
      <w:r w:rsidR="00EB001E">
        <w:t>7</w:t>
      </w:r>
    </w:p>
    <w:p w:rsidR="00EB001E" w:rsidRPr="0078045E" w:rsidRDefault="00EB001E">
      <w:pPr>
        <w:pStyle w:val="Endofdocument-Annex"/>
      </w:pPr>
    </w:p>
    <w:sectPr w:rsidR="00EB001E" w:rsidRPr="0078045E" w:rsidSect="00605827">
      <w:headerReference w:type="default" r:id="rId9"/>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9A5" w:rsidRDefault="00DF29A5">
      <w:r>
        <w:separator/>
      </w:r>
    </w:p>
  </w:endnote>
  <w:endnote w:type="continuationSeparator" w:id="0">
    <w:p w:rsidR="00DF29A5" w:rsidRDefault="00DF29A5" w:rsidP="003B38C1">
      <w:r>
        <w:separator/>
      </w:r>
    </w:p>
    <w:p w:rsidR="00DF29A5" w:rsidRPr="003B38C1" w:rsidRDefault="00DF29A5" w:rsidP="003B38C1">
      <w:pPr>
        <w:spacing w:after="60"/>
        <w:rPr>
          <w:sz w:val="17"/>
        </w:rPr>
      </w:pPr>
      <w:r>
        <w:rPr>
          <w:sz w:val="17"/>
        </w:rPr>
        <w:t>[Endnote continued from previous page]</w:t>
      </w:r>
    </w:p>
  </w:endnote>
  <w:endnote w:type="continuationNotice" w:id="1">
    <w:p w:rsidR="00DF29A5" w:rsidRPr="003B38C1" w:rsidRDefault="00DF29A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9A5" w:rsidRDefault="00DF29A5">
      <w:r>
        <w:separator/>
      </w:r>
    </w:p>
  </w:footnote>
  <w:footnote w:type="continuationSeparator" w:id="0">
    <w:p w:rsidR="00DF29A5" w:rsidRDefault="00DF29A5" w:rsidP="008B60B2">
      <w:r>
        <w:separator/>
      </w:r>
    </w:p>
    <w:p w:rsidR="00DF29A5" w:rsidRPr="00ED77FB" w:rsidRDefault="00DF29A5" w:rsidP="008B60B2">
      <w:pPr>
        <w:spacing w:after="60"/>
        <w:rPr>
          <w:sz w:val="17"/>
          <w:szCs w:val="17"/>
        </w:rPr>
      </w:pPr>
      <w:r w:rsidRPr="00ED77FB">
        <w:rPr>
          <w:sz w:val="17"/>
          <w:szCs w:val="17"/>
        </w:rPr>
        <w:t>[Footnote continued from previous page]</w:t>
      </w:r>
    </w:p>
  </w:footnote>
  <w:footnote w:type="continuationNotice" w:id="1">
    <w:p w:rsidR="00DF29A5" w:rsidRPr="00ED77FB" w:rsidRDefault="00DF29A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1D4" w:rsidRDefault="00CE01D4" w:rsidP="00477D6B">
    <w:pPr>
      <w:jc w:val="right"/>
    </w:pPr>
    <w:proofErr w:type="gramStart"/>
    <w:r>
      <w:t>page</w:t>
    </w:r>
    <w:proofErr w:type="gramEnd"/>
    <w:r>
      <w:t xml:space="preserve"> </w:t>
    </w:r>
    <w:r>
      <w:fldChar w:fldCharType="begin"/>
    </w:r>
    <w:r>
      <w:instrText xml:space="preserve"> PAGE  \* MERGEFORMAT </w:instrText>
    </w:r>
    <w:r>
      <w:fldChar w:fldCharType="separate"/>
    </w:r>
    <w:r w:rsidR="00627602">
      <w:rPr>
        <w:noProof/>
      </w:rPr>
      <w:t>1</w:t>
    </w:r>
    <w:r>
      <w:fldChar w:fldCharType="end"/>
    </w:r>
  </w:p>
  <w:p w:rsidR="00CE01D4" w:rsidRDefault="00CE01D4" w:rsidP="00477D6B">
    <w:pPr>
      <w:jc w:val="right"/>
    </w:pPr>
  </w:p>
  <w:p w:rsidR="00EB001E" w:rsidRDefault="00EB001E"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43313"/>
    <w:rsid w:val="00043CAA"/>
    <w:rsid w:val="00075432"/>
    <w:rsid w:val="00075632"/>
    <w:rsid w:val="00083B66"/>
    <w:rsid w:val="000942EB"/>
    <w:rsid w:val="000968ED"/>
    <w:rsid w:val="000B3F74"/>
    <w:rsid w:val="000C21F2"/>
    <w:rsid w:val="000C4285"/>
    <w:rsid w:val="000F5E56"/>
    <w:rsid w:val="00111B31"/>
    <w:rsid w:val="001362EE"/>
    <w:rsid w:val="0015037D"/>
    <w:rsid w:val="00160589"/>
    <w:rsid w:val="001677B3"/>
    <w:rsid w:val="001832A6"/>
    <w:rsid w:val="00186DE1"/>
    <w:rsid w:val="001A320E"/>
    <w:rsid w:val="001C0506"/>
    <w:rsid w:val="001D0FE1"/>
    <w:rsid w:val="001E3850"/>
    <w:rsid w:val="001F1B95"/>
    <w:rsid w:val="0022379B"/>
    <w:rsid w:val="0022493E"/>
    <w:rsid w:val="00227041"/>
    <w:rsid w:val="00232ECC"/>
    <w:rsid w:val="00251890"/>
    <w:rsid w:val="0025278E"/>
    <w:rsid w:val="002540E4"/>
    <w:rsid w:val="002634C4"/>
    <w:rsid w:val="0026423F"/>
    <w:rsid w:val="002928D3"/>
    <w:rsid w:val="002C1554"/>
    <w:rsid w:val="002E7192"/>
    <w:rsid w:val="002F1FE6"/>
    <w:rsid w:val="002F279F"/>
    <w:rsid w:val="002F4E68"/>
    <w:rsid w:val="00307376"/>
    <w:rsid w:val="00312F7F"/>
    <w:rsid w:val="00314068"/>
    <w:rsid w:val="00347330"/>
    <w:rsid w:val="00361450"/>
    <w:rsid w:val="003673CF"/>
    <w:rsid w:val="003768E3"/>
    <w:rsid w:val="003845C1"/>
    <w:rsid w:val="003A6F89"/>
    <w:rsid w:val="003B38C1"/>
    <w:rsid w:val="003D7E60"/>
    <w:rsid w:val="003E0D9F"/>
    <w:rsid w:val="00411FB2"/>
    <w:rsid w:val="00423E3E"/>
    <w:rsid w:val="00427AF4"/>
    <w:rsid w:val="004630B4"/>
    <w:rsid w:val="004647DA"/>
    <w:rsid w:val="00474062"/>
    <w:rsid w:val="00477D6B"/>
    <w:rsid w:val="004936FC"/>
    <w:rsid w:val="004F5A30"/>
    <w:rsid w:val="005019FF"/>
    <w:rsid w:val="005239E6"/>
    <w:rsid w:val="0053057A"/>
    <w:rsid w:val="00533376"/>
    <w:rsid w:val="005418DD"/>
    <w:rsid w:val="00560A29"/>
    <w:rsid w:val="005868B8"/>
    <w:rsid w:val="005A6619"/>
    <w:rsid w:val="005C6649"/>
    <w:rsid w:val="00605827"/>
    <w:rsid w:val="00627602"/>
    <w:rsid w:val="006309AE"/>
    <w:rsid w:val="00644AA2"/>
    <w:rsid w:val="00646050"/>
    <w:rsid w:val="00647B0C"/>
    <w:rsid w:val="00654AE9"/>
    <w:rsid w:val="006713CA"/>
    <w:rsid w:val="00676C5C"/>
    <w:rsid w:val="00693F20"/>
    <w:rsid w:val="006B3435"/>
    <w:rsid w:val="0071239F"/>
    <w:rsid w:val="00722E32"/>
    <w:rsid w:val="007378A7"/>
    <w:rsid w:val="00767C4D"/>
    <w:rsid w:val="0078045E"/>
    <w:rsid w:val="00790A94"/>
    <w:rsid w:val="00793338"/>
    <w:rsid w:val="007B4F84"/>
    <w:rsid w:val="007C2862"/>
    <w:rsid w:val="007C3E9B"/>
    <w:rsid w:val="007C7F0C"/>
    <w:rsid w:val="007D1613"/>
    <w:rsid w:val="007F4D09"/>
    <w:rsid w:val="00802006"/>
    <w:rsid w:val="0082666C"/>
    <w:rsid w:val="00850E0E"/>
    <w:rsid w:val="00885618"/>
    <w:rsid w:val="008A15E7"/>
    <w:rsid w:val="008B2CC1"/>
    <w:rsid w:val="008B60B2"/>
    <w:rsid w:val="008B7365"/>
    <w:rsid w:val="008C2D2F"/>
    <w:rsid w:val="0090731E"/>
    <w:rsid w:val="00916EE2"/>
    <w:rsid w:val="00966A22"/>
    <w:rsid w:val="0096722F"/>
    <w:rsid w:val="00980843"/>
    <w:rsid w:val="00984315"/>
    <w:rsid w:val="009E2791"/>
    <w:rsid w:val="009E3F6F"/>
    <w:rsid w:val="009E5F9F"/>
    <w:rsid w:val="009F2A14"/>
    <w:rsid w:val="009F499F"/>
    <w:rsid w:val="00A1342B"/>
    <w:rsid w:val="00A174E9"/>
    <w:rsid w:val="00A21684"/>
    <w:rsid w:val="00A23468"/>
    <w:rsid w:val="00A25430"/>
    <w:rsid w:val="00A27AFF"/>
    <w:rsid w:val="00A42DAF"/>
    <w:rsid w:val="00A45BD8"/>
    <w:rsid w:val="00A63591"/>
    <w:rsid w:val="00A7792D"/>
    <w:rsid w:val="00A869B7"/>
    <w:rsid w:val="00AC205C"/>
    <w:rsid w:val="00AC37D4"/>
    <w:rsid w:val="00AD38EE"/>
    <w:rsid w:val="00AF0A6B"/>
    <w:rsid w:val="00AF79E2"/>
    <w:rsid w:val="00B05A69"/>
    <w:rsid w:val="00B0649E"/>
    <w:rsid w:val="00B46D7E"/>
    <w:rsid w:val="00B83157"/>
    <w:rsid w:val="00B9734B"/>
    <w:rsid w:val="00BA59F8"/>
    <w:rsid w:val="00BE55D6"/>
    <w:rsid w:val="00C11BFE"/>
    <w:rsid w:val="00C556FE"/>
    <w:rsid w:val="00C70A15"/>
    <w:rsid w:val="00CC5016"/>
    <w:rsid w:val="00CD40D2"/>
    <w:rsid w:val="00CE01D4"/>
    <w:rsid w:val="00CE0A51"/>
    <w:rsid w:val="00CE187C"/>
    <w:rsid w:val="00D25FDD"/>
    <w:rsid w:val="00D45252"/>
    <w:rsid w:val="00D71B4D"/>
    <w:rsid w:val="00D93D55"/>
    <w:rsid w:val="00DB1CC0"/>
    <w:rsid w:val="00DF29A5"/>
    <w:rsid w:val="00DF4F2D"/>
    <w:rsid w:val="00E15132"/>
    <w:rsid w:val="00E26F09"/>
    <w:rsid w:val="00E31C2B"/>
    <w:rsid w:val="00E335FE"/>
    <w:rsid w:val="00E524F5"/>
    <w:rsid w:val="00EA7E5E"/>
    <w:rsid w:val="00EB001E"/>
    <w:rsid w:val="00EC4E49"/>
    <w:rsid w:val="00ED4C4F"/>
    <w:rsid w:val="00ED77FB"/>
    <w:rsid w:val="00EE45FA"/>
    <w:rsid w:val="00F06550"/>
    <w:rsid w:val="00F66152"/>
    <w:rsid w:val="00F706C5"/>
    <w:rsid w:val="00F7721F"/>
    <w:rsid w:val="00F84E2C"/>
    <w:rsid w:val="00FA3AB8"/>
    <w:rsid w:val="00FD3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411FB2"/>
    <w:rPr>
      <w:color w:val="0000FF"/>
      <w:u w:val="single"/>
    </w:rPr>
  </w:style>
  <w:style w:type="paragraph" w:customStyle="1" w:styleId="Default">
    <w:name w:val="Default"/>
    <w:rsid w:val="000B3F74"/>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411FB2"/>
    <w:rPr>
      <w:color w:val="0000FF"/>
      <w:u w:val="single"/>
    </w:rPr>
  </w:style>
  <w:style w:type="paragraph" w:customStyle="1" w:styleId="Default">
    <w:name w:val="Default"/>
    <w:rsid w:val="000B3F7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366</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2483</CharactersWithSpaces>
  <SharedDoc>false</SharedDoc>
  <HLinks>
    <vt:vector size="6" baseType="variant">
      <vt:variant>
        <vt:i4>720911</vt:i4>
      </vt:variant>
      <vt:variant>
        <vt:i4>0</vt:i4>
      </vt:variant>
      <vt:variant>
        <vt:i4>0</vt:i4>
      </vt:variant>
      <vt:variant>
        <vt:i4>5</vt:i4>
      </vt:variant>
      <vt:variant>
        <vt:lpwstr>http://www.wipo.int/madrid/en/members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MLD</cp:lastModifiedBy>
  <cp:revision>25</cp:revision>
  <cp:lastPrinted>2017-11-01T08:44:00Z</cp:lastPrinted>
  <dcterms:created xsi:type="dcterms:W3CDTF">2017-10-19T11:09:00Z</dcterms:created>
  <dcterms:modified xsi:type="dcterms:W3CDTF">2017-11-01T08:45:00Z</dcterms:modified>
</cp:coreProperties>
</file>