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82544E">
            <w:pPr>
              <w:jc w:val="right"/>
            </w:pPr>
            <w:r w:rsidRPr="00D409DF">
              <w:rPr>
                <w:rFonts w:ascii="Arial Black" w:hAnsi="Arial Black"/>
                <w:caps/>
                <w:sz w:val="15"/>
              </w:rPr>
              <w:t xml:space="preserve">INFORMATION NOTICE NO. </w:t>
            </w:r>
            <w:r w:rsidR="0082544E">
              <w:rPr>
                <w:rFonts w:ascii="Arial Black" w:hAnsi="Arial Black"/>
                <w:caps/>
                <w:sz w:val="15"/>
              </w:rPr>
              <w:t>11</w:t>
            </w:r>
            <w:r w:rsidR="00751EEE">
              <w:rPr>
                <w:rFonts w:ascii="Arial Black" w:hAnsi="Arial Black"/>
                <w:caps/>
                <w:sz w:val="15"/>
              </w:rPr>
              <w:t>/2017</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00A46F96">
        <w:rPr>
          <w:b/>
          <w:bCs/>
          <w:sz w:val="28"/>
          <w:szCs w:val="28"/>
        </w:rPr>
        <w:t xml:space="preserve">Agreement and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183E9E" w:rsidP="006D1756">
      <w:pPr>
        <w:autoSpaceDE w:val="0"/>
        <w:autoSpaceDN w:val="0"/>
        <w:adjustRightInd w:val="0"/>
        <w:rPr>
          <w:b/>
          <w:bCs/>
          <w:sz w:val="24"/>
          <w:szCs w:val="24"/>
        </w:rPr>
      </w:pPr>
      <w:r>
        <w:rPr>
          <w:b/>
          <w:bCs/>
          <w:sz w:val="24"/>
          <w:szCs w:val="24"/>
        </w:rPr>
        <w:t xml:space="preserve">Amendments </w:t>
      </w:r>
      <w:r w:rsidR="002C563A">
        <w:rPr>
          <w:b/>
          <w:bCs/>
          <w:sz w:val="24"/>
          <w:szCs w:val="24"/>
        </w:rPr>
        <w:t xml:space="preserve">to the Common Regulations </w:t>
      </w:r>
      <w:r>
        <w:rPr>
          <w:b/>
          <w:bCs/>
          <w:sz w:val="24"/>
          <w:szCs w:val="24"/>
        </w:rPr>
        <w:t>under the Madrid Agreement and Protocol entering into force on July </w:t>
      </w:r>
      <w:r w:rsidR="002C563A">
        <w:rPr>
          <w:b/>
          <w:bCs/>
          <w:sz w:val="24"/>
          <w:szCs w:val="24"/>
        </w:rPr>
        <w:t>1,</w:t>
      </w:r>
      <w:r>
        <w:rPr>
          <w:b/>
          <w:bCs/>
          <w:sz w:val="24"/>
          <w:szCs w:val="24"/>
        </w:rPr>
        <w:t> </w:t>
      </w:r>
      <w:r w:rsidR="002C563A">
        <w:rPr>
          <w:b/>
          <w:bCs/>
          <w:sz w:val="24"/>
          <w:szCs w:val="24"/>
        </w:rPr>
        <w:t>2017</w:t>
      </w:r>
    </w:p>
    <w:p w:rsidR="006D1756" w:rsidRDefault="006D1756" w:rsidP="006D1756">
      <w:pPr>
        <w:rPr>
          <w:szCs w:val="22"/>
        </w:rPr>
      </w:pPr>
    </w:p>
    <w:p w:rsidR="005D159E" w:rsidRDefault="000207D6" w:rsidP="00DA33BD">
      <w:pPr>
        <w:pStyle w:val="ONUME"/>
      </w:pPr>
      <w:r>
        <w:rPr>
          <w:lang w:eastAsia="ja-JP"/>
        </w:rPr>
        <w:t>C</w:t>
      </w:r>
      <w:r w:rsidR="002C563A">
        <w:rPr>
          <w:lang w:eastAsia="ja-JP"/>
        </w:rPr>
        <w:t xml:space="preserve">hanges to </w:t>
      </w:r>
      <w:r w:rsidR="00F03EFE">
        <w:rPr>
          <w:lang w:eastAsia="ja-JP"/>
        </w:rPr>
        <w:t xml:space="preserve">specific </w:t>
      </w:r>
      <w:r w:rsidR="002C563A">
        <w:rPr>
          <w:lang w:eastAsia="ja-JP"/>
        </w:rPr>
        <w:t>Rules of the Common Regulations under the Madrid Agreement Concerning the International Registration of Marks and the Protocol Relating to that Agreement (the Common Regulations</w:t>
      </w:r>
      <w:r w:rsidR="00CA36A4">
        <w:rPr>
          <w:lang w:eastAsia="ja-JP"/>
        </w:rPr>
        <w:t>)</w:t>
      </w:r>
      <w:r w:rsidR="002C563A">
        <w:rPr>
          <w:lang w:eastAsia="ja-JP"/>
        </w:rPr>
        <w:t xml:space="preserve"> will enter into force on July</w:t>
      </w:r>
      <w:r w:rsidR="00183E9E">
        <w:rPr>
          <w:lang w:eastAsia="ja-JP"/>
        </w:rPr>
        <w:t> </w:t>
      </w:r>
      <w:r w:rsidR="002C563A">
        <w:rPr>
          <w:lang w:eastAsia="ja-JP"/>
        </w:rPr>
        <w:t>1,</w:t>
      </w:r>
      <w:r w:rsidR="00183E9E">
        <w:rPr>
          <w:lang w:eastAsia="ja-JP"/>
        </w:rPr>
        <w:t> </w:t>
      </w:r>
      <w:r w:rsidR="002C563A">
        <w:rPr>
          <w:lang w:eastAsia="ja-JP"/>
        </w:rPr>
        <w:t>2017.</w:t>
      </w:r>
      <w:r w:rsidR="00183E9E">
        <w:rPr>
          <w:lang w:eastAsia="ja-JP"/>
        </w:rPr>
        <w:t xml:space="preserve">  </w:t>
      </w:r>
    </w:p>
    <w:p w:rsidR="00B91B2D" w:rsidRPr="00C72FF5" w:rsidRDefault="003E05CF" w:rsidP="00C72FF5">
      <w:pPr>
        <w:pStyle w:val="ONUME"/>
        <w:numPr>
          <w:ilvl w:val="0"/>
          <w:numId w:val="0"/>
        </w:numPr>
        <w:rPr>
          <w:i/>
          <w:u w:val="single"/>
        </w:rPr>
      </w:pPr>
      <w:r w:rsidRPr="00C72FF5">
        <w:rPr>
          <w:i/>
          <w:u w:val="single"/>
          <w:lang w:eastAsia="ja-JP"/>
        </w:rPr>
        <w:t>C</w:t>
      </w:r>
      <w:r w:rsidR="00B91B2D" w:rsidRPr="00C72FF5">
        <w:rPr>
          <w:i/>
          <w:u w:val="single"/>
          <w:lang w:eastAsia="ja-JP"/>
        </w:rPr>
        <w:t xml:space="preserve">ontrol </w:t>
      </w:r>
      <w:r w:rsidR="00085DDD" w:rsidRPr="00C72FF5">
        <w:rPr>
          <w:i/>
          <w:u w:val="single"/>
          <w:lang w:eastAsia="ja-JP"/>
        </w:rPr>
        <w:t xml:space="preserve">by the International Bureau of </w:t>
      </w:r>
      <w:r w:rsidR="00183E9E">
        <w:rPr>
          <w:i/>
          <w:u w:val="single"/>
          <w:lang w:eastAsia="ja-JP"/>
        </w:rPr>
        <w:t>the World Intellectual Property Organization (</w:t>
      </w:r>
      <w:r w:rsidR="00085DDD" w:rsidRPr="00C72FF5">
        <w:rPr>
          <w:i/>
          <w:u w:val="single"/>
          <w:lang w:eastAsia="ja-JP"/>
        </w:rPr>
        <w:t>WIPO</w:t>
      </w:r>
      <w:r w:rsidR="00183E9E">
        <w:rPr>
          <w:i/>
          <w:u w:val="single"/>
          <w:lang w:eastAsia="ja-JP"/>
        </w:rPr>
        <w:t>)</w:t>
      </w:r>
      <w:r w:rsidR="00085DDD" w:rsidRPr="00C72FF5">
        <w:rPr>
          <w:i/>
          <w:u w:val="single"/>
          <w:lang w:eastAsia="ja-JP"/>
        </w:rPr>
        <w:t xml:space="preserve"> of </w:t>
      </w:r>
      <w:r w:rsidR="00B91B2D" w:rsidRPr="00C72FF5">
        <w:rPr>
          <w:i/>
          <w:u w:val="single"/>
          <w:lang w:eastAsia="ja-JP"/>
        </w:rPr>
        <w:t>the classification of limitations</w:t>
      </w:r>
      <w:r w:rsidR="00085DDD" w:rsidRPr="00C72FF5">
        <w:rPr>
          <w:i/>
          <w:u w:val="single"/>
          <w:lang w:eastAsia="ja-JP"/>
        </w:rPr>
        <w:t xml:space="preserve"> to the list of goods and services made</w:t>
      </w:r>
      <w:r w:rsidR="00B91B2D" w:rsidRPr="00C72FF5">
        <w:rPr>
          <w:i/>
          <w:u w:val="single"/>
          <w:lang w:eastAsia="ja-JP"/>
        </w:rPr>
        <w:t xml:space="preserve"> in international applications</w:t>
      </w:r>
      <w:r w:rsidR="00183E9E">
        <w:rPr>
          <w:i/>
          <w:u w:val="single"/>
          <w:lang w:eastAsia="ja-JP"/>
        </w:rPr>
        <w:t xml:space="preserve"> (Rule </w:t>
      </w:r>
      <w:r w:rsidR="00F03EFE" w:rsidRPr="00C72FF5">
        <w:rPr>
          <w:i/>
          <w:u w:val="single"/>
          <w:lang w:eastAsia="ja-JP"/>
        </w:rPr>
        <w:t>12)</w:t>
      </w:r>
    </w:p>
    <w:p w:rsidR="003637D7" w:rsidRDefault="006476BC" w:rsidP="00DA33BD">
      <w:pPr>
        <w:pStyle w:val="ONUME"/>
      </w:pPr>
      <w:r>
        <w:t xml:space="preserve">A new paragraph </w:t>
      </w:r>
      <w:r w:rsidR="00122926">
        <w:t>(</w:t>
      </w:r>
      <w:r>
        <w:t>8</w:t>
      </w:r>
      <w:r w:rsidRPr="000207D6">
        <w:rPr>
          <w:i/>
        </w:rPr>
        <w:t>bis</w:t>
      </w:r>
      <w:r w:rsidR="00122926">
        <w:t>)</w:t>
      </w:r>
      <w:r>
        <w:t xml:space="preserve"> in Rule</w:t>
      </w:r>
      <w:r w:rsidR="00183E9E">
        <w:t> </w:t>
      </w:r>
      <w:r>
        <w:t xml:space="preserve">12 of the Common Regulations </w:t>
      </w:r>
      <w:r w:rsidR="007E5BA3">
        <w:t>will require the</w:t>
      </w:r>
      <w:r>
        <w:t xml:space="preserve"> International Bureau of WIPO</w:t>
      </w:r>
      <w:r w:rsidR="00F03EFE">
        <w:t xml:space="preserve">, </w:t>
      </w:r>
      <w:r w:rsidR="00C72FF5">
        <w:t>when examining</w:t>
      </w:r>
      <w:r w:rsidR="00CA36A4">
        <w:t xml:space="preserve"> </w:t>
      </w:r>
      <w:r w:rsidR="003637D7">
        <w:t xml:space="preserve">an </w:t>
      </w:r>
      <w:r w:rsidR="00CA36A4">
        <w:t xml:space="preserve">international application, </w:t>
      </w:r>
      <w:r w:rsidR="00FF6E9A">
        <w:t xml:space="preserve">to </w:t>
      </w:r>
      <w:r w:rsidR="00CA36A4">
        <w:t xml:space="preserve">also </w:t>
      </w:r>
      <w:r w:rsidR="003637D7">
        <w:t xml:space="preserve">examine limitations contained in </w:t>
      </w:r>
      <w:r w:rsidR="00C72FF5">
        <w:t>that</w:t>
      </w:r>
      <w:r w:rsidR="003637D7">
        <w:t xml:space="preserve"> application.  Where the International Bureau of WIPO d</w:t>
      </w:r>
      <w:r w:rsidR="0081434F">
        <w:t>isagrees</w:t>
      </w:r>
      <w:r w:rsidR="003637D7">
        <w:t xml:space="preserve"> with the classification of the goods and services listed in a limitation made in an international application, it will issue an irregularity notice, following the procedure set out</w:t>
      </w:r>
      <w:r w:rsidR="00051A19">
        <w:t xml:space="preserve"> in</w:t>
      </w:r>
      <w:r w:rsidR="003637D7">
        <w:t xml:space="preserve"> paragraphs</w:t>
      </w:r>
      <w:r w:rsidR="00183E9E">
        <w:t> (1)(a) and </w:t>
      </w:r>
      <w:r w:rsidR="003637D7">
        <w:t>(2) to</w:t>
      </w:r>
      <w:r w:rsidR="00183E9E">
        <w:t> </w:t>
      </w:r>
      <w:r w:rsidR="003637D7">
        <w:t>(6) of Rule</w:t>
      </w:r>
      <w:r w:rsidR="00183E9E">
        <w:t> </w:t>
      </w:r>
      <w:r w:rsidR="003637D7">
        <w:t xml:space="preserve">12 of the Common Regulations, which apply, </w:t>
      </w:r>
      <w:r w:rsidR="003637D7" w:rsidRPr="00940EDD">
        <w:rPr>
          <w:i/>
        </w:rPr>
        <w:t>mutatis</w:t>
      </w:r>
      <w:r w:rsidR="00F46B19">
        <w:rPr>
          <w:i/>
        </w:rPr>
        <w:t> </w:t>
      </w:r>
      <w:r w:rsidR="003637D7" w:rsidRPr="00940EDD">
        <w:rPr>
          <w:i/>
        </w:rPr>
        <w:t>mutandis</w:t>
      </w:r>
      <w:r w:rsidR="003637D7">
        <w:t>.</w:t>
      </w:r>
      <w:r w:rsidR="00183E9E">
        <w:t xml:space="preserve">  </w:t>
      </w:r>
    </w:p>
    <w:p w:rsidR="00AA647F" w:rsidRDefault="003637D7" w:rsidP="00DA33BD">
      <w:pPr>
        <w:pStyle w:val="ONUME"/>
      </w:pPr>
      <w:r>
        <w:t xml:space="preserve">Where the International Bureau of WIPO cannot </w:t>
      </w:r>
      <w:r w:rsidR="00CE11DD">
        <w:t xml:space="preserve">group the goods and </w:t>
      </w:r>
      <w:r w:rsidR="00026EB0">
        <w:t>services</w:t>
      </w:r>
      <w:r w:rsidR="00CE11DD">
        <w:t xml:space="preserve"> listed in </w:t>
      </w:r>
      <w:r w:rsidR="00026EB0">
        <w:t>the</w:t>
      </w:r>
      <w:r w:rsidR="00CE11DD">
        <w:t xml:space="preserve"> limitation </w:t>
      </w:r>
      <w:r w:rsidR="00962E47">
        <w:t>in</w:t>
      </w:r>
      <w:r w:rsidR="00026EB0">
        <w:t xml:space="preserve"> </w:t>
      </w:r>
      <w:r w:rsidR="008E2D2F">
        <w:t xml:space="preserve">the </w:t>
      </w:r>
      <w:r w:rsidR="00026EB0">
        <w:t xml:space="preserve">classes of the </w:t>
      </w:r>
      <w:r w:rsidR="00183E9E" w:rsidRPr="00183E9E">
        <w:t xml:space="preserve">International Classification of Goods and Services for the Purposes of the Registration of Marks (Nice Classification) </w:t>
      </w:r>
      <w:r w:rsidR="003834F1">
        <w:t>that appear in</w:t>
      </w:r>
      <w:r w:rsidR="00026EB0">
        <w:t xml:space="preserve"> the main list of the international application, either as originally </w:t>
      </w:r>
      <w:r w:rsidR="008E2D2F">
        <w:t>filed</w:t>
      </w:r>
      <w:r w:rsidR="00026EB0">
        <w:t xml:space="preserve"> o</w:t>
      </w:r>
      <w:r w:rsidR="00183E9E">
        <w:t>r as amended according to Rules </w:t>
      </w:r>
      <w:r w:rsidR="00026EB0">
        <w:t>12(1) to</w:t>
      </w:r>
      <w:r w:rsidR="00183E9E">
        <w:t> </w:t>
      </w:r>
      <w:r w:rsidR="00026EB0">
        <w:t>(6)</w:t>
      </w:r>
      <w:r w:rsidR="00AE55AB">
        <w:t xml:space="preserve"> of the Common Regulations</w:t>
      </w:r>
      <w:r w:rsidR="00026EB0">
        <w:t>, and this irregularity is not remedied within three</w:t>
      </w:r>
      <w:r w:rsidR="00183E9E">
        <w:t> </w:t>
      </w:r>
      <w:r w:rsidR="00026EB0">
        <w:t>months</w:t>
      </w:r>
      <w:r w:rsidR="00BD138A">
        <w:t xml:space="preserve">, the limitation shall be deemed not to contain the goods and services </w:t>
      </w:r>
      <w:r w:rsidR="00434125">
        <w:t>affected by the irregularity</w:t>
      </w:r>
      <w:r w:rsidR="00BD138A">
        <w:t>.</w:t>
      </w:r>
      <w:r w:rsidR="00183E9E">
        <w:t xml:space="preserve">  </w:t>
      </w:r>
    </w:p>
    <w:p w:rsidR="003E05CF" w:rsidRPr="00C72FF5" w:rsidRDefault="003E05CF" w:rsidP="00C72FF5">
      <w:pPr>
        <w:rPr>
          <w:i/>
          <w:u w:val="single"/>
        </w:rPr>
      </w:pPr>
      <w:r w:rsidRPr="00C72FF5">
        <w:rPr>
          <w:i/>
          <w:u w:val="single"/>
          <w:lang w:eastAsia="ja-JP"/>
        </w:rPr>
        <w:t xml:space="preserve">New requirement to list the goods and services in a request for the recording of </w:t>
      </w:r>
      <w:r w:rsidR="00FF6E9A">
        <w:rPr>
          <w:i/>
          <w:u w:val="single"/>
          <w:lang w:eastAsia="ja-JP"/>
        </w:rPr>
        <w:t xml:space="preserve">a </w:t>
      </w:r>
      <w:r w:rsidRPr="00C72FF5">
        <w:rPr>
          <w:i/>
          <w:u w:val="single"/>
          <w:lang w:eastAsia="ja-JP"/>
        </w:rPr>
        <w:t>limitation</w:t>
      </w:r>
      <w:r w:rsidR="00085DDD" w:rsidRPr="00C72FF5">
        <w:rPr>
          <w:i/>
          <w:u w:val="single"/>
          <w:lang w:eastAsia="ja-JP"/>
        </w:rPr>
        <w:t xml:space="preserve"> </w:t>
      </w:r>
      <w:r w:rsidRPr="00C72FF5">
        <w:rPr>
          <w:i/>
          <w:u w:val="single"/>
          <w:lang w:eastAsia="ja-JP"/>
        </w:rPr>
        <w:t>according to the numbers of the classes contained in the international registration</w:t>
      </w:r>
      <w:r w:rsidR="000207D6" w:rsidRPr="00C72FF5">
        <w:rPr>
          <w:i/>
          <w:u w:val="single"/>
          <w:lang w:eastAsia="ja-JP"/>
        </w:rPr>
        <w:t xml:space="preserve"> (Rules</w:t>
      </w:r>
      <w:r w:rsidR="00183E9E">
        <w:rPr>
          <w:i/>
          <w:u w:val="single"/>
          <w:lang w:eastAsia="ja-JP"/>
        </w:rPr>
        <w:t> 2</w:t>
      </w:r>
      <w:r w:rsidR="000207D6" w:rsidRPr="00C72FF5">
        <w:rPr>
          <w:i/>
          <w:u w:val="single"/>
          <w:lang w:eastAsia="ja-JP"/>
        </w:rPr>
        <w:t>5</w:t>
      </w:r>
      <w:r w:rsidR="00183E9E">
        <w:rPr>
          <w:i/>
          <w:u w:val="single"/>
          <w:lang w:eastAsia="ja-JP"/>
        </w:rPr>
        <w:t> </w:t>
      </w:r>
      <w:r w:rsidR="000207D6" w:rsidRPr="00C72FF5">
        <w:rPr>
          <w:i/>
          <w:u w:val="single"/>
          <w:lang w:eastAsia="ja-JP"/>
        </w:rPr>
        <w:t>to</w:t>
      </w:r>
      <w:r w:rsidR="00183E9E">
        <w:rPr>
          <w:i/>
          <w:u w:val="single"/>
          <w:lang w:eastAsia="ja-JP"/>
        </w:rPr>
        <w:t> </w:t>
      </w:r>
      <w:r w:rsidR="000207D6" w:rsidRPr="00C72FF5">
        <w:rPr>
          <w:i/>
          <w:u w:val="single"/>
          <w:lang w:eastAsia="ja-JP"/>
        </w:rPr>
        <w:t>27)</w:t>
      </w:r>
    </w:p>
    <w:p w:rsidR="003E05CF" w:rsidRDefault="003E05CF" w:rsidP="003E05CF">
      <w:pPr>
        <w:pStyle w:val="ONUME"/>
        <w:numPr>
          <w:ilvl w:val="0"/>
          <w:numId w:val="0"/>
        </w:numPr>
        <w:spacing w:after="0"/>
        <w:ind w:left="720"/>
      </w:pPr>
    </w:p>
    <w:p w:rsidR="003E05CF" w:rsidRDefault="00EA4E3D" w:rsidP="003E05CF">
      <w:pPr>
        <w:pStyle w:val="ONUME"/>
        <w:rPr>
          <w:lang w:eastAsia="ja-JP"/>
        </w:rPr>
      </w:pPr>
      <w:r>
        <w:rPr>
          <w:lang w:eastAsia="ja-JP"/>
        </w:rPr>
        <w:t>A new paragraph</w:t>
      </w:r>
      <w:r w:rsidR="00183E9E">
        <w:rPr>
          <w:lang w:eastAsia="ja-JP"/>
        </w:rPr>
        <w:t> </w:t>
      </w:r>
      <w:r>
        <w:rPr>
          <w:lang w:eastAsia="ja-JP"/>
        </w:rPr>
        <w:t>(2</w:t>
      </w:r>
      <w:proofErr w:type="gramStart"/>
      <w:r>
        <w:rPr>
          <w:lang w:eastAsia="ja-JP"/>
        </w:rPr>
        <w:t>)(</w:t>
      </w:r>
      <w:proofErr w:type="gramEnd"/>
      <w:r>
        <w:rPr>
          <w:lang w:eastAsia="ja-JP"/>
        </w:rPr>
        <w:t>d) of Rule</w:t>
      </w:r>
      <w:r w:rsidR="00183E9E">
        <w:rPr>
          <w:lang w:eastAsia="ja-JP"/>
        </w:rPr>
        <w:t> </w:t>
      </w:r>
      <w:r>
        <w:rPr>
          <w:lang w:eastAsia="ja-JP"/>
        </w:rPr>
        <w:t xml:space="preserve">25 </w:t>
      </w:r>
      <w:r w:rsidR="00F543C0">
        <w:rPr>
          <w:lang w:eastAsia="ja-JP"/>
        </w:rPr>
        <w:t xml:space="preserve">of the Common Regulations </w:t>
      </w:r>
      <w:r>
        <w:rPr>
          <w:lang w:eastAsia="ja-JP"/>
        </w:rPr>
        <w:t>will require that a request for the recording of a limitation</w:t>
      </w:r>
      <w:r w:rsidR="000207D6">
        <w:rPr>
          <w:lang w:eastAsia="ja-JP"/>
        </w:rPr>
        <w:t xml:space="preserve">, </w:t>
      </w:r>
      <w:r w:rsidR="006D3C1B">
        <w:rPr>
          <w:lang w:eastAsia="ja-JP"/>
        </w:rPr>
        <w:t>presented under paragraph</w:t>
      </w:r>
      <w:r w:rsidR="00183E9E">
        <w:rPr>
          <w:lang w:eastAsia="ja-JP"/>
        </w:rPr>
        <w:t> </w:t>
      </w:r>
      <w:r w:rsidR="006D3C1B">
        <w:rPr>
          <w:lang w:eastAsia="ja-JP"/>
        </w:rPr>
        <w:t>(1)(a)(ii)</w:t>
      </w:r>
      <w:r w:rsidR="000207D6">
        <w:rPr>
          <w:lang w:eastAsia="ja-JP"/>
        </w:rPr>
        <w:t>,</w:t>
      </w:r>
      <w:r w:rsidR="006D3C1B">
        <w:rPr>
          <w:lang w:eastAsia="ja-JP"/>
        </w:rPr>
        <w:t xml:space="preserve"> group the limited list of goods and services only </w:t>
      </w:r>
      <w:r w:rsidR="0003752D">
        <w:rPr>
          <w:lang w:eastAsia="ja-JP"/>
        </w:rPr>
        <w:t>in</w:t>
      </w:r>
      <w:r w:rsidR="006D3C1B">
        <w:rPr>
          <w:lang w:eastAsia="ja-JP"/>
        </w:rPr>
        <w:t xml:space="preserve"> the corresponding classes of the Nice Classification appearing in the </w:t>
      </w:r>
      <w:r w:rsidR="000207D6">
        <w:rPr>
          <w:lang w:eastAsia="ja-JP"/>
        </w:rPr>
        <w:t xml:space="preserve">main list of the </w:t>
      </w:r>
      <w:r w:rsidR="006D3C1B">
        <w:rPr>
          <w:lang w:eastAsia="ja-JP"/>
        </w:rPr>
        <w:t xml:space="preserve">international registration or, where applicable, indicate the classes to be deleted.  </w:t>
      </w:r>
    </w:p>
    <w:p w:rsidR="006D3C1B" w:rsidRDefault="00CF4469" w:rsidP="003E05CF">
      <w:pPr>
        <w:pStyle w:val="ONUME"/>
        <w:rPr>
          <w:lang w:eastAsia="ja-JP"/>
        </w:rPr>
      </w:pPr>
      <w:r>
        <w:rPr>
          <w:lang w:eastAsia="ja-JP"/>
        </w:rPr>
        <w:t>In addition, an amended Rule</w:t>
      </w:r>
      <w:r w:rsidR="00183E9E">
        <w:rPr>
          <w:lang w:eastAsia="ja-JP"/>
        </w:rPr>
        <w:t> </w:t>
      </w:r>
      <w:r>
        <w:rPr>
          <w:lang w:eastAsia="ja-JP"/>
        </w:rPr>
        <w:t xml:space="preserve">26(1) </w:t>
      </w:r>
      <w:r w:rsidR="00323A37">
        <w:rPr>
          <w:lang w:eastAsia="ja-JP"/>
        </w:rPr>
        <w:t xml:space="preserve">of the Common Regulations </w:t>
      </w:r>
      <w:r>
        <w:rPr>
          <w:lang w:eastAsia="ja-JP"/>
        </w:rPr>
        <w:t xml:space="preserve">will specify that the International Bureau of WIPO must examine requests for the recording of a limitation to determine whether the numbers of the classes indicated in that request correspond to the numbers of the classes </w:t>
      </w:r>
      <w:r w:rsidR="0003752D">
        <w:rPr>
          <w:lang w:eastAsia="ja-JP"/>
        </w:rPr>
        <w:t xml:space="preserve">in the international registration.  </w:t>
      </w:r>
    </w:p>
    <w:p w:rsidR="006359EF" w:rsidRDefault="0081434F" w:rsidP="00F46B19">
      <w:pPr>
        <w:pStyle w:val="ONUME"/>
        <w:keepNext/>
        <w:keepLines/>
        <w:rPr>
          <w:lang w:eastAsia="ja-JP"/>
        </w:rPr>
      </w:pPr>
      <w:r>
        <w:rPr>
          <w:lang w:eastAsia="ja-JP"/>
        </w:rPr>
        <w:lastRenderedPageBreak/>
        <w:t xml:space="preserve">Consequently, the International Bureau </w:t>
      </w:r>
      <w:r w:rsidR="00A017AF">
        <w:rPr>
          <w:lang w:eastAsia="ja-JP"/>
        </w:rPr>
        <w:t>cannot</w:t>
      </w:r>
      <w:r w:rsidR="00BF1C76">
        <w:rPr>
          <w:lang w:eastAsia="ja-JP"/>
        </w:rPr>
        <w:t xml:space="preserve"> </w:t>
      </w:r>
      <w:r w:rsidR="006359EF">
        <w:rPr>
          <w:lang w:eastAsia="ja-JP"/>
        </w:rPr>
        <w:t xml:space="preserve">examine </w:t>
      </w:r>
      <w:r>
        <w:rPr>
          <w:lang w:eastAsia="ja-JP"/>
        </w:rPr>
        <w:t>a request presented under Rule</w:t>
      </w:r>
      <w:r w:rsidR="00F46B19">
        <w:rPr>
          <w:lang w:eastAsia="ja-JP"/>
        </w:rPr>
        <w:t> </w:t>
      </w:r>
      <w:r>
        <w:rPr>
          <w:lang w:eastAsia="ja-JP"/>
        </w:rPr>
        <w:t>25(1</w:t>
      </w:r>
      <w:proofErr w:type="gramStart"/>
      <w:r>
        <w:rPr>
          <w:lang w:eastAsia="ja-JP"/>
        </w:rPr>
        <w:t>)(</w:t>
      </w:r>
      <w:proofErr w:type="gramEnd"/>
      <w:r>
        <w:rPr>
          <w:lang w:eastAsia="ja-JP"/>
        </w:rPr>
        <w:t>a)(ii) of the Common Regulations</w:t>
      </w:r>
      <w:r w:rsidR="006359EF">
        <w:rPr>
          <w:lang w:eastAsia="ja-JP"/>
        </w:rPr>
        <w:t xml:space="preserve"> to confirm that the goods and services in the limited list are properly classified nor to determine whether that limited list falls within the scope of protection </w:t>
      </w:r>
      <w:r w:rsidR="00323A37">
        <w:rPr>
          <w:lang w:eastAsia="ja-JP"/>
        </w:rPr>
        <w:t>i</w:t>
      </w:r>
      <w:r w:rsidR="006359EF">
        <w:rPr>
          <w:lang w:eastAsia="ja-JP"/>
        </w:rPr>
        <w:t>n the designated Contracting Parties concerned with the recording.</w:t>
      </w:r>
    </w:p>
    <w:p w:rsidR="006359EF" w:rsidRDefault="0081434F" w:rsidP="003E05CF">
      <w:pPr>
        <w:pStyle w:val="ONUME"/>
        <w:rPr>
          <w:lang w:eastAsia="ja-JP"/>
        </w:rPr>
      </w:pPr>
      <w:r>
        <w:rPr>
          <w:lang w:eastAsia="ja-JP"/>
        </w:rPr>
        <w:t>Nonetheless, u</w:t>
      </w:r>
      <w:r w:rsidR="00183E9E">
        <w:rPr>
          <w:lang w:eastAsia="ja-JP"/>
        </w:rPr>
        <w:t>nder Rule </w:t>
      </w:r>
      <w:r w:rsidR="00BF1C76">
        <w:rPr>
          <w:lang w:eastAsia="ja-JP"/>
        </w:rPr>
        <w:t>27(</w:t>
      </w:r>
      <w:r w:rsidR="00C82EDC">
        <w:rPr>
          <w:lang w:eastAsia="ja-JP"/>
        </w:rPr>
        <w:t>5</w:t>
      </w:r>
      <w:r w:rsidR="00BF1C76">
        <w:rPr>
          <w:lang w:eastAsia="ja-JP"/>
        </w:rPr>
        <w:t>)</w:t>
      </w:r>
      <w:r w:rsidR="000207D6">
        <w:rPr>
          <w:lang w:eastAsia="ja-JP"/>
        </w:rPr>
        <w:t xml:space="preserve"> of the Common Regulations</w:t>
      </w:r>
      <w:r w:rsidR="00BF1C76">
        <w:rPr>
          <w:lang w:eastAsia="ja-JP"/>
        </w:rPr>
        <w:t xml:space="preserve">, the Offices of the designated Contracting Parties notified </w:t>
      </w:r>
      <w:r w:rsidR="00B577E1">
        <w:rPr>
          <w:lang w:eastAsia="ja-JP"/>
        </w:rPr>
        <w:t xml:space="preserve">of </w:t>
      </w:r>
      <w:r w:rsidR="00BF1C76">
        <w:rPr>
          <w:lang w:eastAsia="ja-JP"/>
        </w:rPr>
        <w:t xml:space="preserve">the recording of a limitation can examine the limited list and may declare that such limitation has no effect </w:t>
      </w:r>
      <w:r w:rsidR="006C1666">
        <w:rPr>
          <w:lang w:eastAsia="ja-JP"/>
        </w:rPr>
        <w:t>when, for example, the Office considers that such list falls outside the scope of protecti</w:t>
      </w:r>
      <w:r w:rsidR="00323A37">
        <w:rPr>
          <w:lang w:eastAsia="ja-JP"/>
        </w:rPr>
        <w:t>on</w:t>
      </w:r>
      <w:r w:rsidR="006C1666">
        <w:rPr>
          <w:lang w:eastAsia="ja-JP"/>
        </w:rPr>
        <w:t xml:space="preserve"> in the Contracting Party concerned. </w:t>
      </w:r>
      <w:r w:rsidR="00F46B19">
        <w:rPr>
          <w:lang w:eastAsia="ja-JP"/>
        </w:rPr>
        <w:t xml:space="preserve"> </w:t>
      </w:r>
    </w:p>
    <w:p w:rsidR="00AB74E9" w:rsidRPr="00C72FF5" w:rsidRDefault="003E05CF" w:rsidP="00C72FF5">
      <w:pPr>
        <w:pStyle w:val="ONUME"/>
        <w:numPr>
          <w:ilvl w:val="0"/>
          <w:numId w:val="0"/>
        </w:numPr>
        <w:spacing w:after="0"/>
        <w:rPr>
          <w:i/>
          <w:u w:val="single"/>
        </w:rPr>
      </w:pPr>
      <w:r w:rsidRPr="00C72FF5">
        <w:rPr>
          <w:i/>
          <w:u w:val="single"/>
          <w:lang w:eastAsia="ja-JP"/>
        </w:rPr>
        <w:t>New recording to introduce in the international registration indications concerning the legal nature of the holder or to change those indications</w:t>
      </w:r>
      <w:r w:rsidR="000207D6" w:rsidRPr="00C72FF5">
        <w:rPr>
          <w:i/>
          <w:u w:val="single"/>
          <w:lang w:eastAsia="ja-JP"/>
        </w:rPr>
        <w:t xml:space="preserve"> (Rules</w:t>
      </w:r>
      <w:r w:rsidR="00183E9E">
        <w:rPr>
          <w:i/>
          <w:u w:val="single"/>
          <w:lang w:eastAsia="ja-JP"/>
        </w:rPr>
        <w:t> </w:t>
      </w:r>
      <w:r w:rsidR="000207D6" w:rsidRPr="00C72FF5">
        <w:rPr>
          <w:i/>
          <w:u w:val="single"/>
          <w:lang w:eastAsia="ja-JP"/>
        </w:rPr>
        <w:t>25 to</w:t>
      </w:r>
      <w:r w:rsidR="00183E9E">
        <w:rPr>
          <w:i/>
          <w:u w:val="single"/>
          <w:lang w:eastAsia="ja-JP"/>
        </w:rPr>
        <w:t> </w:t>
      </w:r>
      <w:r w:rsidR="000207D6" w:rsidRPr="00C72FF5">
        <w:rPr>
          <w:i/>
          <w:u w:val="single"/>
          <w:lang w:eastAsia="ja-JP"/>
        </w:rPr>
        <w:t>27, 32 and item</w:t>
      </w:r>
      <w:r w:rsidR="00183E9E">
        <w:rPr>
          <w:i/>
          <w:u w:val="single"/>
          <w:lang w:eastAsia="ja-JP"/>
        </w:rPr>
        <w:t> </w:t>
      </w:r>
      <w:r w:rsidR="000207D6" w:rsidRPr="00C72FF5">
        <w:rPr>
          <w:i/>
          <w:u w:val="single"/>
          <w:lang w:eastAsia="ja-JP"/>
        </w:rPr>
        <w:t>7.4 of the Schedule of Fees)</w:t>
      </w:r>
    </w:p>
    <w:p w:rsidR="00F11008" w:rsidRDefault="00F11008" w:rsidP="00AB74E9">
      <w:pPr>
        <w:pStyle w:val="ONUME"/>
        <w:numPr>
          <w:ilvl w:val="0"/>
          <w:numId w:val="0"/>
        </w:numPr>
        <w:spacing w:after="0"/>
      </w:pPr>
    </w:p>
    <w:p w:rsidR="005233C3" w:rsidRDefault="005233C3" w:rsidP="003E05CF">
      <w:pPr>
        <w:pStyle w:val="ONUME"/>
      </w:pPr>
      <w:r>
        <w:t>Under Rule</w:t>
      </w:r>
      <w:r w:rsidR="00183E9E">
        <w:t> </w:t>
      </w:r>
      <w:r>
        <w:t>9(4</w:t>
      </w:r>
      <w:proofErr w:type="gramStart"/>
      <w:r>
        <w:t>)(</w:t>
      </w:r>
      <w:proofErr w:type="gramEnd"/>
      <w:r>
        <w:t>b)(ii)</w:t>
      </w:r>
      <w:r w:rsidR="000B7069">
        <w:t xml:space="preserve"> of the Common Regulations</w:t>
      </w:r>
      <w:r>
        <w:t xml:space="preserve">, when the applicant is a legal entity, it can </w:t>
      </w:r>
      <w:r w:rsidR="00BA17E2">
        <w:t>include</w:t>
      </w:r>
      <w:r>
        <w:t xml:space="preserve"> in the international application indications regarding its legal nature and the State</w:t>
      </w:r>
      <w:r w:rsidR="00BA17E2">
        <w:t>, and, where applicable, the territorial unit within that State,</w:t>
      </w:r>
      <w:r>
        <w:t xml:space="preserve"> under the laws of which it has been organized.  In addition, under Rule 24(3</w:t>
      </w:r>
      <w:proofErr w:type="gramStart"/>
      <w:r>
        <w:t>)(</w:t>
      </w:r>
      <w:proofErr w:type="gramEnd"/>
      <w:r>
        <w:t>c)(i)</w:t>
      </w:r>
      <w:r w:rsidR="00B955CC">
        <w:t xml:space="preserve"> of the Common Regulations</w:t>
      </w:r>
      <w:r>
        <w:t xml:space="preserve">, the holder can also include these indications in a subsequent designation. </w:t>
      </w:r>
      <w:r w:rsidR="00183E9E">
        <w:t xml:space="preserve"> </w:t>
      </w:r>
    </w:p>
    <w:p w:rsidR="003E05CF" w:rsidRDefault="005233C3" w:rsidP="003E05CF">
      <w:pPr>
        <w:pStyle w:val="ONUME"/>
      </w:pPr>
      <w:r>
        <w:t>An amended paragraph</w:t>
      </w:r>
      <w:r w:rsidR="00183E9E">
        <w:t> </w:t>
      </w:r>
      <w:r>
        <w:t>(1)(a)(iv) of Rule</w:t>
      </w:r>
      <w:r w:rsidR="00183E9E">
        <w:t> </w:t>
      </w:r>
      <w:r>
        <w:t>25</w:t>
      </w:r>
      <w:r w:rsidR="00231451">
        <w:t xml:space="preserve"> and consequential amendments to Rules</w:t>
      </w:r>
      <w:r w:rsidR="00183E9E">
        <w:t> 27 and </w:t>
      </w:r>
      <w:r w:rsidR="00231451">
        <w:t>32</w:t>
      </w:r>
      <w:r>
        <w:t xml:space="preserve"> </w:t>
      </w:r>
      <w:r w:rsidR="00B955CC">
        <w:t xml:space="preserve">of the Common Regulations </w:t>
      </w:r>
      <w:r>
        <w:t>will allow hold</w:t>
      </w:r>
      <w:r w:rsidR="00BA17E2">
        <w:t xml:space="preserve">ers to request a recording to either introduce indications concerning their legal nature or to change those indications once they have been recorded.  </w:t>
      </w:r>
    </w:p>
    <w:p w:rsidR="00CC3109" w:rsidRDefault="000207D6" w:rsidP="003E05CF">
      <w:pPr>
        <w:pStyle w:val="ONUME"/>
      </w:pPr>
      <w:r>
        <w:t>H</w:t>
      </w:r>
      <w:r w:rsidR="00EE65D4">
        <w:t>olders will be able to present in one</w:t>
      </w:r>
      <w:r w:rsidR="00183E9E">
        <w:t> </w:t>
      </w:r>
      <w:r w:rsidR="00EE65D4">
        <w:t>official form</w:t>
      </w:r>
      <w:r>
        <w:t xml:space="preserve"> (MM9) </w:t>
      </w:r>
      <w:r w:rsidR="00EE65D4">
        <w:t xml:space="preserve">a request for the recording of a change in </w:t>
      </w:r>
      <w:r w:rsidR="00347934">
        <w:t xml:space="preserve">their </w:t>
      </w:r>
      <w:r w:rsidR="00EE65D4">
        <w:t xml:space="preserve">name, a change in </w:t>
      </w:r>
      <w:r w:rsidR="00347934">
        <w:t xml:space="preserve">their </w:t>
      </w:r>
      <w:r w:rsidR="00EE65D4">
        <w:t xml:space="preserve">address, </w:t>
      </w:r>
      <w:r w:rsidR="00347934">
        <w:t>to introduce or change indications concerning</w:t>
      </w:r>
      <w:r w:rsidR="00EE65D4">
        <w:t xml:space="preserve"> their legal nature or any combination therefrom.  </w:t>
      </w:r>
    </w:p>
    <w:p w:rsidR="00347934" w:rsidRDefault="00C20E53" w:rsidP="003E05CF">
      <w:pPr>
        <w:pStyle w:val="ONUME"/>
      </w:pPr>
      <w:r>
        <w:t>A consequential amendment to Item</w:t>
      </w:r>
      <w:r w:rsidR="00183E9E">
        <w:t> </w:t>
      </w:r>
      <w:r>
        <w:t xml:space="preserve">7.4 of the Schedule of </w:t>
      </w:r>
      <w:r w:rsidR="000207D6">
        <w:t>F</w:t>
      </w:r>
      <w:r>
        <w:t>ees specifies that the amount due for</w:t>
      </w:r>
      <w:r w:rsidR="00183E9E">
        <w:t xml:space="preserve"> a request presented under Rule </w:t>
      </w:r>
      <w:r>
        <w:t xml:space="preserve">25(1)(a)(iv) </w:t>
      </w:r>
      <w:r w:rsidR="00D45E96">
        <w:t xml:space="preserve">of the Common Regulations </w:t>
      </w:r>
      <w:r>
        <w:t>for one</w:t>
      </w:r>
      <w:r w:rsidR="00183E9E">
        <w:t> </w:t>
      </w:r>
      <w:r>
        <w:t>or more international registrations remains 150</w:t>
      </w:r>
      <w:r w:rsidR="00183E9E">
        <w:t> </w:t>
      </w:r>
      <w:r>
        <w:t xml:space="preserve">Swiss francs, provided the same recording or change is requested in the same form.  </w:t>
      </w:r>
    </w:p>
    <w:p w:rsidR="00CC3109" w:rsidRDefault="00CC3109" w:rsidP="00CC3109">
      <w:pPr>
        <w:pStyle w:val="ONUME"/>
      </w:pPr>
      <w:r>
        <w:t xml:space="preserve">The amended text of the Common Regulations and form MM9 are reproduced in Annexes I and II.  </w:t>
      </w:r>
    </w:p>
    <w:p w:rsidR="00183E9E" w:rsidRDefault="00183E9E" w:rsidP="00183E9E">
      <w:pPr>
        <w:pStyle w:val="ONUME"/>
        <w:numPr>
          <w:ilvl w:val="0"/>
          <w:numId w:val="0"/>
        </w:numPr>
      </w:pPr>
    </w:p>
    <w:p w:rsidR="00E600D3" w:rsidRDefault="0082544E" w:rsidP="00F87C3E">
      <w:pPr>
        <w:pStyle w:val="Endofdocument-Annex"/>
      </w:pPr>
      <w:r>
        <w:rPr>
          <w:lang w:eastAsia="ja-JP"/>
        </w:rPr>
        <w:t>June 12</w:t>
      </w:r>
      <w:r w:rsidR="00CA4166">
        <w:t xml:space="preserve">, </w:t>
      </w:r>
      <w:r w:rsidR="00751EEE">
        <w:t>2017</w:t>
      </w:r>
    </w:p>
    <w:p w:rsidR="00E600D3" w:rsidRDefault="00E600D3" w:rsidP="00F87C3E">
      <w:pPr>
        <w:pStyle w:val="Endofdocument-Annex"/>
        <w:sectPr w:rsidR="00E600D3" w:rsidSect="003C2450">
          <w:headerReference w:type="default" r:id="rId10"/>
          <w:endnotePr>
            <w:numFmt w:val="decimal"/>
          </w:endnotePr>
          <w:pgSz w:w="11907" w:h="16840" w:code="9"/>
          <w:pgMar w:top="567" w:right="1134" w:bottom="851" w:left="1418" w:header="510" w:footer="1021" w:gutter="0"/>
          <w:cols w:space="720"/>
          <w:titlePg/>
        </w:sectPr>
      </w:pPr>
    </w:p>
    <w:p w:rsidR="00E600D3" w:rsidRDefault="00E600D3" w:rsidP="00E600D3">
      <w:pPr>
        <w:pStyle w:val="Heading1"/>
      </w:pPr>
      <w:r>
        <w:lastRenderedPageBreak/>
        <w:t>AMENDMENTS TO THE COMMON REGULATIONS UNDER THE MADRID AGREEMENT CONCERNING THE INTERNATIONAL REGISTRATION OF MARKS AND THE PROTOCOL RELATING TO THAT AGREEMENT</w:t>
      </w:r>
    </w:p>
    <w:p w:rsidR="00E600D3" w:rsidRDefault="00E600D3" w:rsidP="00E600D3"/>
    <w:p w:rsidR="00E600D3" w:rsidRPr="009A5AB4" w:rsidRDefault="00E600D3" w:rsidP="00E600D3">
      <w:r w:rsidRPr="009A5AB4">
        <w:rPr>
          <w:szCs w:val="24"/>
        </w:rPr>
        <w:t>Adopted on October 11, 2016, by the Assembly of the</w:t>
      </w:r>
      <w:r w:rsidRPr="009A5AB4">
        <w:rPr>
          <w:rFonts w:ascii="Arial,Bold" w:eastAsia="Times New Roman" w:hAnsi="Arial,Bold" w:cs="Arial,Bold"/>
          <w:bCs/>
          <w:sz w:val="26"/>
          <w:szCs w:val="26"/>
          <w:lang w:eastAsia="en-US"/>
        </w:rPr>
        <w:t xml:space="preserve"> </w:t>
      </w:r>
      <w:r w:rsidRPr="009A5AB4">
        <w:rPr>
          <w:bCs/>
          <w:szCs w:val="24"/>
        </w:rPr>
        <w:t>Special Union for the International Registration of Marks (Madrid Union)</w:t>
      </w:r>
      <w:r w:rsidRPr="009A5AB4">
        <w:rPr>
          <w:szCs w:val="24"/>
        </w:rPr>
        <w:t xml:space="preserve"> at its Fiftieth (29</w:t>
      </w:r>
      <w:r w:rsidRPr="009A5AB4">
        <w:rPr>
          <w:szCs w:val="24"/>
          <w:vertAlign w:val="superscript"/>
        </w:rPr>
        <w:t>th</w:t>
      </w:r>
      <w:r w:rsidRPr="009A5AB4">
        <w:rPr>
          <w:szCs w:val="24"/>
        </w:rPr>
        <w:t xml:space="preserve"> Extraordinary) Session, held from October 3 to 11, 2016, with effect from July 1, 2017</w:t>
      </w:r>
    </w:p>
    <w:p w:rsidR="00E600D3" w:rsidRDefault="00E600D3" w:rsidP="00E600D3"/>
    <w:p w:rsidR="00E600D3" w:rsidRDefault="00E600D3" w:rsidP="00E600D3"/>
    <w:p w:rsidR="00E600D3" w:rsidRPr="00371F63" w:rsidRDefault="00E600D3" w:rsidP="00E600D3">
      <w:pPr>
        <w:jc w:val="center"/>
        <w:rPr>
          <w:lang w:eastAsia="en-US"/>
        </w:rPr>
      </w:pPr>
      <w:r w:rsidRPr="00371F63">
        <w:rPr>
          <w:b/>
          <w:lang w:eastAsia="en-US"/>
        </w:rPr>
        <w:t>Common Regulations under</w:t>
      </w:r>
      <w:r w:rsidRPr="00371F63">
        <w:rPr>
          <w:b/>
          <w:lang w:eastAsia="en-US"/>
        </w:rPr>
        <w:br/>
        <w:t>the Madrid Agreement Concerning</w:t>
      </w:r>
      <w:r w:rsidRPr="00371F63">
        <w:rPr>
          <w:b/>
          <w:lang w:eastAsia="en-US"/>
        </w:rPr>
        <w:br/>
        <w:t>the International Registration of Marks</w:t>
      </w:r>
      <w:r w:rsidRPr="00371F63">
        <w:rPr>
          <w:b/>
          <w:lang w:eastAsia="en-US"/>
        </w:rPr>
        <w:br/>
        <w:t>and the Protocol Relating to that Agreement</w:t>
      </w:r>
      <w:r w:rsidRPr="00371F63">
        <w:rPr>
          <w:b/>
          <w:lang w:eastAsia="en-US"/>
        </w:rPr>
        <w:br/>
      </w:r>
    </w:p>
    <w:p w:rsidR="00E600D3" w:rsidRPr="00371F63" w:rsidRDefault="00E600D3" w:rsidP="00E600D3">
      <w:pPr>
        <w:jc w:val="center"/>
        <w:rPr>
          <w:lang w:eastAsia="en-US"/>
        </w:rPr>
      </w:pPr>
      <w:r w:rsidRPr="00371F63">
        <w:rPr>
          <w:lang w:eastAsia="en-US"/>
        </w:rPr>
        <w:t>(</w:t>
      </w:r>
      <w:proofErr w:type="gramStart"/>
      <w:r w:rsidRPr="00371F63">
        <w:rPr>
          <w:lang w:eastAsia="en-US"/>
        </w:rPr>
        <w:t>as</w:t>
      </w:r>
      <w:proofErr w:type="gramEnd"/>
      <w:r w:rsidRPr="00371F63">
        <w:rPr>
          <w:lang w:eastAsia="en-US"/>
        </w:rPr>
        <w:t xml:space="preserve"> in force on July 1, 2017)</w:t>
      </w:r>
    </w:p>
    <w:p w:rsidR="00E600D3" w:rsidRPr="00371F63" w:rsidRDefault="00E600D3" w:rsidP="00E600D3">
      <w:pPr>
        <w:jc w:val="center"/>
        <w:rPr>
          <w:lang w:eastAsia="en-US"/>
        </w:rPr>
      </w:pPr>
    </w:p>
    <w:p w:rsidR="00E600D3" w:rsidRPr="00371F63" w:rsidRDefault="00E600D3" w:rsidP="00E600D3">
      <w:pPr>
        <w:jc w:val="center"/>
        <w:rPr>
          <w:lang w:eastAsia="en-US"/>
        </w:rPr>
      </w:pPr>
      <w:r w:rsidRPr="00371F63">
        <w:rPr>
          <w:lang w:eastAsia="en-US"/>
        </w:rPr>
        <w:t>[…]</w:t>
      </w:r>
    </w:p>
    <w:p w:rsidR="00E600D3" w:rsidRPr="00371F63" w:rsidRDefault="00E600D3" w:rsidP="00E600D3">
      <w:pPr>
        <w:jc w:val="center"/>
        <w:rPr>
          <w:lang w:eastAsia="en-US"/>
        </w:rPr>
      </w:pPr>
    </w:p>
    <w:p w:rsidR="00E600D3" w:rsidRPr="00371F63" w:rsidRDefault="00E600D3" w:rsidP="00E600D3">
      <w:pPr>
        <w:jc w:val="center"/>
        <w:rPr>
          <w:b/>
          <w:lang w:eastAsia="en-US"/>
        </w:rPr>
      </w:pPr>
      <w:r w:rsidRPr="00371F63">
        <w:rPr>
          <w:b/>
          <w:lang w:eastAsia="en-US"/>
        </w:rPr>
        <w:t>Chapter 2</w:t>
      </w:r>
    </w:p>
    <w:p w:rsidR="00E600D3" w:rsidRPr="00371F63" w:rsidRDefault="00E600D3" w:rsidP="00E600D3">
      <w:pPr>
        <w:jc w:val="center"/>
        <w:rPr>
          <w:b/>
          <w:lang w:eastAsia="en-US"/>
        </w:rPr>
      </w:pPr>
      <w:r w:rsidRPr="00371F63">
        <w:rPr>
          <w:b/>
          <w:lang w:eastAsia="en-US"/>
        </w:rPr>
        <w:t>International Applications</w:t>
      </w:r>
    </w:p>
    <w:p w:rsidR="00E600D3" w:rsidRPr="00371F63" w:rsidRDefault="00E600D3" w:rsidP="00E600D3">
      <w:pPr>
        <w:jc w:val="center"/>
        <w:rPr>
          <w:lang w:eastAsia="en-US"/>
        </w:rPr>
      </w:pPr>
    </w:p>
    <w:p w:rsidR="00E600D3" w:rsidRPr="00371F63" w:rsidRDefault="00E600D3" w:rsidP="00E600D3">
      <w:pPr>
        <w:jc w:val="center"/>
        <w:rPr>
          <w:lang w:eastAsia="en-US"/>
        </w:rPr>
      </w:pPr>
      <w:r w:rsidRPr="00371F63">
        <w:rPr>
          <w:lang w:eastAsia="en-US"/>
        </w:rPr>
        <w:t>[…]</w:t>
      </w:r>
    </w:p>
    <w:p w:rsidR="00E600D3" w:rsidRPr="00371F63" w:rsidRDefault="00E600D3" w:rsidP="00E600D3">
      <w:pPr>
        <w:jc w:val="center"/>
        <w:rPr>
          <w:b/>
          <w:lang w:eastAsia="en-US"/>
        </w:rPr>
      </w:pPr>
    </w:p>
    <w:p w:rsidR="00E600D3" w:rsidRPr="00371F63" w:rsidRDefault="00E600D3" w:rsidP="00E600D3">
      <w:pPr>
        <w:jc w:val="center"/>
        <w:rPr>
          <w:i/>
          <w:lang w:eastAsia="en-US"/>
        </w:rPr>
      </w:pPr>
      <w:r w:rsidRPr="00371F63">
        <w:rPr>
          <w:i/>
          <w:lang w:eastAsia="en-US"/>
        </w:rPr>
        <w:t>Rule 12</w:t>
      </w:r>
    </w:p>
    <w:p w:rsidR="00E600D3" w:rsidRPr="00371F63" w:rsidRDefault="00E600D3" w:rsidP="00E600D3">
      <w:pPr>
        <w:jc w:val="center"/>
        <w:rPr>
          <w:i/>
          <w:lang w:eastAsia="en-US"/>
        </w:rPr>
      </w:pPr>
      <w:r w:rsidRPr="00371F63">
        <w:rPr>
          <w:i/>
          <w:lang w:eastAsia="en-US"/>
        </w:rPr>
        <w:t>Irregularities With Respect to the</w:t>
      </w:r>
    </w:p>
    <w:p w:rsidR="00E600D3" w:rsidRPr="00371F63" w:rsidRDefault="00E600D3" w:rsidP="00E600D3">
      <w:pPr>
        <w:jc w:val="center"/>
        <w:rPr>
          <w:i/>
          <w:lang w:eastAsia="en-US"/>
        </w:rPr>
      </w:pPr>
      <w:r w:rsidRPr="00371F63">
        <w:rPr>
          <w:i/>
          <w:lang w:eastAsia="en-US"/>
        </w:rPr>
        <w:t>Classification of Goods and Services</w:t>
      </w:r>
    </w:p>
    <w:p w:rsidR="00E600D3" w:rsidRPr="00371F63" w:rsidRDefault="00E600D3" w:rsidP="00E600D3">
      <w:pPr>
        <w:jc w:val="center"/>
        <w:rPr>
          <w:b/>
          <w:lang w:eastAsia="en-US"/>
        </w:rPr>
      </w:pPr>
    </w:p>
    <w:p w:rsidR="00E600D3" w:rsidRPr="00371F63" w:rsidRDefault="00E600D3" w:rsidP="00E600D3">
      <w:pPr>
        <w:tabs>
          <w:tab w:val="left" w:pos="567"/>
        </w:tabs>
        <w:rPr>
          <w:lang w:eastAsia="en-US"/>
        </w:rPr>
      </w:pPr>
      <w:r w:rsidRPr="00371F63">
        <w:rPr>
          <w:lang w:eastAsia="en-US"/>
        </w:rPr>
        <w:tab/>
        <w:t>[…]</w:t>
      </w:r>
    </w:p>
    <w:p w:rsidR="00E600D3" w:rsidRPr="00371F63" w:rsidRDefault="00E600D3" w:rsidP="00E600D3">
      <w:pPr>
        <w:rPr>
          <w:lang w:eastAsia="en-US"/>
        </w:rPr>
      </w:pPr>
    </w:p>
    <w:p w:rsidR="00E600D3" w:rsidRPr="00371F63" w:rsidRDefault="00E600D3" w:rsidP="00E600D3">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eastAsia="en-US"/>
        </w:rPr>
      </w:pPr>
      <w:r w:rsidRPr="00371F63">
        <w:rPr>
          <w:rFonts w:ascii="Times New Roman" w:eastAsia="Times New Roman" w:hAnsi="Times New Roman" w:cs="Times New Roman"/>
          <w:sz w:val="30"/>
          <w:szCs w:val="30"/>
          <w:lang w:eastAsia="en-US"/>
        </w:rPr>
        <w:tab/>
      </w:r>
      <w:r w:rsidRPr="00371F63">
        <w:rPr>
          <w:rFonts w:eastAsia="Times New Roman"/>
          <w:szCs w:val="22"/>
          <w:lang w:eastAsia="en-US"/>
        </w:rPr>
        <w:t>(8</w:t>
      </w:r>
      <w:r w:rsidRPr="00371F63">
        <w:rPr>
          <w:rFonts w:eastAsia="Times New Roman"/>
          <w:i/>
          <w:szCs w:val="22"/>
          <w:lang w:eastAsia="en-US"/>
        </w:rPr>
        <w:t>bis</w:t>
      </w:r>
      <w:r w:rsidRPr="00371F63">
        <w:rPr>
          <w:rFonts w:eastAsia="Times New Roman"/>
          <w:szCs w:val="22"/>
          <w:lang w:eastAsia="en-US"/>
        </w:rPr>
        <w:t>)  </w:t>
      </w:r>
      <w:r w:rsidRPr="00371F63">
        <w:rPr>
          <w:rFonts w:eastAsia="Times New Roman"/>
          <w:i/>
          <w:szCs w:val="22"/>
          <w:lang w:eastAsia="en-US"/>
        </w:rPr>
        <w:t>[Examination of Limitations]</w:t>
      </w:r>
      <w:proofErr w:type="gramStart"/>
      <w:r w:rsidRPr="00371F63">
        <w:rPr>
          <w:rFonts w:eastAsia="Times New Roman"/>
          <w:i/>
          <w:szCs w:val="22"/>
          <w:lang w:eastAsia="en-US"/>
        </w:rPr>
        <w:t>  </w:t>
      </w:r>
      <w:r w:rsidRPr="00371F63">
        <w:rPr>
          <w:rFonts w:eastAsia="Times New Roman"/>
          <w:szCs w:val="22"/>
          <w:lang w:eastAsia="en-US"/>
        </w:rPr>
        <w:t>The</w:t>
      </w:r>
      <w:proofErr w:type="gramEnd"/>
      <w:r w:rsidRPr="00371F63">
        <w:rPr>
          <w:rFonts w:eastAsia="Times New Roman"/>
          <w:szCs w:val="22"/>
          <w:lang w:eastAsia="en-US"/>
        </w:rPr>
        <w:t xml:space="preserve"> International Bureau shall examine limitations contained in an international application, applying paragraphs (1)(a) and (2) to (6) </w:t>
      </w:r>
      <w:r w:rsidRPr="00371F63">
        <w:rPr>
          <w:rFonts w:eastAsia="Times New Roman"/>
          <w:i/>
          <w:szCs w:val="22"/>
          <w:lang w:eastAsia="en-US"/>
        </w:rPr>
        <w:t>mutatis mutandis</w:t>
      </w:r>
      <w:r w:rsidRPr="00371F63">
        <w:rPr>
          <w:rFonts w:eastAsia="Times New Roman"/>
          <w:szCs w:val="22"/>
          <w:lang w:eastAsia="en-US"/>
        </w:rPr>
        <w:t xml:space="preserve">.  Where the International Bureau cannot group the goods and services listed in the limitation under the classes of the International Classification of Goods and Services listed in the international application concerned, as amended pursuant to paragraphs (1) to (6), as the case may be, it shall issue an irregularity.  Where the irregularity is not remedied within three months from the date of the notification of the irregularity, the limitation shall be deemed not to contain the goods and services concerned.  </w:t>
      </w:r>
    </w:p>
    <w:p w:rsidR="00E600D3" w:rsidRPr="00371F63" w:rsidRDefault="00E600D3" w:rsidP="00E600D3">
      <w:pPr>
        <w:rPr>
          <w:lang w:eastAsia="en-US"/>
        </w:rPr>
      </w:pPr>
    </w:p>
    <w:p w:rsidR="00E600D3" w:rsidRPr="00371F63" w:rsidRDefault="00E600D3" w:rsidP="00E600D3">
      <w:pPr>
        <w:tabs>
          <w:tab w:val="left" w:pos="567"/>
        </w:tabs>
        <w:rPr>
          <w:lang w:eastAsia="en-US"/>
        </w:rPr>
      </w:pPr>
      <w:r w:rsidRPr="00371F63">
        <w:rPr>
          <w:lang w:eastAsia="en-US"/>
        </w:rPr>
        <w:tab/>
        <w:t>[…]</w:t>
      </w:r>
    </w:p>
    <w:p w:rsidR="00E600D3" w:rsidRDefault="00E600D3" w:rsidP="00E600D3">
      <w:pPr>
        <w:pStyle w:val="Endofdocument-Annex"/>
        <w:ind w:left="0"/>
      </w:pPr>
    </w:p>
    <w:p w:rsidR="00E600D3" w:rsidRDefault="00E600D3" w:rsidP="00E600D3">
      <w:pPr>
        <w:pStyle w:val="Endofdocument-Annex"/>
        <w:ind w:left="0"/>
        <w:sectPr w:rsidR="00E600D3" w:rsidSect="00DB39CB">
          <w:headerReference w:type="first" r:id="rId11"/>
          <w:endnotePr>
            <w:numFmt w:val="decimal"/>
          </w:endnotePr>
          <w:pgSz w:w="11907" w:h="16840" w:code="9"/>
          <w:pgMar w:top="567" w:right="1134" w:bottom="568" w:left="1418" w:header="510" w:footer="1021" w:gutter="0"/>
          <w:pgNumType w:start="2"/>
          <w:cols w:space="720"/>
          <w:titlePg/>
          <w:docGrid w:linePitch="299"/>
        </w:sectPr>
      </w:pPr>
    </w:p>
    <w:p w:rsidR="00E600D3" w:rsidRPr="00371F63" w:rsidRDefault="00E600D3" w:rsidP="00E600D3">
      <w:pPr>
        <w:tabs>
          <w:tab w:val="left" w:pos="567"/>
          <w:tab w:val="left" w:pos="1134"/>
          <w:tab w:val="left" w:pos="1701"/>
          <w:tab w:val="left" w:pos="2268"/>
          <w:tab w:val="left" w:pos="2835"/>
          <w:tab w:val="left" w:pos="3402"/>
        </w:tabs>
        <w:ind w:left="567" w:hanging="567"/>
        <w:jc w:val="center"/>
        <w:rPr>
          <w:b/>
          <w:szCs w:val="22"/>
        </w:rPr>
      </w:pPr>
      <w:r w:rsidRPr="00371F63">
        <w:rPr>
          <w:b/>
          <w:szCs w:val="22"/>
        </w:rPr>
        <w:t>Chapter 5</w:t>
      </w:r>
    </w:p>
    <w:p w:rsidR="00E600D3" w:rsidRPr="00371F63" w:rsidRDefault="00E600D3" w:rsidP="00E600D3">
      <w:pPr>
        <w:tabs>
          <w:tab w:val="left" w:pos="567"/>
          <w:tab w:val="left" w:pos="1134"/>
          <w:tab w:val="left" w:pos="1701"/>
          <w:tab w:val="left" w:pos="2268"/>
          <w:tab w:val="left" w:pos="2835"/>
          <w:tab w:val="left" w:pos="3402"/>
        </w:tabs>
        <w:ind w:left="567" w:hanging="567"/>
        <w:jc w:val="center"/>
        <w:rPr>
          <w:b/>
          <w:szCs w:val="22"/>
        </w:rPr>
      </w:pPr>
      <w:r w:rsidRPr="00371F63">
        <w:rPr>
          <w:b/>
          <w:szCs w:val="22"/>
        </w:rPr>
        <w:t>Subsequent Designations</w:t>
      </w:r>
      <w:proofErr w:type="gramStart"/>
      <w:r w:rsidRPr="00371F63">
        <w:rPr>
          <w:b/>
          <w:szCs w:val="22"/>
        </w:rPr>
        <w:t>;  Changes</w:t>
      </w:r>
      <w:proofErr w:type="gramEnd"/>
    </w:p>
    <w:p w:rsidR="00E600D3" w:rsidRPr="00371F63" w:rsidRDefault="00E600D3" w:rsidP="00E600D3">
      <w:pPr>
        <w:jc w:val="both"/>
        <w:rPr>
          <w:lang w:eastAsia="en-US"/>
        </w:rPr>
      </w:pPr>
    </w:p>
    <w:p w:rsidR="00E600D3" w:rsidRPr="00371F63" w:rsidRDefault="00E600D3" w:rsidP="00E600D3">
      <w:pPr>
        <w:tabs>
          <w:tab w:val="left" w:pos="567"/>
          <w:tab w:val="left" w:pos="1134"/>
          <w:tab w:val="left" w:pos="1701"/>
          <w:tab w:val="left" w:pos="2268"/>
          <w:tab w:val="left" w:pos="2835"/>
          <w:tab w:val="left" w:pos="3402"/>
        </w:tabs>
        <w:jc w:val="center"/>
        <w:rPr>
          <w:szCs w:val="22"/>
        </w:rPr>
      </w:pPr>
      <w:r w:rsidRPr="00371F63">
        <w:rPr>
          <w:szCs w:val="22"/>
        </w:rPr>
        <w:t>[…]</w:t>
      </w:r>
    </w:p>
    <w:p w:rsidR="00E600D3" w:rsidRPr="00371F63" w:rsidRDefault="00E600D3" w:rsidP="00E600D3">
      <w:pPr>
        <w:jc w:val="center"/>
        <w:rPr>
          <w:lang w:eastAsia="en-US"/>
        </w:rPr>
      </w:pPr>
    </w:p>
    <w:p w:rsidR="00E600D3" w:rsidRPr="00371F63" w:rsidRDefault="00E600D3" w:rsidP="00E600D3">
      <w:pPr>
        <w:jc w:val="center"/>
        <w:rPr>
          <w:i/>
          <w:szCs w:val="22"/>
        </w:rPr>
      </w:pPr>
      <w:r w:rsidRPr="00371F63">
        <w:rPr>
          <w:i/>
          <w:szCs w:val="22"/>
        </w:rPr>
        <w:t>Rule 25</w:t>
      </w:r>
    </w:p>
    <w:p w:rsidR="00E600D3" w:rsidRPr="00371F63" w:rsidRDefault="00E600D3" w:rsidP="00E600D3">
      <w:pPr>
        <w:jc w:val="center"/>
        <w:rPr>
          <w:szCs w:val="22"/>
        </w:rPr>
      </w:pPr>
      <w:r w:rsidRPr="00371F63" w:rsidDel="008642DE">
        <w:rPr>
          <w:i/>
          <w:szCs w:val="22"/>
        </w:rPr>
        <w:t>Request for Recording</w:t>
      </w:r>
    </w:p>
    <w:p w:rsidR="00E600D3" w:rsidRPr="00371F63" w:rsidRDefault="00E600D3" w:rsidP="00E600D3">
      <w:pPr>
        <w:jc w:val="center"/>
        <w:rPr>
          <w:lang w:eastAsia="en-US"/>
        </w:rPr>
      </w:pPr>
    </w:p>
    <w:p w:rsidR="00E600D3" w:rsidRPr="00371F63" w:rsidRDefault="00E600D3" w:rsidP="00E600D3">
      <w:pPr>
        <w:jc w:val="both"/>
        <w:rPr>
          <w:lang w:eastAsia="en-US"/>
        </w:rPr>
      </w:pPr>
      <w:r w:rsidRPr="00371F63">
        <w:rPr>
          <w:lang w:eastAsia="en-US"/>
        </w:rPr>
        <w:tab/>
        <w:t>(1)</w:t>
      </w:r>
      <w:r w:rsidRPr="00371F63">
        <w:rPr>
          <w:lang w:eastAsia="en-US"/>
        </w:rPr>
        <w:tab/>
      </w:r>
      <w:r w:rsidRPr="00371F63">
        <w:rPr>
          <w:i/>
          <w:lang w:eastAsia="en-US"/>
        </w:rPr>
        <w:t>[Presentation of the Request]</w:t>
      </w:r>
      <w:proofErr w:type="gramStart"/>
      <w:r w:rsidRPr="00371F63">
        <w:rPr>
          <w:lang w:eastAsia="en-US"/>
        </w:rPr>
        <w:t>  (</w:t>
      </w:r>
      <w:proofErr w:type="gramEnd"/>
      <w:r w:rsidRPr="00371F63">
        <w:rPr>
          <w:lang w:eastAsia="en-US"/>
        </w:rPr>
        <w:t xml:space="preserve">a)  A request for recording shall be presented to the International Bureau on the relevant official form, in one copy, where the request relates to any of the following:  </w:t>
      </w:r>
    </w:p>
    <w:p w:rsidR="00E600D3" w:rsidRPr="00371F63" w:rsidRDefault="00E600D3" w:rsidP="00E600D3">
      <w:pPr>
        <w:jc w:val="both"/>
        <w:rPr>
          <w:lang w:eastAsia="en-US"/>
        </w:rPr>
      </w:pPr>
      <w:r w:rsidRPr="00371F63">
        <w:rPr>
          <w:lang w:eastAsia="en-US"/>
        </w:rPr>
        <w:tab/>
      </w:r>
      <w:r w:rsidRPr="00371F63">
        <w:rPr>
          <w:lang w:eastAsia="en-US"/>
        </w:rPr>
        <w:tab/>
      </w:r>
      <w:r w:rsidRPr="00371F63">
        <w:rPr>
          <w:lang w:eastAsia="en-US"/>
        </w:rPr>
        <w:tab/>
        <w:t>[…]</w:t>
      </w:r>
    </w:p>
    <w:p w:rsidR="00E600D3" w:rsidRPr="00371F63" w:rsidRDefault="00E600D3" w:rsidP="00E600D3">
      <w:pPr>
        <w:jc w:val="both"/>
        <w:rPr>
          <w:lang w:eastAsia="en-US"/>
        </w:rPr>
      </w:pPr>
      <w:r w:rsidRPr="00371F63">
        <w:rPr>
          <w:lang w:eastAsia="en-US"/>
        </w:rPr>
        <w:tab/>
      </w:r>
      <w:r w:rsidRPr="00371F63">
        <w:rPr>
          <w:lang w:eastAsia="en-US"/>
        </w:rPr>
        <w:tab/>
      </w:r>
      <w:r w:rsidRPr="00371F63">
        <w:rPr>
          <w:lang w:eastAsia="en-US"/>
        </w:rPr>
        <w:tab/>
        <w:t>(iv)</w:t>
      </w:r>
      <w:r w:rsidRPr="00371F63">
        <w:rPr>
          <w:lang w:eastAsia="en-US"/>
        </w:rPr>
        <w:tab/>
        <w:t xml:space="preserve">a change in the name or address of the holder or, where the holder is a legal entity, an introduction of or a change in the indications concerning the legal nature of the holder and the State and, where applicable, the territorial unit within that State under the law of which the said legal entity has been organized; </w:t>
      </w:r>
    </w:p>
    <w:p w:rsidR="00E600D3" w:rsidRPr="00371F63" w:rsidRDefault="00E600D3" w:rsidP="00E600D3">
      <w:pPr>
        <w:jc w:val="both"/>
        <w:rPr>
          <w:lang w:eastAsia="en-US"/>
        </w:rPr>
      </w:pPr>
      <w:r w:rsidRPr="00371F63">
        <w:rPr>
          <w:lang w:eastAsia="en-US"/>
        </w:rPr>
        <w:tab/>
      </w:r>
      <w:r w:rsidRPr="00371F63">
        <w:rPr>
          <w:lang w:eastAsia="en-US"/>
        </w:rPr>
        <w:tab/>
      </w:r>
      <w:r w:rsidRPr="00371F63">
        <w:rPr>
          <w:lang w:eastAsia="en-US"/>
        </w:rPr>
        <w:tab/>
        <w:t>[…]</w:t>
      </w:r>
    </w:p>
    <w:p w:rsidR="00E600D3" w:rsidRPr="00371F63" w:rsidRDefault="00E600D3" w:rsidP="00E600D3">
      <w:pPr>
        <w:jc w:val="both"/>
        <w:rPr>
          <w:lang w:eastAsia="en-US"/>
        </w:rPr>
      </w:pPr>
    </w:p>
    <w:p w:rsidR="00E600D3" w:rsidRPr="00371F63" w:rsidRDefault="00E600D3" w:rsidP="00E600D3">
      <w:pPr>
        <w:jc w:val="both"/>
        <w:rPr>
          <w:lang w:eastAsia="en-US"/>
        </w:rPr>
      </w:pPr>
      <w:r w:rsidRPr="00371F63">
        <w:rPr>
          <w:lang w:eastAsia="en-US"/>
        </w:rPr>
        <w:tab/>
        <w:t>(2)</w:t>
      </w:r>
      <w:r w:rsidRPr="00371F63">
        <w:rPr>
          <w:lang w:eastAsia="en-US"/>
        </w:rPr>
        <w:tab/>
      </w:r>
      <w:r w:rsidRPr="00371F63">
        <w:rPr>
          <w:i/>
          <w:lang w:eastAsia="en-US"/>
        </w:rPr>
        <w:t>[Contents of the Request]</w:t>
      </w:r>
      <w:proofErr w:type="gramStart"/>
      <w:r w:rsidRPr="00371F63">
        <w:rPr>
          <w:i/>
          <w:lang w:eastAsia="en-US"/>
        </w:rPr>
        <w:t>  </w:t>
      </w:r>
      <w:r w:rsidRPr="00371F63">
        <w:rPr>
          <w:lang w:eastAsia="en-US"/>
        </w:rPr>
        <w:t>(</w:t>
      </w:r>
      <w:proofErr w:type="gramEnd"/>
      <w:r w:rsidRPr="00371F63">
        <w:rPr>
          <w:lang w:eastAsia="en-US"/>
        </w:rPr>
        <w:t>a)  A request under paragraph (1)(a) shall, in addition to the requested recording, contain or indicate</w:t>
      </w:r>
    </w:p>
    <w:p w:rsidR="00E600D3" w:rsidRPr="00371F63" w:rsidRDefault="00E600D3" w:rsidP="00E600D3">
      <w:pPr>
        <w:jc w:val="both"/>
        <w:rPr>
          <w:lang w:eastAsia="en-US"/>
        </w:rPr>
      </w:pPr>
      <w:r w:rsidRPr="00371F63">
        <w:rPr>
          <w:lang w:eastAsia="en-US"/>
        </w:rPr>
        <w:tab/>
      </w:r>
      <w:r w:rsidRPr="00371F63">
        <w:rPr>
          <w:lang w:eastAsia="en-US"/>
        </w:rPr>
        <w:tab/>
        <w:t>[…]</w:t>
      </w:r>
    </w:p>
    <w:p w:rsidR="00E600D3" w:rsidRPr="00371F63" w:rsidRDefault="00E600D3" w:rsidP="00E600D3">
      <w:pPr>
        <w:jc w:val="both"/>
        <w:rPr>
          <w:lang w:eastAsia="en-US"/>
        </w:rPr>
      </w:pPr>
      <w:r w:rsidRPr="00371F63">
        <w:rPr>
          <w:lang w:eastAsia="en-US"/>
        </w:rPr>
        <w:tab/>
      </w:r>
      <w:r w:rsidRPr="00371F63">
        <w:rPr>
          <w:lang w:eastAsia="en-US"/>
        </w:rPr>
        <w:tab/>
        <w:t>(d)</w:t>
      </w:r>
      <w:r w:rsidRPr="00371F63">
        <w:rPr>
          <w:lang w:eastAsia="en-US"/>
        </w:rPr>
        <w:tab/>
        <w:t>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rsidR="00E600D3" w:rsidRPr="00371F63" w:rsidRDefault="00E600D3" w:rsidP="00E600D3">
      <w:pPr>
        <w:jc w:val="both"/>
        <w:rPr>
          <w:lang w:eastAsia="en-US"/>
        </w:rPr>
      </w:pPr>
    </w:p>
    <w:p w:rsidR="00E600D3" w:rsidRPr="00371F63" w:rsidRDefault="00E600D3" w:rsidP="00E600D3">
      <w:pPr>
        <w:jc w:val="both"/>
        <w:rPr>
          <w:lang w:eastAsia="en-US"/>
        </w:rPr>
      </w:pPr>
      <w:r w:rsidRPr="00371F63">
        <w:rPr>
          <w:lang w:eastAsia="en-US"/>
        </w:rPr>
        <w:tab/>
        <w:t>[…]</w:t>
      </w:r>
    </w:p>
    <w:p w:rsidR="00E600D3" w:rsidRPr="00371F63" w:rsidRDefault="00E600D3" w:rsidP="00E600D3">
      <w:pPr>
        <w:jc w:val="center"/>
        <w:rPr>
          <w:lang w:eastAsia="en-US"/>
        </w:rPr>
      </w:pPr>
    </w:p>
    <w:p w:rsidR="00E600D3" w:rsidRPr="00371F63" w:rsidRDefault="00E600D3" w:rsidP="00E600D3">
      <w:pPr>
        <w:jc w:val="center"/>
        <w:rPr>
          <w:lang w:eastAsia="en-US"/>
        </w:rPr>
      </w:pPr>
    </w:p>
    <w:p w:rsidR="00E600D3" w:rsidRPr="00371F63" w:rsidRDefault="00E600D3" w:rsidP="00E600D3">
      <w:pPr>
        <w:jc w:val="center"/>
        <w:rPr>
          <w:i/>
          <w:lang w:eastAsia="en-US"/>
        </w:rPr>
      </w:pPr>
      <w:r w:rsidRPr="00371F63">
        <w:rPr>
          <w:i/>
          <w:lang w:eastAsia="en-US"/>
        </w:rPr>
        <w:t>Rule 26</w:t>
      </w:r>
    </w:p>
    <w:p w:rsidR="00E600D3" w:rsidRPr="00371F63" w:rsidRDefault="00E600D3" w:rsidP="00E600D3">
      <w:pPr>
        <w:jc w:val="center"/>
        <w:rPr>
          <w:i/>
          <w:lang w:eastAsia="en-US"/>
        </w:rPr>
      </w:pPr>
      <w:r w:rsidRPr="00371F63">
        <w:rPr>
          <w:i/>
          <w:lang w:eastAsia="en-US"/>
        </w:rPr>
        <w:t>Irregularities in Requests for Recording under Rule 25</w:t>
      </w:r>
    </w:p>
    <w:p w:rsidR="00E600D3" w:rsidRPr="00371F63" w:rsidRDefault="00E600D3" w:rsidP="00E600D3">
      <w:pPr>
        <w:jc w:val="both"/>
        <w:rPr>
          <w:lang w:eastAsia="en-US"/>
        </w:rPr>
      </w:pPr>
    </w:p>
    <w:p w:rsidR="00E600D3" w:rsidRPr="00371F63" w:rsidRDefault="00E600D3" w:rsidP="00E600D3">
      <w:pPr>
        <w:jc w:val="both"/>
        <w:rPr>
          <w:lang w:eastAsia="en-US"/>
        </w:rPr>
      </w:pPr>
      <w:r w:rsidRPr="00371F63">
        <w:rPr>
          <w:lang w:eastAsia="en-US"/>
        </w:rPr>
        <w:tab/>
        <w:t>(1)</w:t>
      </w:r>
      <w:r w:rsidRPr="00B27CAF">
        <w:rPr>
          <w:lang w:eastAsia="en-US"/>
        </w:rPr>
        <w:tab/>
      </w:r>
      <w:r w:rsidRPr="00B27CAF">
        <w:rPr>
          <w:i/>
          <w:lang w:eastAsia="en-US"/>
        </w:rPr>
        <w:t>[Irregular Request]</w:t>
      </w:r>
      <w:r w:rsidRPr="00B27CAF">
        <w:rPr>
          <w:lang w:eastAsia="en-US"/>
        </w:rPr>
        <w:t xml:space="preserve">  If a request under Rule 25(1)(a) does not comply with the applicable requirements, and subject to paragraph (3), the International Bureau shall notify that fact to the holder and, if the request was made by an Office, to that Office.  For the purposes of this Rule, where the request is for the recording of a limitation, the International Bureau shall only examine whether </w:t>
      </w:r>
      <w:r w:rsidRPr="00371F63">
        <w:rPr>
          <w:lang w:eastAsia="en-US"/>
        </w:rPr>
        <w:t>the numbers of the classes indicated in the limitation appear in the international registration concerned.</w:t>
      </w:r>
    </w:p>
    <w:p w:rsidR="00E600D3" w:rsidRPr="00371F63" w:rsidRDefault="00E600D3" w:rsidP="00E600D3">
      <w:pPr>
        <w:jc w:val="both"/>
        <w:rPr>
          <w:lang w:eastAsia="en-US"/>
        </w:rPr>
      </w:pPr>
    </w:p>
    <w:p w:rsidR="00E600D3" w:rsidRPr="00371F63" w:rsidRDefault="00E600D3" w:rsidP="00E600D3">
      <w:pPr>
        <w:jc w:val="both"/>
        <w:rPr>
          <w:lang w:eastAsia="en-US"/>
        </w:rPr>
      </w:pPr>
      <w:r w:rsidRPr="00371F63">
        <w:rPr>
          <w:lang w:eastAsia="en-US"/>
        </w:rPr>
        <w:tab/>
        <w:t>(2)</w:t>
      </w:r>
      <w:r w:rsidRPr="00371F63">
        <w:rPr>
          <w:lang w:eastAsia="en-US"/>
        </w:rPr>
        <w:tab/>
      </w:r>
      <w:r w:rsidRPr="00371F63">
        <w:rPr>
          <w:i/>
          <w:lang w:eastAsia="en-US"/>
        </w:rPr>
        <w:t>[Time Allowed to Remedy Irregularity]</w:t>
      </w:r>
      <w:proofErr w:type="gramStart"/>
      <w:r w:rsidRPr="00371F63">
        <w:rPr>
          <w:lang w:eastAsia="en-US"/>
        </w:rPr>
        <w:t>  The</w:t>
      </w:r>
      <w:proofErr w:type="gramEnd"/>
      <w:r w:rsidRPr="00371F63">
        <w:rPr>
          <w:lang w:eastAsia="en-US"/>
        </w:rPr>
        <w:t xml:space="preserv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under Rule 25(1)(a) was presented by an Office, that Office, and refund any fees paid, after deduction of an amount corresponding to one-half of the relevant fees referred to in item 7 of the Schedule of Fees, to the party having paid those fees.  </w:t>
      </w:r>
    </w:p>
    <w:p w:rsidR="00E600D3" w:rsidRPr="00371F63" w:rsidRDefault="00E600D3" w:rsidP="00E600D3">
      <w:pPr>
        <w:jc w:val="both"/>
        <w:rPr>
          <w:lang w:eastAsia="en-US"/>
        </w:rPr>
      </w:pPr>
    </w:p>
    <w:p w:rsidR="00E600D3" w:rsidRDefault="00E600D3" w:rsidP="00E600D3">
      <w:pPr>
        <w:pStyle w:val="Endofdocument-Annex"/>
        <w:ind w:left="0"/>
        <w:rPr>
          <w:lang w:eastAsia="en-US"/>
        </w:rPr>
      </w:pPr>
      <w:r w:rsidRPr="00371F63">
        <w:rPr>
          <w:lang w:eastAsia="en-US"/>
        </w:rPr>
        <w:tab/>
        <w:t>[…]</w:t>
      </w:r>
    </w:p>
    <w:p w:rsidR="00E600D3" w:rsidRDefault="00E600D3" w:rsidP="00E600D3">
      <w:pPr>
        <w:pStyle w:val="Endofdocument-Annex"/>
        <w:ind w:left="0"/>
        <w:rPr>
          <w:lang w:eastAsia="en-US"/>
        </w:rPr>
      </w:pPr>
      <w:r>
        <w:rPr>
          <w:lang w:eastAsia="en-US"/>
        </w:rPr>
        <w:br w:type="page"/>
      </w:r>
    </w:p>
    <w:p w:rsidR="00E600D3" w:rsidRPr="00371F63" w:rsidRDefault="00E600D3" w:rsidP="00E600D3">
      <w:pPr>
        <w:jc w:val="center"/>
        <w:rPr>
          <w:i/>
          <w:lang w:eastAsia="en-US"/>
        </w:rPr>
      </w:pPr>
      <w:r w:rsidRPr="00371F63">
        <w:rPr>
          <w:i/>
          <w:lang w:eastAsia="en-US"/>
        </w:rPr>
        <w:t>Rule 27</w:t>
      </w:r>
    </w:p>
    <w:p w:rsidR="00E600D3" w:rsidRPr="00371F63" w:rsidRDefault="00E600D3" w:rsidP="00E600D3">
      <w:pPr>
        <w:jc w:val="center"/>
        <w:rPr>
          <w:i/>
          <w:lang w:eastAsia="en-US"/>
        </w:rPr>
      </w:pPr>
      <w:r w:rsidRPr="00371F63">
        <w:rPr>
          <w:i/>
          <w:lang w:eastAsia="en-US"/>
        </w:rPr>
        <w:t xml:space="preserve">Recording and Notification with respect to Rule 25;  </w:t>
      </w:r>
    </w:p>
    <w:p w:rsidR="00E600D3" w:rsidRPr="00371F63" w:rsidRDefault="00E600D3" w:rsidP="00E600D3">
      <w:pPr>
        <w:jc w:val="center"/>
        <w:rPr>
          <w:i/>
          <w:lang w:eastAsia="en-US"/>
        </w:rPr>
      </w:pPr>
      <w:r w:rsidRPr="00371F63">
        <w:rPr>
          <w:i/>
          <w:lang w:eastAsia="en-US"/>
        </w:rPr>
        <w:t>Merger of International Registrations</w:t>
      </w:r>
      <w:proofErr w:type="gramStart"/>
      <w:r w:rsidRPr="00371F63">
        <w:rPr>
          <w:i/>
          <w:lang w:eastAsia="en-US"/>
        </w:rPr>
        <w:t>;  Declaration</w:t>
      </w:r>
      <w:proofErr w:type="gramEnd"/>
      <w:r w:rsidRPr="00371F63">
        <w:rPr>
          <w:i/>
          <w:lang w:eastAsia="en-US"/>
        </w:rPr>
        <w:t xml:space="preserve"> That a Change in Ownership or a Limitation Has No Effect</w:t>
      </w:r>
    </w:p>
    <w:p w:rsidR="00E600D3" w:rsidRPr="00371F63" w:rsidRDefault="00E600D3" w:rsidP="00E600D3">
      <w:pPr>
        <w:jc w:val="both"/>
        <w:rPr>
          <w:lang w:eastAsia="en-US"/>
        </w:rPr>
      </w:pPr>
    </w:p>
    <w:p w:rsidR="00E600D3" w:rsidRPr="00371F63" w:rsidRDefault="00E600D3" w:rsidP="00E600D3">
      <w:pPr>
        <w:jc w:val="both"/>
        <w:rPr>
          <w:lang w:eastAsia="en-US"/>
        </w:rPr>
      </w:pPr>
      <w:r w:rsidRPr="00371F63">
        <w:rPr>
          <w:lang w:eastAsia="en-US"/>
        </w:rPr>
        <w:tab/>
        <w:t>(1)</w:t>
      </w:r>
      <w:r w:rsidRPr="00371F63">
        <w:rPr>
          <w:lang w:eastAsia="en-US"/>
        </w:rPr>
        <w:tab/>
      </w:r>
      <w:r w:rsidRPr="00371F63">
        <w:rPr>
          <w:i/>
          <w:lang w:eastAsia="en-US"/>
        </w:rPr>
        <w:t>[Recording and Notification]</w:t>
      </w:r>
      <w:r w:rsidRPr="00371F63">
        <w:rPr>
          <w:lang w:eastAsia="en-US"/>
        </w:rPr>
        <w:t xml:space="preserve">  (a)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Article 6(3) of the Agreement and Article 6(3) of the Protocol, the International Bureau shall also inform the Office of origin.  </w:t>
      </w:r>
    </w:p>
    <w:p w:rsidR="00E600D3" w:rsidRPr="00371F63" w:rsidRDefault="00E600D3" w:rsidP="00E600D3">
      <w:pPr>
        <w:jc w:val="both"/>
        <w:rPr>
          <w:lang w:eastAsia="en-US"/>
        </w:rPr>
      </w:pPr>
      <w:r w:rsidRPr="00371F63">
        <w:rPr>
          <w:lang w:eastAsia="en-US"/>
        </w:rPr>
        <w:tab/>
      </w:r>
      <w:r w:rsidRPr="00371F63">
        <w:rPr>
          <w:lang w:eastAsia="en-US"/>
        </w:rPr>
        <w:tab/>
        <w:t>(b)</w:t>
      </w:r>
      <w:r w:rsidRPr="00371F63">
        <w:rPr>
          <w:lang w:eastAsia="en-US"/>
        </w:rPr>
        <w:tab/>
        <w:t xml:space="preserve">The indications, the 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E600D3" w:rsidRPr="00371F63" w:rsidRDefault="00E600D3" w:rsidP="00E600D3">
      <w:pPr>
        <w:jc w:val="both"/>
        <w:rPr>
          <w:lang w:val="en" w:eastAsia="en-US"/>
        </w:rPr>
      </w:pPr>
    </w:p>
    <w:p w:rsidR="00E600D3" w:rsidRPr="00371F63" w:rsidRDefault="00E600D3" w:rsidP="00E600D3">
      <w:pPr>
        <w:jc w:val="both"/>
        <w:rPr>
          <w:b/>
          <w:lang w:eastAsia="en-US"/>
        </w:rPr>
      </w:pPr>
    </w:p>
    <w:p w:rsidR="00E600D3" w:rsidRPr="00371F63" w:rsidRDefault="00E600D3" w:rsidP="00E600D3">
      <w:pPr>
        <w:jc w:val="both"/>
        <w:rPr>
          <w:b/>
          <w:lang w:eastAsia="en-US"/>
        </w:rPr>
      </w:pPr>
    </w:p>
    <w:p w:rsidR="00E600D3" w:rsidRPr="00371F63" w:rsidRDefault="00E600D3" w:rsidP="00E600D3">
      <w:pPr>
        <w:jc w:val="center"/>
        <w:rPr>
          <w:b/>
          <w:lang w:eastAsia="en-US"/>
        </w:rPr>
      </w:pPr>
      <w:r w:rsidRPr="00371F63">
        <w:rPr>
          <w:b/>
          <w:lang w:eastAsia="en-US"/>
        </w:rPr>
        <w:t>Chapter 7</w:t>
      </w:r>
    </w:p>
    <w:p w:rsidR="00E600D3" w:rsidRPr="00371F63" w:rsidRDefault="00E600D3" w:rsidP="00E600D3">
      <w:pPr>
        <w:jc w:val="center"/>
        <w:rPr>
          <w:b/>
          <w:lang w:eastAsia="en-US"/>
        </w:rPr>
      </w:pPr>
      <w:r w:rsidRPr="00371F63">
        <w:rPr>
          <w:b/>
          <w:lang w:eastAsia="en-US"/>
        </w:rPr>
        <w:t>Gazette and Data Base</w:t>
      </w:r>
    </w:p>
    <w:p w:rsidR="00E600D3" w:rsidRPr="00371F63" w:rsidRDefault="00E600D3" w:rsidP="00E600D3">
      <w:pPr>
        <w:jc w:val="center"/>
        <w:rPr>
          <w:b/>
          <w:lang w:eastAsia="en-US"/>
        </w:rPr>
      </w:pPr>
    </w:p>
    <w:p w:rsidR="00E600D3" w:rsidRPr="00371F63" w:rsidRDefault="00E600D3" w:rsidP="00E600D3">
      <w:pPr>
        <w:jc w:val="center"/>
        <w:rPr>
          <w:i/>
          <w:lang w:eastAsia="en-US"/>
        </w:rPr>
      </w:pPr>
      <w:r w:rsidRPr="00371F63">
        <w:rPr>
          <w:i/>
          <w:lang w:eastAsia="en-US"/>
        </w:rPr>
        <w:t>Rule 32</w:t>
      </w:r>
    </w:p>
    <w:p w:rsidR="00E600D3" w:rsidRPr="00371F63" w:rsidRDefault="00E600D3" w:rsidP="00E600D3">
      <w:pPr>
        <w:jc w:val="center"/>
        <w:rPr>
          <w:i/>
          <w:lang w:eastAsia="en-US"/>
        </w:rPr>
      </w:pPr>
      <w:r w:rsidRPr="00371F63">
        <w:rPr>
          <w:i/>
          <w:lang w:eastAsia="en-US"/>
        </w:rPr>
        <w:t>Gazette</w:t>
      </w:r>
    </w:p>
    <w:p w:rsidR="00E600D3" w:rsidRPr="00371F63" w:rsidRDefault="00E600D3" w:rsidP="00E600D3">
      <w:pPr>
        <w:jc w:val="center"/>
        <w:rPr>
          <w:lang w:eastAsia="en-US"/>
        </w:rPr>
      </w:pPr>
    </w:p>
    <w:p w:rsidR="00E600D3" w:rsidRPr="00371F63" w:rsidRDefault="00E600D3" w:rsidP="00E600D3">
      <w:pPr>
        <w:jc w:val="center"/>
        <w:rPr>
          <w:lang w:eastAsia="en-US"/>
        </w:rPr>
      </w:pPr>
    </w:p>
    <w:p w:rsidR="00E600D3" w:rsidRPr="00371F63" w:rsidRDefault="00E600D3" w:rsidP="00E600D3">
      <w:pPr>
        <w:jc w:val="both"/>
        <w:rPr>
          <w:lang w:eastAsia="en-US"/>
        </w:rPr>
      </w:pPr>
      <w:r w:rsidRPr="00371F63">
        <w:rPr>
          <w:lang w:eastAsia="en-US"/>
        </w:rPr>
        <w:tab/>
        <w:t>(1)</w:t>
      </w:r>
      <w:r w:rsidRPr="00371F63">
        <w:rPr>
          <w:lang w:eastAsia="en-US"/>
        </w:rPr>
        <w:tab/>
      </w:r>
      <w:r w:rsidRPr="00371F63">
        <w:rPr>
          <w:i/>
          <w:lang w:eastAsia="en-US"/>
        </w:rPr>
        <w:t>[Information Concerning International Registrations]</w:t>
      </w:r>
      <w:proofErr w:type="gramStart"/>
      <w:r w:rsidRPr="00371F63">
        <w:rPr>
          <w:lang w:eastAsia="en-US"/>
        </w:rPr>
        <w:t>  (</w:t>
      </w:r>
      <w:proofErr w:type="gramEnd"/>
      <w:r w:rsidRPr="00371F63">
        <w:rPr>
          <w:lang w:eastAsia="en-US"/>
        </w:rPr>
        <w:t>a)  The International Bureau shall publish in the Gazette relevant data concerning</w:t>
      </w:r>
    </w:p>
    <w:p w:rsidR="00E600D3" w:rsidRPr="00371F63" w:rsidRDefault="00E600D3" w:rsidP="00E600D3">
      <w:pPr>
        <w:jc w:val="both"/>
        <w:rPr>
          <w:lang w:eastAsia="en-US"/>
        </w:rPr>
      </w:pPr>
      <w:r w:rsidRPr="00371F63">
        <w:rPr>
          <w:lang w:eastAsia="en-US"/>
        </w:rPr>
        <w:tab/>
      </w:r>
      <w:r w:rsidRPr="00371F63">
        <w:rPr>
          <w:lang w:eastAsia="en-US"/>
        </w:rPr>
        <w:tab/>
      </w:r>
      <w:r w:rsidRPr="00371F63">
        <w:rPr>
          <w:lang w:eastAsia="en-US"/>
        </w:rPr>
        <w:tab/>
        <w:t>[…]</w:t>
      </w:r>
    </w:p>
    <w:p w:rsidR="00E600D3" w:rsidRPr="00371F63" w:rsidRDefault="00E600D3" w:rsidP="00E600D3">
      <w:pPr>
        <w:jc w:val="both"/>
        <w:rPr>
          <w:lang w:eastAsia="en-US"/>
        </w:rPr>
      </w:pPr>
      <w:r w:rsidRPr="00371F63">
        <w:rPr>
          <w:lang w:eastAsia="en-US"/>
        </w:rPr>
        <w:tab/>
      </w:r>
      <w:r w:rsidRPr="00371F63">
        <w:rPr>
          <w:lang w:eastAsia="en-US"/>
        </w:rPr>
        <w:tab/>
      </w:r>
      <w:r w:rsidRPr="00371F63">
        <w:rPr>
          <w:lang w:eastAsia="en-US"/>
        </w:rPr>
        <w:tab/>
        <w:t>(vii)</w:t>
      </w:r>
      <w:r w:rsidRPr="00371F63">
        <w:rPr>
          <w:lang w:eastAsia="en-US"/>
        </w:rPr>
        <w:tab/>
      </w:r>
      <w:proofErr w:type="gramStart"/>
      <w:r w:rsidRPr="00371F63">
        <w:rPr>
          <w:lang w:eastAsia="en-US"/>
        </w:rPr>
        <w:t>recordings</w:t>
      </w:r>
      <w:proofErr w:type="gramEnd"/>
      <w:r w:rsidRPr="00371F63">
        <w:rPr>
          <w:lang w:eastAsia="en-US"/>
        </w:rPr>
        <w:t xml:space="preserve"> under Rule 27;</w:t>
      </w:r>
    </w:p>
    <w:p w:rsidR="00E600D3" w:rsidRPr="00371F63" w:rsidRDefault="00E600D3" w:rsidP="00E600D3">
      <w:pPr>
        <w:jc w:val="both"/>
        <w:rPr>
          <w:lang w:eastAsia="en-US"/>
        </w:rPr>
      </w:pPr>
      <w:r w:rsidRPr="00371F63">
        <w:rPr>
          <w:lang w:eastAsia="en-US"/>
        </w:rPr>
        <w:tab/>
      </w:r>
      <w:r w:rsidRPr="00371F63">
        <w:rPr>
          <w:lang w:eastAsia="en-US"/>
        </w:rPr>
        <w:tab/>
      </w:r>
      <w:r w:rsidRPr="00371F63">
        <w:rPr>
          <w:lang w:eastAsia="en-US"/>
        </w:rPr>
        <w:tab/>
        <w:t>[…]</w:t>
      </w:r>
    </w:p>
    <w:p w:rsidR="00E600D3" w:rsidRPr="00371F63" w:rsidRDefault="00E600D3" w:rsidP="00E600D3">
      <w:pPr>
        <w:jc w:val="both"/>
        <w:rPr>
          <w:lang w:eastAsia="en-US"/>
        </w:rPr>
      </w:pPr>
    </w:p>
    <w:p w:rsidR="00E600D3" w:rsidRPr="00371F63" w:rsidRDefault="00E600D3" w:rsidP="00E600D3">
      <w:pPr>
        <w:jc w:val="both"/>
        <w:rPr>
          <w:lang w:eastAsia="en-US"/>
        </w:rPr>
      </w:pPr>
      <w:r w:rsidRPr="00371F63">
        <w:rPr>
          <w:lang w:eastAsia="en-US"/>
        </w:rPr>
        <w:tab/>
        <w:t>[…]</w:t>
      </w:r>
    </w:p>
    <w:p w:rsidR="00E600D3" w:rsidRPr="00371F63" w:rsidRDefault="00E600D3" w:rsidP="00E600D3">
      <w:pPr>
        <w:jc w:val="both"/>
        <w:rPr>
          <w:lang w:eastAsia="en-US"/>
        </w:rPr>
      </w:pPr>
    </w:p>
    <w:p w:rsidR="00E600D3" w:rsidRPr="00371F63" w:rsidRDefault="00E600D3" w:rsidP="00E600D3">
      <w:pPr>
        <w:jc w:val="both"/>
        <w:rPr>
          <w:lang w:eastAsia="en-US"/>
        </w:rPr>
      </w:pPr>
    </w:p>
    <w:p w:rsidR="00E600D3" w:rsidRDefault="00E600D3" w:rsidP="00E600D3">
      <w:pPr>
        <w:pStyle w:val="Endofdocument-Annex"/>
        <w:ind w:left="0"/>
      </w:pPr>
      <w:r>
        <w:br w:type="page"/>
      </w:r>
    </w:p>
    <w:p w:rsidR="00E600D3" w:rsidRPr="00371F63" w:rsidRDefault="00E600D3" w:rsidP="00E600D3">
      <w:pPr>
        <w:keepNext/>
        <w:spacing w:before="240" w:after="60"/>
        <w:outlineLvl w:val="0"/>
        <w:rPr>
          <w:b/>
          <w:bCs/>
          <w:caps/>
          <w:kern w:val="32"/>
          <w:szCs w:val="32"/>
        </w:rPr>
      </w:pPr>
      <w:r w:rsidRPr="00371F63">
        <w:rPr>
          <w:b/>
          <w:bCs/>
          <w:caps/>
          <w:kern w:val="32"/>
          <w:szCs w:val="32"/>
        </w:rPr>
        <w:t>amendments to the Schedule of fees</w:t>
      </w:r>
    </w:p>
    <w:p w:rsidR="00E600D3" w:rsidRPr="00371F63" w:rsidRDefault="00E600D3" w:rsidP="00E600D3"/>
    <w:p w:rsidR="00E600D3" w:rsidRPr="009A5AB4" w:rsidRDefault="00E600D3" w:rsidP="00E600D3">
      <w:r w:rsidRPr="009A5AB4">
        <w:rPr>
          <w:szCs w:val="24"/>
        </w:rPr>
        <w:t>Adopted on October 11, 2016, by the Assembly of the</w:t>
      </w:r>
      <w:r w:rsidRPr="009A5AB4">
        <w:rPr>
          <w:rFonts w:ascii="Arial,Bold" w:eastAsia="Times New Roman" w:hAnsi="Arial,Bold" w:cs="Arial,Bold"/>
          <w:bCs/>
          <w:sz w:val="26"/>
          <w:szCs w:val="26"/>
          <w:lang w:eastAsia="en-US"/>
        </w:rPr>
        <w:t xml:space="preserve"> </w:t>
      </w:r>
      <w:r w:rsidRPr="009A5AB4">
        <w:rPr>
          <w:bCs/>
          <w:szCs w:val="24"/>
        </w:rPr>
        <w:t>Special Union for the International Registration of Marks (Madrid Union)</w:t>
      </w:r>
      <w:r w:rsidRPr="009A5AB4">
        <w:rPr>
          <w:szCs w:val="24"/>
        </w:rPr>
        <w:t xml:space="preserve"> at its Fiftieth (29</w:t>
      </w:r>
      <w:r w:rsidRPr="009A5AB4">
        <w:rPr>
          <w:szCs w:val="24"/>
          <w:vertAlign w:val="superscript"/>
        </w:rPr>
        <w:t>th</w:t>
      </w:r>
      <w:r w:rsidRPr="009A5AB4">
        <w:rPr>
          <w:szCs w:val="24"/>
        </w:rPr>
        <w:t xml:space="preserve"> Extraordinary) Session, held from October 3 to 11, 2016, with effect from July 1, 2017</w:t>
      </w:r>
    </w:p>
    <w:p w:rsidR="00E600D3" w:rsidRPr="00371F63" w:rsidRDefault="00E600D3" w:rsidP="00E600D3"/>
    <w:p w:rsidR="00E600D3" w:rsidRPr="00371F63" w:rsidRDefault="00E600D3" w:rsidP="00E600D3"/>
    <w:p w:rsidR="00E600D3" w:rsidRPr="00371F63" w:rsidRDefault="00E600D3" w:rsidP="00E600D3">
      <w:pPr>
        <w:jc w:val="center"/>
        <w:rPr>
          <w:bCs/>
        </w:rPr>
      </w:pPr>
      <w:r w:rsidRPr="00371F63">
        <w:rPr>
          <w:bCs/>
        </w:rPr>
        <w:t>SCHEDULE OF FEES</w:t>
      </w:r>
    </w:p>
    <w:p w:rsidR="00E600D3" w:rsidRPr="00371F63" w:rsidRDefault="00E600D3" w:rsidP="00E600D3">
      <w:pPr>
        <w:jc w:val="center"/>
        <w:rPr>
          <w:bCs/>
        </w:rPr>
      </w:pPr>
    </w:p>
    <w:p w:rsidR="00E600D3" w:rsidRPr="00371F63" w:rsidRDefault="00E600D3" w:rsidP="00E600D3">
      <w:pPr>
        <w:jc w:val="center"/>
        <w:rPr>
          <w:bCs/>
        </w:rPr>
      </w:pPr>
      <w:r w:rsidRPr="00371F63">
        <w:rPr>
          <w:bCs/>
        </w:rPr>
        <w:t>(</w:t>
      </w:r>
      <w:proofErr w:type="gramStart"/>
      <w:r w:rsidRPr="00371F63">
        <w:rPr>
          <w:bCs/>
        </w:rPr>
        <w:t>in</w:t>
      </w:r>
      <w:proofErr w:type="gramEnd"/>
      <w:r w:rsidRPr="00371F63">
        <w:rPr>
          <w:bCs/>
        </w:rPr>
        <w:t xml:space="preserve"> force on July 1, 2017)</w:t>
      </w:r>
    </w:p>
    <w:p w:rsidR="00E600D3" w:rsidRPr="00371F63" w:rsidRDefault="00E600D3" w:rsidP="00E600D3">
      <w:pPr>
        <w:jc w:val="center"/>
      </w:pPr>
    </w:p>
    <w:p w:rsidR="00E600D3" w:rsidRPr="00371F63" w:rsidRDefault="00E600D3" w:rsidP="00E600D3">
      <w:pPr>
        <w:ind w:left="7921"/>
        <w:jc w:val="center"/>
        <w:rPr>
          <w:i/>
        </w:rPr>
      </w:pPr>
      <w:r w:rsidRPr="00371F63">
        <w:rPr>
          <w:i/>
        </w:rPr>
        <w:t>Swiss francs</w:t>
      </w:r>
    </w:p>
    <w:p w:rsidR="00E600D3" w:rsidRPr="00371F63" w:rsidRDefault="00E600D3" w:rsidP="00E600D3">
      <w:pPr>
        <w:jc w:val="center"/>
      </w:pPr>
    </w:p>
    <w:p w:rsidR="00E600D3" w:rsidRPr="00371F63" w:rsidRDefault="00E600D3" w:rsidP="00E600D3">
      <w:r w:rsidRPr="00371F63">
        <w:t>[…]</w:t>
      </w:r>
    </w:p>
    <w:p w:rsidR="00E600D3" w:rsidRPr="00371F63" w:rsidRDefault="00E600D3" w:rsidP="00E600D3"/>
    <w:p w:rsidR="00E600D3" w:rsidRPr="00371F63" w:rsidRDefault="00E600D3" w:rsidP="00E600D3"/>
    <w:p w:rsidR="00E600D3" w:rsidRPr="00371F63" w:rsidRDefault="00E600D3" w:rsidP="00E600D3">
      <w:r w:rsidRPr="00371F63">
        <w:t>7.</w:t>
      </w:r>
      <w:r w:rsidRPr="00371F63">
        <w:tab/>
      </w:r>
      <w:r w:rsidRPr="00371F63">
        <w:rPr>
          <w:i/>
        </w:rPr>
        <w:t>Miscellaneous recordings</w:t>
      </w:r>
    </w:p>
    <w:p w:rsidR="00E600D3" w:rsidRPr="00371F63" w:rsidRDefault="00E600D3" w:rsidP="00E600D3"/>
    <w:p w:rsidR="00E600D3" w:rsidRPr="00371F63" w:rsidRDefault="00E600D3" w:rsidP="00E600D3">
      <w:r w:rsidRPr="00371F63">
        <w:tab/>
        <w:t>[…]</w:t>
      </w:r>
    </w:p>
    <w:p w:rsidR="00E600D3" w:rsidRPr="00371F63" w:rsidRDefault="00E600D3" w:rsidP="00E600D3"/>
    <w:p w:rsidR="00E600D3" w:rsidRPr="00371F63" w:rsidRDefault="00E600D3" w:rsidP="00E600D3">
      <w:pPr>
        <w:tabs>
          <w:tab w:val="right" w:pos="8789"/>
        </w:tabs>
        <w:ind w:left="567" w:right="1984" w:hanging="567"/>
        <w:jc w:val="both"/>
      </w:pPr>
      <w:r w:rsidRPr="00371F63">
        <w:t>7.4</w:t>
      </w:r>
      <w:r w:rsidRPr="00371F63">
        <w:tab/>
        <w:t xml:space="preserve">Change in the name and/or address of the holder and/or, where the holder is a legal entity, introduction of or change in the indications concerning the legal nature of the holder and the State and, where applicable, the territorial unit within that State under the law of which the said legal entity has been organized for one or more international registrations for which the same recording or change is requested in the same </w:t>
      </w:r>
      <w:r w:rsidRPr="00B27CAF">
        <w:t>f</w:t>
      </w:r>
      <w:r w:rsidRPr="00371F63">
        <w:t>o</w:t>
      </w:r>
      <w:r w:rsidRPr="00B27CAF">
        <w:t>r</w:t>
      </w:r>
      <w:r w:rsidRPr="00371F63">
        <w:t>m </w:t>
      </w:r>
      <w:r w:rsidRPr="00371F63">
        <w:tab/>
        <w:t>150</w:t>
      </w:r>
    </w:p>
    <w:p w:rsidR="00E600D3" w:rsidRPr="00371F63" w:rsidRDefault="00E600D3" w:rsidP="00E600D3">
      <w:pPr>
        <w:rPr>
          <w:lang w:eastAsia="en-US"/>
        </w:rPr>
      </w:pPr>
    </w:p>
    <w:p w:rsidR="00E600D3" w:rsidRPr="00371F63" w:rsidRDefault="00E600D3" w:rsidP="00E600D3">
      <w:r w:rsidRPr="00371F63">
        <w:t>[…]</w:t>
      </w:r>
    </w:p>
    <w:p w:rsidR="00E600D3" w:rsidRPr="00371F63" w:rsidRDefault="00E600D3" w:rsidP="00E600D3">
      <w:pPr>
        <w:rPr>
          <w:lang w:eastAsia="en-US"/>
        </w:rPr>
      </w:pPr>
    </w:p>
    <w:p w:rsidR="00E600D3" w:rsidRPr="00371F63" w:rsidRDefault="00E600D3" w:rsidP="00E600D3">
      <w:pPr>
        <w:rPr>
          <w:lang w:eastAsia="en-US"/>
        </w:rPr>
      </w:pPr>
    </w:p>
    <w:p w:rsidR="00E600D3" w:rsidRDefault="00E600D3" w:rsidP="00E600D3">
      <w:pPr>
        <w:pStyle w:val="Default"/>
      </w:pPr>
    </w:p>
    <w:p w:rsidR="00163F61" w:rsidRDefault="00E600D3" w:rsidP="00E600D3">
      <w:pPr>
        <w:pStyle w:val="Endofdocument-Annex"/>
        <w:ind w:left="5533"/>
      </w:pPr>
      <w:r>
        <w:t>[Annex II follows]</w:t>
      </w:r>
    </w:p>
    <w:p w:rsidR="00E600D3" w:rsidRDefault="00E600D3" w:rsidP="00E600D3">
      <w:pPr>
        <w:pStyle w:val="Endofdocument-Annex"/>
        <w:ind w:left="5533"/>
      </w:pPr>
    </w:p>
    <w:p w:rsidR="00E600D3" w:rsidRDefault="00E600D3" w:rsidP="00E600D3">
      <w:pPr>
        <w:pStyle w:val="Endofdocument-Annex"/>
        <w:ind w:left="5533"/>
        <w:sectPr w:rsidR="00E600D3" w:rsidSect="0041560F">
          <w:headerReference w:type="default" r:id="rId12"/>
          <w:headerReference w:type="first" r:id="rId13"/>
          <w:endnotePr>
            <w:numFmt w:val="decimal"/>
          </w:endnotePr>
          <w:pgSz w:w="11907" w:h="16840" w:code="9"/>
          <w:pgMar w:top="567" w:right="1134" w:bottom="568" w:left="1418" w:header="510" w:footer="1021" w:gutter="0"/>
          <w:pgNumType w:start="2"/>
          <w:cols w:space="720"/>
          <w:titlePg/>
          <w:docGrid w:linePitch="299"/>
        </w:sectPr>
      </w:pPr>
    </w:p>
    <w:p w:rsidR="00EF2DB1" w:rsidRDefault="00D23577" w:rsidP="00EF2DB1">
      <w:pPr>
        <w:pStyle w:val="Endofdocument-Annex"/>
        <w:ind w:left="0"/>
      </w:pPr>
      <w:bookmarkStart w:id="1" w:name="_GoBack"/>
      <w:r>
        <w:rPr>
          <w:noProof/>
          <w:lang w:eastAsia="en-US"/>
        </w:rPr>
        <w:drawing>
          <wp:anchor distT="0" distB="0" distL="114300" distR="114300" simplePos="0" relativeHeight="251663360" behindDoc="0" locked="0" layoutInCell="1" allowOverlap="1">
            <wp:simplePos x="899160" y="647700"/>
            <wp:positionH relativeFrom="margin">
              <wp:align>center</wp:align>
            </wp:positionH>
            <wp:positionV relativeFrom="margin">
              <wp:align>center</wp:align>
            </wp:positionV>
            <wp:extent cx="6800400" cy="95904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00400" cy="9590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rsidR="00EF2DB1" w:rsidRDefault="00EF2DB1" w:rsidP="00EF2DB1">
      <w:pPr>
        <w:pStyle w:val="Endofdocument-Annex"/>
        <w:ind w:left="0"/>
        <w:sectPr w:rsidR="00EF2DB1" w:rsidSect="0041560F">
          <w:headerReference w:type="first" r:id="rId15"/>
          <w:endnotePr>
            <w:numFmt w:val="decimal"/>
          </w:endnotePr>
          <w:pgSz w:w="11907" w:h="16840" w:code="9"/>
          <w:pgMar w:top="567" w:right="1134" w:bottom="568" w:left="1418" w:header="510" w:footer="1021" w:gutter="0"/>
          <w:pgNumType w:start="2"/>
          <w:cols w:space="720"/>
          <w:titlePg/>
          <w:docGrid w:linePitch="299"/>
        </w:sectPr>
      </w:pPr>
    </w:p>
    <w:p w:rsidR="00EF2DB1" w:rsidRDefault="00EF2DB1" w:rsidP="00EF2DB1">
      <w:pPr>
        <w:pStyle w:val="Endofdocument-Annex"/>
        <w:ind w:left="0"/>
      </w:pPr>
      <w:r>
        <w:rPr>
          <w:noProof/>
          <w:lang w:eastAsia="en-US"/>
        </w:rPr>
        <w:drawing>
          <wp:anchor distT="0" distB="0" distL="114300" distR="114300" simplePos="0" relativeHeight="251659264" behindDoc="0" locked="0" layoutInCell="1" allowOverlap="1">
            <wp:simplePos x="902970" y="641985"/>
            <wp:positionH relativeFrom="margin">
              <wp:align>center</wp:align>
            </wp:positionH>
            <wp:positionV relativeFrom="margin">
              <wp:align>center</wp:align>
            </wp:positionV>
            <wp:extent cx="6811200" cy="958680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11200" cy="958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2DB1" w:rsidRDefault="00EF2DB1" w:rsidP="00EF2DB1">
      <w:pPr>
        <w:pStyle w:val="Endofdocument-Annex"/>
        <w:ind w:left="0"/>
        <w:sectPr w:rsidR="00EF2DB1" w:rsidSect="0041560F">
          <w:headerReference w:type="first" r:id="rId17"/>
          <w:endnotePr>
            <w:numFmt w:val="decimal"/>
          </w:endnotePr>
          <w:pgSz w:w="11907" w:h="16840" w:code="9"/>
          <w:pgMar w:top="567" w:right="1134" w:bottom="568" w:left="1418" w:header="510" w:footer="1021" w:gutter="0"/>
          <w:pgNumType w:start="2"/>
          <w:cols w:space="720"/>
          <w:titlePg/>
          <w:docGrid w:linePitch="299"/>
        </w:sectPr>
      </w:pPr>
    </w:p>
    <w:p w:rsidR="00EF2DB1" w:rsidRDefault="00EF2DB1" w:rsidP="00EF2DB1">
      <w:pPr>
        <w:pStyle w:val="Endofdocument-Annex"/>
        <w:ind w:left="0"/>
      </w:pPr>
      <w:r>
        <w:rPr>
          <w:noProof/>
          <w:lang w:eastAsia="en-US"/>
        </w:rPr>
        <w:drawing>
          <wp:anchor distT="0" distB="0" distL="114300" distR="114300" simplePos="0" relativeHeight="251660288" behindDoc="0" locked="0" layoutInCell="1" allowOverlap="1" wp14:anchorId="06308221" wp14:editId="0DFCEAA2">
            <wp:simplePos x="902970" y="805180"/>
            <wp:positionH relativeFrom="margin">
              <wp:align>center</wp:align>
            </wp:positionH>
            <wp:positionV relativeFrom="margin">
              <wp:align>center</wp:align>
            </wp:positionV>
            <wp:extent cx="6811200" cy="9586800"/>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1200" cy="958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2DB1" w:rsidRDefault="00EF2DB1" w:rsidP="00EF2DB1">
      <w:pPr>
        <w:pStyle w:val="Endofdocument-Annex"/>
        <w:ind w:left="0"/>
        <w:sectPr w:rsidR="00EF2DB1" w:rsidSect="00EF2DB1">
          <w:endnotePr>
            <w:numFmt w:val="decimal"/>
          </w:endnotePr>
          <w:pgSz w:w="11907" w:h="16840" w:code="9"/>
          <w:pgMar w:top="567" w:right="1134" w:bottom="568" w:left="1418" w:header="510" w:footer="1021" w:gutter="0"/>
          <w:cols w:space="720"/>
          <w:titlePg/>
          <w:docGrid w:linePitch="299"/>
        </w:sectPr>
      </w:pPr>
    </w:p>
    <w:p w:rsidR="00EF2DB1" w:rsidRDefault="00EF2DB1" w:rsidP="00EF2DB1">
      <w:pPr>
        <w:pStyle w:val="Endofdocument-Annex"/>
        <w:ind w:left="0"/>
      </w:pPr>
      <w:r>
        <w:rPr>
          <w:noProof/>
          <w:lang w:eastAsia="en-US"/>
        </w:rPr>
        <w:drawing>
          <wp:anchor distT="0" distB="0" distL="114300" distR="114300" simplePos="0" relativeHeight="251661312" behindDoc="0" locked="0" layoutInCell="1" allowOverlap="1">
            <wp:simplePos x="902970" y="641985"/>
            <wp:positionH relativeFrom="margin">
              <wp:align>center</wp:align>
            </wp:positionH>
            <wp:positionV relativeFrom="margin">
              <wp:align>center</wp:align>
            </wp:positionV>
            <wp:extent cx="6811200" cy="958680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11200" cy="95868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rsidR="00280BC8" w:rsidRDefault="00EF2DB1" w:rsidP="00D921F5">
      <w:pPr>
        <w:pStyle w:val="Endofdocument-Annex"/>
        <w:ind w:left="0"/>
      </w:pPr>
      <w:r>
        <w:rPr>
          <w:noProof/>
          <w:lang w:eastAsia="en-US"/>
        </w:rPr>
        <w:drawing>
          <wp:anchor distT="0" distB="0" distL="114300" distR="114300" simplePos="0" relativeHeight="251662336" behindDoc="0" locked="0" layoutInCell="1" allowOverlap="1" wp14:anchorId="5E075181" wp14:editId="59CEB2B4">
            <wp:simplePos x="902970" y="641985"/>
            <wp:positionH relativeFrom="margin">
              <wp:align>center</wp:align>
            </wp:positionH>
            <wp:positionV relativeFrom="margin">
              <wp:align>top</wp:align>
            </wp:positionV>
            <wp:extent cx="6811200" cy="9586800"/>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11200" cy="95868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rsidR="00280BC8" w:rsidRDefault="00280BC8" w:rsidP="00D921F5">
      <w:pPr>
        <w:pStyle w:val="Endofdocument-Annex"/>
        <w:ind w:left="0"/>
      </w:pPr>
    </w:p>
    <w:p w:rsidR="00EF2DB1" w:rsidRPr="00EF2DB1" w:rsidRDefault="00280BC8" w:rsidP="00280BC8">
      <w:pPr>
        <w:pStyle w:val="Endofdocument-Annex"/>
        <w:ind w:left="5533"/>
      </w:pPr>
      <w:r>
        <w:t>[End of Annex II</w:t>
      </w:r>
      <w:r w:rsidR="00D921F5">
        <w:rPr>
          <w:noProof/>
          <w:lang w:eastAsia="en-US"/>
        </w:rPr>
        <w:drawing>
          <wp:anchor distT="0" distB="0" distL="114300" distR="114300" simplePos="0" relativeHeight="251661823" behindDoc="0" locked="0" layoutInCell="1" allowOverlap="1" wp14:anchorId="4E109D14" wp14:editId="6E66D97C">
            <wp:simplePos x="0" y="0"/>
            <wp:positionH relativeFrom="margin">
              <wp:align>center</wp:align>
            </wp:positionH>
            <wp:positionV relativeFrom="margin">
              <wp:align>top</wp:align>
            </wp:positionV>
            <wp:extent cx="6325235" cy="89039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25235" cy="8903970"/>
                    </a:xfrm>
                    <a:prstGeom prst="rect">
                      <a:avLst/>
                    </a:prstGeom>
                    <a:noFill/>
                    <a:ln>
                      <a:noFill/>
                    </a:ln>
                  </pic:spPr>
                </pic:pic>
              </a:graphicData>
            </a:graphic>
            <wp14:sizeRelH relativeFrom="margin">
              <wp14:pctWidth>0</wp14:pctWidth>
            </wp14:sizeRelH>
            <wp14:sizeRelV relativeFrom="margin">
              <wp14:pctHeight>0</wp14:pctHeight>
            </wp14:sizeRelV>
          </wp:anchor>
        </w:drawing>
      </w:r>
      <w:r>
        <w:t>]</w:t>
      </w:r>
    </w:p>
    <w:sectPr w:rsidR="00EF2DB1" w:rsidRPr="00EF2DB1" w:rsidSect="00EF2DB1">
      <w:headerReference w:type="default" r:id="rId22"/>
      <w:headerReference w:type="first" r:id="rId23"/>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B4" w:rsidRDefault="00514DB4">
      <w:r>
        <w:separator/>
      </w:r>
    </w:p>
  </w:endnote>
  <w:endnote w:type="continuationSeparator" w:id="0">
    <w:p w:rsidR="00514DB4" w:rsidRDefault="00514DB4" w:rsidP="003B38C1">
      <w:r>
        <w:separator/>
      </w:r>
    </w:p>
    <w:p w:rsidR="00514DB4" w:rsidRPr="003B38C1" w:rsidRDefault="00514DB4" w:rsidP="003B38C1">
      <w:pPr>
        <w:spacing w:after="60"/>
        <w:rPr>
          <w:sz w:val="17"/>
        </w:rPr>
      </w:pPr>
      <w:r>
        <w:rPr>
          <w:sz w:val="17"/>
        </w:rPr>
        <w:t>[Endnote continued from previous page]</w:t>
      </w:r>
    </w:p>
  </w:endnote>
  <w:endnote w:type="continuationNotice" w:id="1">
    <w:p w:rsidR="00514DB4" w:rsidRPr="003B38C1" w:rsidRDefault="00514D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B4" w:rsidRDefault="00514DB4">
      <w:r>
        <w:separator/>
      </w:r>
    </w:p>
  </w:footnote>
  <w:footnote w:type="continuationSeparator" w:id="0">
    <w:p w:rsidR="00514DB4" w:rsidRDefault="00514DB4" w:rsidP="008B60B2">
      <w:r>
        <w:separator/>
      </w:r>
    </w:p>
    <w:p w:rsidR="00514DB4" w:rsidRPr="00ED77FB" w:rsidRDefault="00514DB4" w:rsidP="008B60B2">
      <w:pPr>
        <w:spacing w:after="60"/>
        <w:rPr>
          <w:sz w:val="17"/>
          <w:szCs w:val="17"/>
        </w:rPr>
      </w:pPr>
      <w:r w:rsidRPr="00ED77FB">
        <w:rPr>
          <w:sz w:val="17"/>
          <w:szCs w:val="17"/>
        </w:rPr>
        <w:t>[Footnote continued from previous page]</w:t>
      </w:r>
    </w:p>
  </w:footnote>
  <w:footnote w:type="continuationNotice" w:id="1">
    <w:p w:rsidR="00514DB4" w:rsidRPr="00ED77FB" w:rsidRDefault="00514DB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D23577">
      <w:rPr>
        <w:noProof/>
      </w:rPr>
      <w:t>2</w:t>
    </w:r>
    <w:r w:rsidR="00163F61">
      <w:fldChar w:fldCharType="end"/>
    </w:r>
  </w:p>
  <w:p w:rsidR="00163F61" w:rsidRDefault="00163F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D3" w:rsidRDefault="00E600D3" w:rsidP="00E600D3">
    <w:pPr>
      <w:pStyle w:val="Header"/>
      <w:jc w:val="right"/>
    </w:pPr>
    <w:r>
      <w:t>ANNEX I</w:t>
    </w:r>
  </w:p>
  <w:p w:rsidR="00E600D3" w:rsidRDefault="00E600D3" w:rsidP="00E600D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B1" w:rsidRDefault="00EF2DB1" w:rsidP="00EF2DB1">
    <w:pPr>
      <w:pStyle w:val="Header"/>
      <w:jc w:val="right"/>
      <w:rPr>
        <w:noProof/>
        <w:lang w:val="fr-CH"/>
      </w:rPr>
    </w:pPr>
    <w:proofErr w:type="spellStart"/>
    <w:r w:rsidRPr="00B27CAF">
      <w:rPr>
        <w:lang w:val="fr-CH"/>
      </w:rPr>
      <w:t>A</w:t>
    </w:r>
    <w:r>
      <w:rPr>
        <w:lang w:val="fr-CH"/>
      </w:rPr>
      <w:t>nnex</w:t>
    </w:r>
    <w:proofErr w:type="spellEnd"/>
    <w:r>
      <w:rPr>
        <w:lang w:val="fr-CH"/>
      </w:rPr>
      <w:t xml:space="preserve"> I, page </w:t>
    </w:r>
    <w:r w:rsidRPr="00E600D3">
      <w:rPr>
        <w:lang w:val="fr-CH"/>
      </w:rPr>
      <w:fldChar w:fldCharType="begin"/>
    </w:r>
    <w:r w:rsidRPr="00E600D3">
      <w:rPr>
        <w:lang w:val="fr-CH"/>
      </w:rPr>
      <w:instrText xml:space="preserve"> PAGE   \* MERGEFORMAT </w:instrText>
    </w:r>
    <w:r w:rsidRPr="00E600D3">
      <w:rPr>
        <w:lang w:val="fr-CH"/>
      </w:rPr>
      <w:fldChar w:fldCharType="separate"/>
    </w:r>
    <w:r w:rsidR="00D23577">
      <w:rPr>
        <w:noProof/>
        <w:lang w:val="fr-CH"/>
      </w:rPr>
      <w:t>4</w:t>
    </w:r>
    <w:r w:rsidRPr="00E600D3">
      <w:rPr>
        <w:noProof/>
        <w:lang w:val="fr-CH"/>
      </w:rPr>
      <w:fldChar w:fldCharType="end"/>
    </w:r>
  </w:p>
  <w:p w:rsidR="00EF2DB1" w:rsidRPr="00B27CAF" w:rsidRDefault="00EF2DB1" w:rsidP="00EF2DB1">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Default="00EE28B7" w:rsidP="004B65A5">
    <w:pPr>
      <w:pStyle w:val="Header"/>
      <w:jc w:val="right"/>
      <w:rPr>
        <w:noProof/>
        <w:lang w:val="fr-CH"/>
      </w:rPr>
    </w:pPr>
    <w:proofErr w:type="spellStart"/>
    <w:r w:rsidRPr="00B27CAF">
      <w:rPr>
        <w:lang w:val="fr-CH"/>
      </w:rPr>
      <w:t>A</w:t>
    </w:r>
    <w:r w:rsidR="00E600D3">
      <w:rPr>
        <w:lang w:val="fr-CH"/>
      </w:rPr>
      <w:t>nnex</w:t>
    </w:r>
    <w:proofErr w:type="spellEnd"/>
    <w:r w:rsidR="00E600D3">
      <w:rPr>
        <w:lang w:val="fr-CH"/>
      </w:rPr>
      <w:t> </w:t>
    </w:r>
    <w:r>
      <w:rPr>
        <w:lang w:val="fr-CH"/>
      </w:rPr>
      <w:t>I</w:t>
    </w:r>
    <w:r w:rsidR="00E600D3">
      <w:rPr>
        <w:lang w:val="fr-CH"/>
      </w:rPr>
      <w:t xml:space="preserve">, page </w:t>
    </w:r>
    <w:r w:rsidR="00E600D3" w:rsidRPr="00E600D3">
      <w:rPr>
        <w:lang w:val="fr-CH"/>
      </w:rPr>
      <w:fldChar w:fldCharType="begin"/>
    </w:r>
    <w:r w:rsidR="00E600D3" w:rsidRPr="00E600D3">
      <w:rPr>
        <w:lang w:val="fr-CH"/>
      </w:rPr>
      <w:instrText xml:space="preserve"> PAGE   \* MERGEFORMAT </w:instrText>
    </w:r>
    <w:r w:rsidR="00E600D3" w:rsidRPr="00E600D3">
      <w:rPr>
        <w:lang w:val="fr-CH"/>
      </w:rPr>
      <w:fldChar w:fldCharType="separate"/>
    </w:r>
    <w:r w:rsidR="00D23577">
      <w:rPr>
        <w:noProof/>
        <w:lang w:val="fr-CH"/>
      </w:rPr>
      <w:t>2</w:t>
    </w:r>
    <w:r w:rsidR="00E600D3" w:rsidRPr="00E600D3">
      <w:rPr>
        <w:noProof/>
        <w:lang w:val="fr-CH"/>
      </w:rPr>
      <w:fldChar w:fldCharType="end"/>
    </w:r>
  </w:p>
  <w:p w:rsidR="00E600D3" w:rsidRPr="00B27CAF" w:rsidRDefault="00E600D3" w:rsidP="004B65A5">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D3" w:rsidRDefault="00E600D3" w:rsidP="004B65A5">
    <w:pPr>
      <w:pStyle w:val="Header"/>
      <w:jc w:val="right"/>
      <w:rPr>
        <w:noProof/>
        <w:lang w:val="fr-CH"/>
      </w:rPr>
    </w:pPr>
    <w:r w:rsidRPr="00B27CAF">
      <w:rPr>
        <w:lang w:val="fr-CH"/>
      </w:rPr>
      <w:t>A</w:t>
    </w:r>
    <w:r w:rsidR="00EF2DB1">
      <w:rPr>
        <w:lang w:val="fr-CH"/>
      </w:rPr>
      <w:t>NNEX</w:t>
    </w:r>
    <w:r>
      <w:rPr>
        <w:lang w:val="fr-CH"/>
      </w:rPr>
      <w:t> </w:t>
    </w:r>
    <w:r w:rsidR="00EF2DB1">
      <w:rPr>
        <w:lang w:val="fr-CH"/>
      </w:rPr>
      <w:t>II</w:t>
    </w:r>
  </w:p>
  <w:p w:rsidR="00E600D3" w:rsidRPr="00B27CAF" w:rsidRDefault="00E600D3" w:rsidP="004B65A5">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B1" w:rsidRDefault="00EF2DB1" w:rsidP="00EF2DB1">
    <w:pPr>
      <w:pStyle w:val="Header"/>
      <w:jc w:val="right"/>
    </w:pPr>
    <w:r>
      <w:t>Annex II, page </w:t>
    </w:r>
    <w:r>
      <w:fldChar w:fldCharType="begin"/>
    </w:r>
    <w:r>
      <w:instrText xml:space="preserve"> PAGE   \* MERGEFORMAT </w:instrText>
    </w:r>
    <w:r>
      <w:fldChar w:fldCharType="separate"/>
    </w:r>
    <w:r w:rsidR="00D23577">
      <w:rPr>
        <w:noProof/>
      </w:rPr>
      <w:t>2</w:t>
    </w:r>
    <w:r>
      <w:rPr>
        <w:noProof/>
      </w:rPr>
      <w:fldChar w:fldCharType="end"/>
    </w:r>
  </w:p>
  <w:p w:rsidR="00EF2DB1" w:rsidRPr="00B27CAF" w:rsidRDefault="00EF2DB1" w:rsidP="004B65A5">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F5" w:rsidRDefault="00D921F5" w:rsidP="00EF2DB1">
    <w:pPr>
      <w:pStyle w:val="Header"/>
      <w:jc w:val="right"/>
      <w:rPr>
        <w:noProof/>
        <w:lang w:val="fr-CH"/>
      </w:rPr>
    </w:pPr>
    <w:proofErr w:type="spellStart"/>
    <w:r w:rsidRPr="00B27CAF">
      <w:rPr>
        <w:lang w:val="fr-CH"/>
      </w:rPr>
      <w:t>A</w:t>
    </w:r>
    <w:r>
      <w:rPr>
        <w:lang w:val="fr-CH"/>
      </w:rPr>
      <w:t>nnex</w:t>
    </w:r>
    <w:proofErr w:type="spellEnd"/>
    <w:r>
      <w:rPr>
        <w:lang w:val="fr-CH"/>
      </w:rPr>
      <w:t xml:space="preserve"> II, page </w:t>
    </w:r>
    <w:r w:rsidRPr="00E600D3">
      <w:rPr>
        <w:lang w:val="fr-CH"/>
      </w:rPr>
      <w:fldChar w:fldCharType="begin"/>
    </w:r>
    <w:r w:rsidRPr="00E600D3">
      <w:rPr>
        <w:lang w:val="fr-CH"/>
      </w:rPr>
      <w:instrText xml:space="preserve"> PAGE   \* MERGEFORMAT </w:instrText>
    </w:r>
    <w:r w:rsidRPr="00E600D3">
      <w:rPr>
        <w:lang w:val="fr-CH"/>
      </w:rPr>
      <w:fldChar w:fldCharType="separate"/>
    </w:r>
    <w:r w:rsidR="00D23577">
      <w:rPr>
        <w:noProof/>
        <w:lang w:val="fr-CH"/>
      </w:rPr>
      <w:t>6</w:t>
    </w:r>
    <w:r w:rsidRPr="00E600D3">
      <w:rPr>
        <w:noProof/>
        <w:lang w:val="fr-CH"/>
      </w:rPr>
      <w:fldChar w:fldCharType="end"/>
    </w:r>
  </w:p>
  <w:p w:rsidR="00D921F5" w:rsidRPr="00B27CAF" w:rsidRDefault="00D921F5" w:rsidP="00EF2DB1">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B1" w:rsidRDefault="00EF2DB1" w:rsidP="00EF2DB1">
    <w:pPr>
      <w:pStyle w:val="Header"/>
      <w:jc w:val="right"/>
    </w:pPr>
    <w:r>
      <w:t>Annex II, page </w:t>
    </w:r>
    <w:r>
      <w:rPr>
        <w:noProof/>
      </w:rPr>
      <w:fldChar w:fldCharType="begin"/>
    </w:r>
    <w:r>
      <w:rPr>
        <w:noProof/>
      </w:rPr>
      <w:instrText xml:space="preserve"> PAGE   \* MERGEFORMAT </w:instrText>
    </w:r>
    <w:r>
      <w:rPr>
        <w:noProof/>
      </w:rPr>
      <w:fldChar w:fldCharType="separate"/>
    </w:r>
    <w:r w:rsidR="00D23577">
      <w:rPr>
        <w:noProof/>
      </w:rPr>
      <w:t>4</w:t>
    </w:r>
    <w:r>
      <w:rPr>
        <w:noProof/>
      </w:rPr>
      <w:fldChar w:fldCharType="end"/>
    </w:r>
  </w:p>
  <w:p w:rsidR="00EF2DB1" w:rsidRPr="00B27CAF" w:rsidRDefault="00EF2DB1" w:rsidP="004B65A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0"/>
  </w:num>
  <w:num w:numId="5">
    <w:abstractNumId w:val="7"/>
  </w:num>
  <w:num w:numId="6">
    <w:abstractNumId w:val="1"/>
  </w:num>
  <w:num w:numId="7">
    <w:abstractNumId w:val="4"/>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207D6"/>
    <w:rsid w:val="00026EB0"/>
    <w:rsid w:val="0003752D"/>
    <w:rsid w:val="00043313"/>
    <w:rsid w:val="00043CAA"/>
    <w:rsid w:val="000451C0"/>
    <w:rsid w:val="00051A19"/>
    <w:rsid w:val="000617A9"/>
    <w:rsid w:val="0006182B"/>
    <w:rsid w:val="00065151"/>
    <w:rsid w:val="000728FF"/>
    <w:rsid w:val="00075432"/>
    <w:rsid w:val="00085DDD"/>
    <w:rsid w:val="000968ED"/>
    <w:rsid w:val="000A525D"/>
    <w:rsid w:val="000B7069"/>
    <w:rsid w:val="000D36FD"/>
    <w:rsid w:val="000D3921"/>
    <w:rsid w:val="000E73ED"/>
    <w:rsid w:val="000F5E56"/>
    <w:rsid w:val="00107BB7"/>
    <w:rsid w:val="00112A0A"/>
    <w:rsid w:val="00122926"/>
    <w:rsid w:val="001272E3"/>
    <w:rsid w:val="00131BD8"/>
    <w:rsid w:val="00133F53"/>
    <w:rsid w:val="001362EE"/>
    <w:rsid w:val="001370D1"/>
    <w:rsid w:val="00143BC7"/>
    <w:rsid w:val="0015037D"/>
    <w:rsid w:val="00153AE0"/>
    <w:rsid w:val="00163F61"/>
    <w:rsid w:val="00166299"/>
    <w:rsid w:val="00174735"/>
    <w:rsid w:val="001809F6"/>
    <w:rsid w:val="00182AAC"/>
    <w:rsid w:val="001832A6"/>
    <w:rsid w:val="001838D5"/>
    <w:rsid w:val="00183E9E"/>
    <w:rsid w:val="0018470B"/>
    <w:rsid w:val="00185E31"/>
    <w:rsid w:val="00186DE1"/>
    <w:rsid w:val="00192FAA"/>
    <w:rsid w:val="001A27E8"/>
    <w:rsid w:val="001B2B85"/>
    <w:rsid w:val="001B3110"/>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1451"/>
    <w:rsid w:val="0023598F"/>
    <w:rsid w:val="002408FD"/>
    <w:rsid w:val="00251890"/>
    <w:rsid w:val="0025278E"/>
    <w:rsid w:val="00253A4B"/>
    <w:rsid w:val="00262D96"/>
    <w:rsid w:val="002634C4"/>
    <w:rsid w:val="00271540"/>
    <w:rsid w:val="002733D2"/>
    <w:rsid w:val="00277484"/>
    <w:rsid w:val="00280BC8"/>
    <w:rsid w:val="002823CC"/>
    <w:rsid w:val="00284ACE"/>
    <w:rsid w:val="0028526F"/>
    <w:rsid w:val="002928D3"/>
    <w:rsid w:val="00293B57"/>
    <w:rsid w:val="002A2E4F"/>
    <w:rsid w:val="002A7210"/>
    <w:rsid w:val="002B6590"/>
    <w:rsid w:val="002C1554"/>
    <w:rsid w:val="002C168C"/>
    <w:rsid w:val="002C38D8"/>
    <w:rsid w:val="002C544F"/>
    <w:rsid w:val="002C563A"/>
    <w:rsid w:val="002F016B"/>
    <w:rsid w:val="002F1FE6"/>
    <w:rsid w:val="002F4E68"/>
    <w:rsid w:val="002F589C"/>
    <w:rsid w:val="002F641E"/>
    <w:rsid w:val="00300795"/>
    <w:rsid w:val="00312F7F"/>
    <w:rsid w:val="00317670"/>
    <w:rsid w:val="003235A0"/>
    <w:rsid w:val="00323A37"/>
    <w:rsid w:val="00324A0A"/>
    <w:rsid w:val="00324A92"/>
    <w:rsid w:val="00332FFB"/>
    <w:rsid w:val="00335EC1"/>
    <w:rsid w:val="00347330"/>
    <w:rsid w:val="00347934"/>
    <w:rsid w:val="0035459C"/>
    <w:rsid w:val="0035626E"/>
    <w:rsid w:val="00356D9F"/>
    <w:rsid w:val="00357985"/>
    <w:rsid w:val="003612A1"/>
    <w:rsid w:val="00361450"/>
    <w:rsid w:val="00361AE2"/>
    <w:rsid w:val="003637D7"/>
    <w:rsid w:val="00363931"/>
    <w:rsid w:val="00365541"/>
    <w:rsid w:val="003673CF"/>
    <w:rsid w:val="00367964"/>
    <w:rsid w:val="0037327E"/>
    <w:rsid w:val="003834F1"/>
    <w:rsid w:val="003845C1"/>
    <w:rsid w:val="00390376"/>
    <w:rsid w:val="00393757"/>
    <w:rsid w:val="00395B20"/>
    <w:rsid w:val="003A6732"/>
    <w:rsid w:val="003A6F89"/>
    <w:rsid w:val="003B38C1"/>
    <w:rsid w:val="003B45F8"/>
    <w:rsid w:val="003C06B7"/>
    <w:rsid w:val="003C2450"/>
    <w:rsid w:val="003E05CF"/>
    <w:rsid w:val="003E0D9F"/>
    <w:rsid w:val="003E165E"/>
    <w:rsid w:val="004052E1"/>
    <w:rsid w:val="00411FB2"/>
    <w:rsid w:val="00414A9E"/>
    <w:rsid w:val="00423E3E"/>
    <w:rsid w:val="004270A2"/>
    <w:rsid w:val="00427AF4"/>
    <w:rsid w:val="00434125"/>
    <w:rsid w:val="004630B4"/>
    <w:rsid w:val="004647DA"/>
    <w:rsid w:val="00466BC7"/>
    <w:rsid w:val="0046765F"/>
    <w:rsid w:val="0047006A"/>
    <w:rsid w:val="00474062"/>
    <w:rsid w:val="004768A2"/>
    <w:rsid w:val="00477D6B"/>
    <w:rsid w:val="00477EF9"/>
    <w:rsid w:val="004935CA"/>
    <w:rsid w:val="004936FC"/>
    <w:rsid w:val="004947C5"/>
    <w:rsid w:val="004B0093"/>
    <w:rsid w:val="004B336C"/>
    <w:rsid w:val="004C7C7E"/>
    <w:rsid w:val="004D1DAA"/>
    <w:rsid w:val="004D5FD7"/>
    <w:rsid w:val="004E2CBA"/>
    <w:rsid w:val="004F5A30"/>
    <w:rsid w:val="005019FF"/>
    <w:rsid w:val="00514DB4"/>
    <w:rsid w:val="005169E3"/>
    <w:rsid w:val="005233C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A7440"/>
    <w:rsid w:val="005B5479"/>
    <w:rsid w:val="005C6649"/>
    <w:rsid w:val="005C720D"/>
    <w:rsid w:val="005D159E"/>
    <w:rsid w:val="005F2F3B"/>
    <w:rsid w:val="005F4F84"/>
    <w:rsid w:val="00605827"/>
    <w:rsid w:val="006110AF"/>
    <w:rsid w:val="00613134"/>
    <w:rsid w:val="006138DB"/>
    <w:rsid w:val="00634AF5"/>
    <w:rsid w:val="006359EF"/>
    <w:rsid w:val="00644AA2"/>
    <w:rsid w:val="00646050"/>
    <w:rsid w:val="006476BC"/>
    <w:rsid w:val="00647B0C"/>
    <w:rsid w:val="00654AE9"/>
    <w:rsid w:val="00660C7C"/>
    <w:rsid w:val="006659A7"/>
    <w:rsid w:val="00665B2A"/>
    <w:rsid w:val="006713CA"/>
    <w:rsid w:val="00674ABA"/>
    <w:rsid w:val="00675D58"/>
    <w:rsid w:val="00676C5C"/>
    <w:rsid w:val="00684699"/>
    <w:rsid w:val="00687B7E"/>
    <w:rsid w:val="006A143E"/>
    <w:rsid w:val="006A27A6"/>
    <w:rsid w:val="006B79F2"/>
    <w:rsid w:val="006C1666"/>
    <w:rsid w:val="006C7FD0"/>
    <w:rsid w:val="006D1756"/>
    <w:rsid w:val="006D3A81"/>
    <w:rsid w:val="006D3AB3"/>
    <w:rsid w:val="006D3C1B"/>
    <w:rsid w:val="006D529E"/>
    <w:rsid w:val="006E41AA"/>
    <w:rsid w:val="006E6086"/>
    <w:rsid w:val="006F073B"/>
    <w:rsid w:val="006F19F0"/>
    <w:rsid w:val="006F33FF"/>
    <w:rsid w:val="007227A5"/>
    <w:rsid w:val="00723A6D"/>
    <w:rsid w:val="007303D8"/>
    <w:rsid w:val="00740B7F"/>
    <w:rsid w:val="00751EEE"/>
    <w:rsid w:val="00760CDD"/>
    <w:rsid w:val="00763F95"/>
    <w:rsid w:val="007641F5"/>
    <w:rsid w:val="00764A6E"/>
    <w:rsid w:val="00767C4D"/>
    <w:rsid w:val="00773CE3"/>
    <w:rsid w:val="00775EBD"/>
    <w:rsid w:val="00782581"/>
    <w:rsid w:val="00790A94"/>
    <w:rsid w:val="007A0427"/>
    <w:rsid w:val="007A0D38"/>
    <w:rsid w:val="007A1B85"/>
    <w:rsid w:val="007A69A5"/>
    <w:rsid w:val="007B7F73"/>
    <w:rsid w:val="007C3E9B"/>
    <w:rsid w:val="007D1613"/>
    <w:rsid w:val="007D250A"/>
    <w:rsid w:val="007E5BA3"/>
    <w:rsid w:val="007F4D09"/>
    <w:rsid w:val="007F62D1"/>
    <w:rsid w:val="00804EC4"/>
    <w:rsid w:val="0081434F"/>
    <w:rsid w:val="00817974"/>
    <w:rsid w:val="00824519"/>
    <w:rsid w:val="0082544E"/>
    <w:rsid w:val="008316B8"/>
    <w:rsid w:val="00841ED0"/>
    <w:rsid w:val="00845731"/>
    <w:rsid w:val="00853FA8"/>
    <w:rsid w:val="00854071"/>
    <w:rsid w:val="00864DDA"/>
    <w:rsid w:val="00885618"/>
    <w:rsid w:val="00885DBD"/>
    <w:rsid w:val="00886684"/>
    <w:rsid w:val="008929D1"/>
    <w:rsid w:val="008948BE"/>
    <w:rsid w:val="008977D0"/>
    <w:rsid w:val="008A175B"/>
    <w:rsid w:val="008B23F7"/>
    <w:rsid w:val="008B2CC1"/>
    <w:rsid w:val="008B60B2"/>
    <w:rsid w:val="008C2D2F"/>
    <w:rsid w:val="008C2FE6"/>
    <w:rsid w:val="008D342E"/>
    <w:rsid w:val="008D5107"/>
    <w:rsid w:val="008E2D2F"/>
    <w:rsid w:val="008F1F70"/>
    <w:rsid w:val="0090731E"/>
    <w:rsid w:val="009114CE"/>
    <w:rsid w:val="00916EE2"/>
    <w:rsid w:val="00922789"/>
    <w:rsid w:val="00933780"/>
    <w:rsid w:val="009378BE"/>
    <w:rsid w:val="00940793"/>
    <w:rsid w:val="00943E32"/>
    <w:rsid w:val="009449F2"/>
    <w:rsid w:val="009627CD"/>
    <w:rsid w:val="00962E47"/>
    <w:rsid w:val="00965EC2"/>
    <w:rsid w:val="00966A22"/>
    <w:rsid w:val="0096722F"/>
    <w:rsid w:val="009711CF"/>
    <w:rsid w:val="0097455A"/>
    <w:rsid w:val="0097652C"/>
    <w:rsid w:val="00980843"/>
    <w:rsid w:val="00982023"/>
    <w:rsid w:val="009820CB"/>
    <w:rsid w:val="00987E9A"/>
    <w:rsid w:val="00997AAD"/>
    <w:rsid w:val="009A0B31"/>
    <w:rsid w:val="009A591F"/>
    <w:rsid w:val="009A7FCE"/>
    <w:rsid w:val="009C0C04"/>
    <w:rsid w:val="009D4892"/>
    <w:rsid w:val="009D5ABB"/>
    <w:rsid w:val="009E2791"/>
    <w:rsid w:val="009E3F6F"/>
    <w:rsid w:val="009E5F9F"/>
    <w:rsid w:val="009E72BA"/>
    <w:rsid w:val="009F2A14"/>
    <w:rsid w:val="009F499F"/>
    <w:rsid w:val="00A017A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46F96"/>
    <w:rsid w:val="00A7703B"/>
    <w:rsid w:val="00A8333E"/>
    <w:rsid w:val="00A869B7"/>
    <w:rsid w:val="00A94529"/>
    <w:rsid w:val="00A94E39"/>
    <w:rsid w:val="00AA1EEF"/>
    <w:rsid w:val="00AA647F"/>
    <w:rsid w:val="00AB74E9"/>
    <w:rsid w:val="00AC205C"/>
    <w:rsid w:val="00AC76CA"/>
    <w:rsid w:val="00AD38EE"/>
    <w:rsid w:val="00AE55AB"/>
    <w:rsid w:val="00AF0A6B"/>
    <w:rsid w:val="00AF31DE"/>
    <w:rsid w:val="00AF5108"/>
    <w:rsid w:val="00B05A69"/>
    <w:rsid w:val="00B1322D"/>
    <w:rsid w:val="00B21387"/>
    <w:rsid w:val="00B2247B"/>
    <w:rsid w:val="00B2590C"/>
    <w:rsid w:val="00B27CB2"/>
    <w:rsid w:val="00B30767"/>
    <w:rsid w:val="00B44E7C"/>
    <w:rsid w:val="00B46D7E"/>
    <w:rsid w:val="00B54D7D"/>
    <w:rsid w:val="00B577E1"/>
    <w:rsid w:val="00B71605"/>
    <w:rsid w:val="00B80B52"/>
    <w:rsid w:val="00B83157"/>
    <w:rsid w:val="00B85937"/>
    <w:rsid w:val="00B90A6D"/>
    <w:rsid w:val="00B91B2D"/>
    <w:rsid w:val="00B955CC"/>
    <w:rsid w:val="00B9734B"/>
    <w:rsid w:val="00B97A85"/>
    <w:rsid w:val="00BA17E2"/>
    <w:rsid w:val="00BA59F8"/>
    <w:rsid w:val="00BA63F6"/>
    <w:rsid w:val="00BA6624"/>
    <w:rsid w:val="00BA6DE5"/>
    <w:rsid w:val="00BB30F3"/>
    <w:rsid w:val="00BB78C7"/>
    <w:rsid w:val="00BC7CCD"/>
    <w:rsid w:val="00BD138A"/>
    <w:rsid w:val="00BD1BF1"/>
    <w:rsid w:val="00BD1ECD"/>
    <w:rsid w:val="00BE55D6"/>
    <w:rsid w:val="00BE5857"/>
    <w:rsid w:val="00BF1C76"/>
    <w:rsid w:val="00BF4174"/>
    <w:rsid w:val="00C11BFE"/>
    <w:rsid w:val="00C146FC"/>
    <w:rsid w:val="00C20357"/>
    <w:rsid w:val="00C20E53"/>
    <w:rsid w:val="00C30B85"/>
    <w:rsid w:val="00C32F61"/>
    <w:rsid w:val="00C34338"/>
    <w:rsid w:val="00C45642"/>
    <w:rsid w:val="00C47421"/>
    <w:rsid w:val="00C553FB"/>
    <w:rsid w:val="00C556FE"/>
    <w:rsid w:val="00C61A8F"/>
    <w:rsid w:val="00C63443"/>
    <w:rsid w:val="00C634D0"/>
    <w:rsid w:val="00C65F49"/>
    <w:rsid w:val="00C67841"/>
    <w:rsid w:val="00C72FF5"/>
    <w:rsid w:val="00C771EA"/>
    <w:rsid w:val="00C82EDC"/>
    <w:rsid w:val="00C85566"/>
    <w:rsid w:val="00C977DB"/>
    <w:rsid w:val="00CA36A4"/>
    <w:rsid w:val="00CA4166"/>
    <w:rsid w:val="00CB132F"/>
    <w:rsid w:val="00CB13CA"/>
    <w:rsid w:val="00CB5A5D"/>
    <w:rsid w:val="00CC3109"/>
    <w:rsid w:val="00CC5016"/>
    <w:rsid w:val="00CD3F54"/>
    <w:rsid w:val="00CE0A51"/>
    <w:rsid w:val="00CE0F4D"/>
    <w:rsid w:val="00CE11DD"/>
    <w:rsid w:val="00CE533B"/>
    <w:rsid w:val="00CE6390"/>
    <w:rsid w:val="00CF4469"/>
    <w:rsid w:val="00CF4536"/>
    <w:rsid w:val="00D01FB2"/>
    <w:rsid w:val="00D22BD4"/>
    <w:rsid w:val="00D23577"/>
    <w:rsid w:val="00D270DE"/>
    <w:rsid w:val="00D30CC7"/>
    <w:rsid w:val="00D31C2F"/>
    <w:rsid w:val="00D409DF"/>
    <w:rsid w:val="00D40A98"/>
    <w:rsid w:val="00D424EC"/>
    <w:rsid w:val="00D45252"/>
    <w:rsid w:val="00D45E96"/>
    <w:rsid w:val="00D57F87"/>
    <w:rsid w:val="00D57F90"/>
    <w:rsid w:val="00D71B4D"/>
    <w:rsid w:val="00D72FEC"/>
    <w:rsid w:val="00D76F38"/>
    <w:rsid w:val="00D826FA"/>
    <w:rsid w:val="00D90EE5"/>
    <w:rsid w:val="00D921F5"/>
    <w:rsid w:val="00D92287"/>
    <w:rsid w:val="00D93D55"/>
    <w:rsid w:val="00DA33BD"/>
    <w:rsid w:val="00DA74FC"/>
    <w:rsid w:val="00DB0560"/>
    <w:rsid w:val="00DB42CB"/>
    <w:rsid w:val="00DC3E50"/>
    <w:rsid w:val="00E00B14"/>
    <w:rsid w:val="00E13CD6"/>
    <w:rsid w:val="00E210C4"/>
    <w:rsid w:val="00E213EE"/>
    <w:rsid w:val="00E31548"/>
    <w:rsid w:val="00E335FE"/>
    <w:rsid w:val="00E40EDD"/>
    <w:rsid w:val="00E42B9A"/>
    <w:rsid w:val="00E515F0"/>
    <w:rsid w:val="00E52C2C"/>
    <w:rsid w:val="00E532DC"/>
    <w:rsid w:val="00E600D3"/>
    <w:rsid w:val="00E6635C"/>
    <w:rsid w:val="00E66C2C"/>
    <w:rsid w:val="00E80539"/>
    <w:rsid w:val="00E86D18"/>
    <w:rsid w:val="00EA4E3D"/>
    <w:rsid w:val="00EA6D64"/>
    <w:rsid w:val="00EA771F"/>
    <w:rsid w:val="00EB50E5"/>
    <w:rsid w:val="00EC23FC"/>
    <w:rsid w:val="00EC4E49"/>
    <w:rsid w:val="00EC572A"/>
    <w:rsid w:val="00ED4C4F"/>
    <w:rsid w:val="00ED77FB"/>
    <w:rsid w:val="00EE28B7"/>
    <w:rsid w:val="00EE45FA"/>
    <w:rsid w:val="00EE5748"/>
    <w:rsid w:val="00EE65D4"/>
    <w:rsid w:val="00EF0146"/>
    <w:rsid w:val="00EF2DB1"/>
    <w:rsid w:val="00F02197"/>
    <w:rsid w:val="00F03EFE"/>
    <w:rsid w:val="00F05EC7"/>
    <w:rsid w:val="00F06DF3"/>
    <w:rsid w:val="00F0720F"/>
    <w:rsid w:val="00F07E7C"/>
    <w:rsid w:val="00F11008"/>
    <w:rsid w:val="00F201C4"/>
    <w:rsid w:val="00F37F68"/>
    <w:rsid w:val="00F46B19"/>
    <w:rsid w:val="00F52AC0"/>
    <w:rsid w:val="00F543C0"/>
    <w:rsid w:val="00F62CDB"/>
    <w:rsid w:val="00F64B5E"/>
    <w:rsid w:val="00F65345"/>
    <w:rsid w:val="00F66152"/>
    <w:rsid w:val="00F7721F"/>
    <w:rsid w:val="00F87C3E"/>
    <w:rsid w:val="00F92873"/>
    <w:rsid w:val="00FA34C5"/>
    <w:rsid w:val="00FB3AF4"/>
    <w:rsid w:val="00FC2710"/>
    <w:rsid w:val="00FC3D36"/>
    <w:rsid w:val="00FC4C8A"/>
    <w:rsid w:val="00FF3F8D"/>
    <w:rsid w:val="00FF6E9A"/>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8E55-F8BA-4FED-822E-F10795D7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1844</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9</cp:revision>
  <cp:lastPrinted>2017-05-19T08:25:00Z</cp:lastPrinted>
  <dcterms:created xsi:type="dcterms:W3CDTF">2017-05-19T08:17:00Z</dcterms:created>
  <dcterms:modified xsi:type="dcterms:W3CDTF">2017-06-12T10:21:00Z</dcterms:modified>
</cp:coreProperties>
</file>