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95D1E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95D1E">
              <w:rPr>
                <w:rFonts w:ascii="Arial Black" w:hAnsi="Arial Black"/>
                <w:caps/>
                <w:sz w:val="15"/>
              </w:rPr>
              <w:t>35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F36BBB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A31724" w:rsidRDefault="00A31724" w:rsidP="00CC5016"/>
    <w:p w:rsidR="004E5754" w:rsidRDefault="004E5754" w:rsidP="00CC5016"/>
    <w:p w:rsidR="004E5754" w:rsidRPr="00D409DF" w:rsidRDefault="004E575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80539">
        <w:rPr>
          <w:b/>
          <w:bCs/>
          <w:sz w:val="24"/>
          <w:szCs w:val="24"/>
        </w:rPr>
        <w:t xml:space="preserve"> of the Individual Fee:  </w:t>
      </w:r>
      <w:r w:rsidR="00F36BBB">
        <w:rPr>
          <w:b/>
          <w:bCs/>
          <w:sz w:val="24"/>
          <w:szCs w:val="24"/>
        </w:rPr>
        <w:t>Japan</w:t>
      </w:r>
    </w:p>
    <w:p w:rsidR="006D1756" w:rsidRDefault="006D1756" w:rsidP="006D1756">
      <w:pPr>
        <w:rPr>
          <w:szCs w:val="22"/>
        </w:rPr>
      </w:pPr>
    </w:p>
    <w:p w:rsidR="00566C48" w:rsidRPr="003E165E" w:rsidRDefault="004E5754" w:rsidP="00490C05">
      <w:pPr>
        <w:pStyle w:val="ONUME"/>
      </w:pPr>
      <w:r>
        <w:rPr>
          <w:rFonts w:eastAsia="MS Mincho"/>
          <w:szCs w:val="22"/>
          <w:lang w:eastAsia="ja-JP"/>
        </w:rPr>
        <w:t>In accordance with Rule </w:t>
      </w:r>
      <w:r w:rsidR="00490C05" w:rsidRPr="00490C05">
        <w:rPr>
          <w:rFonts w:eastAsia="MS Mincho"/>
          <w:szCs w:val="22"/>
          <w:lang w:eastAsia="ja-JP"/>
        </w:rPr>
        <w:t xml:space="preserve">35(2)(c) of the Common Regulations under the Madrid Agreement and Protocol, the Director General of the World Intellectual Property Organization (WIPO) has, at the request of the Office of </w:t>
      </w:r>
      <w:r w:rsidR="00490C05">
        <w:rPr>
          <w:rFonts w:eastAsia="MS Mincho"/>
          <w:szCs w:val="22"/>
          <w:lang w:eastAsia="ja-JP"/>
        </w:rPr>
        <w:t>Japan</w:t>
      </w:r>
      <w:r w:rsidR="00490C05" w:rsidRPr="00490C05">
        <w:rPr>
          <w:rFonts w:eastAsia="MS Mincho"/>
          <w:szCs w:val="22"/>
          <w:lang w:eastAsia="ja-JP"/>
        </w:rPr>
        <w:t>, established the following new amounts, in</w:t>
      </w:r>
      <w:r>
        <w:rPr>
          <w:rFonts w:eastAsia="MS Mincho"/>
          <w:szCs w:val="22"/>
          <w:lang w:eastAsia="ja-JP"/>
        </w:rPr>
        <w:t> </w:t>
      </w:r>
      <w:r w:rsidR="00490C05" w:rsidRPr="00490C05">
        <w:rPr>
          <w:rFonts w:eastAsia="MS Mincho"/>
          <w:szCs w:val="22"/>
          <w:lang w:eastAsia="ja-JP"/>
        </w:rPr>
        <w:t xml:space="preserve">Swiss francs, of the individual fee that is payable when </w:t>
      </w:r>
      <w:r w:rsidR="00490C05">
        <w:rPr>
          <w:rFonts w:eastAsia="MS Mincho"/>
          <w:szCs w:val="22"/>
          <w:lang w:eastAsia="ja-JP"/>
        </w:rPr>
        <w:t>Japan</w:t>
      </w:r>
      <w:r w:rsidR="00490C05" w:rsidRPr="00490C05">
        <w:rPr>
          <w:rFonts w:eastAsia="MS Mincho"/>
          <w:szCs w:val="22"/>
          <w:lang w:eastAsia="ja-JP"/>
        </w:rPr>
        <w:t xml:space="preserve"> is designated in an international application, in a designation subsequent to an international registration or in respect of the renewal of an international registration</w:t>
      </w:r>
      <w:r w:rsidR="00F86102">
        <w:rPr>
          <w:rFonts w:eastAsia="MS Mincho"/>
          <w:szCs w:val="22"/>
          <w:lang w:eastAsia="ja-JP"/>
        </w:rPr>
        <w:t xml:space="preserve"> in which it has been designated</w:t>
      </w:r>
      <w:r w:rsidR="00490C05" w:rsidRPr="00490C05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835"/>
      </w:tblGrid>
      <w:tr w:rsidR="00F36BBB" w:rsidRPr="00324A92" w:rsidTr="004540DC">
        <w:tc>
          <w:tcPr>
            <w:tcW w:w="6237" w:type="dxa"/>
            <w:gridSpan w:val="2"/>
            <w:shd w:val="clear" w:color="auto" w:fill="auto"/>
          </w:tcPr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ITEMS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Amounts</w:t>
            </w:r>
          </w:p>
          <w:p w:rsidR="00F36BBB" w:rsidRPr="00A10F80" w:rsidRDefault="00F36BBB" w:rsidP="004540DC">
            <w:pPr>
              <w:jc w:val="center"/>
            </w:pPr>
          </w:p>
          <w:p w:rsidR="00F36BBB" w:rsidRDefault="00F36BBB" w:rsidP="004540DC">
            <w:pPr>
              <w:jc w:val="center"/>
              <w:rPr>
                <w:lang w:eastAsia="ja-JP"/>
              </w:rPr>
            </w:pPr>
            <w:r w:rsidRPr="00A10F80">
              <w:t>(</w:t>
            </w:r>
            <w:r w:rsidRPr="00324A92">
              <w:rPr>
                <w:i/>
                <w:iCs/>
              </w:rPr>
              <w:t>in Swiss francs</w:t>
            </w:r>
            <w:r>
              <w:rPr>
                <w:lang w:eastAsia="ja-JP"/>
              </w:rPr>
              <w:t>)</w:t>
            </w:r>
          </w:p>
          <w:p w:rsidR="00F36BBB" w:rsidRPr="00324A92" w:rsidRDefault="00F36BBB" w:rsidP="004540DC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6BBB" w:rsidRPr="00324A92" w:rsidTr="004540DC">
        <w:tc>
          <w:tcPr>
            <w:tcW w:w="1985" w:type="dxa"/>
            <w:vMerge w:val="restart"/>
            <w:shd w:val="clear" w:color="auto" w:fill="auto"/>
          </w:tcPr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Application or</w:t>
            </w: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Subsequent</w:t>
            </w: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Designation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F36BBB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u w:val="single"/>
              </w:rPr>
              <w:t>First Part</w:t>
            </w:r>
            <w:r>
              <w:t>: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F36BBB" w:rsidRPr="00324A92" w:rsidTr="004540DC"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one class of goods or services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490C05" w:rsidP="00490C05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F36BBB" w:rsidRPr="00324A92" w:rsidTr="004540DC"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C02B9C" w:rsidP="004E575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490C05">
              <w:rPr>
                <w:rFonts w:eastAsia="MS Mincho"/>
                <w:szCs w:val="22"/>
                <w:lang w:eastAsia="ja-JP"/>
              </w:rPr>
              <w:t>82</w:t>
            </w:r>
          </w:p>
        </w:tc>
      </w:tr>
      <w:tr w:rsidR="00F36BBB" w:rsidRPr="00324A92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u w:val="single"/>
                <w:lang w:eastAsia="ja-JP"/>
              </w:rPr>
              <w:t>Second Part</w:t>
            </w:r>
            <w:r w:rsidRPr="00324A92">
              <w:rPr>
                <w:rFonts w:eastAsia="MS Mincho"/>
                <w:szCs w:val="22"/>
                <w:lang w:eastAsia="ja-JP"/>
              </w:rPr>
              <w:t>:</w:t>
            </w: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F36BBB" w:rsidRPr="00324A92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36BBB" w:rsidRPr="00324A92" w:rsidRDefault="00490C05" w:rsidP="00F36BBB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269</w:t>
            </w:r>
          </w:p>
        </w:tc>
      </w:tr>
      <w:tr w:rsidR="00F36BBB" w:rsidRPr="00324A92" w:rsidTr="004540DC">
        <w:trPr>
          <w:trHeight w:val="843"/>
        </w:trPr>
        <w:tc>
          <w:tcPr>
            <w:tcW w:w="1985" w:type="dxa"/>
            <w:shd w:val="clear" w:color="auto" w:fill="auto"/>
          </w:tcPr>
          <w:p w:rsidR="00F36BBB" w:rsidRDefault="00F36BBB" w:rsidP="004540DC">
            <w:pPr>
              <w:jc w:val="center"/>
            </w:pPr>
          </w:p>
          <w:p w:rsidR="00F36BBB" w:rsidRPr="001B7523" w:rsidRDefault="00F36BBB" w:rsidP="004540DC">
            <w:pPr>
              <w:jc w:val="center"/>
            </w:pPr>
            <w:r w:rsidRPr="00236A40">
              <w:t>Renewal</w:t>
            </w:r>
          </w:p>
        </w:tc>
        <w:tc>
          <w:tcPr>
            <w:tcW w:w="4252" w:type="dxa"/>
            <w:shd w:val="clear" w:color="auto" w:fill="auto"/>
          </w:tcPr>
          <w:p w:rsidR="00F36BBB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835" w:type="dxa"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90C05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</w:t>
            </w:r>
            <w:r w:rsidR="00490C05">
              <w:rPr>
                <w:rFonts w:eastAsia="MS Mincho"/>
                <w:szCs w:val="22"/>
                <w:lang w:eastAsia="ja-JP"/>
              </w:rPr>
              <w:t>71</w:t>
            </w: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490C05">
        <w:rPr>
          <w:lang w:eastAsia="ja-JP"/>
        </w:rPr>
        <w:t xml:space="preserve">December </w:t>
      </w:r>
      <w:r w:rsidR="00D95D1E">
        <w:rPr>
          <w:lang w:eastAsia="ja-JP"/>
        </w:rPr>
        <w:t>14</w:t>
      </w:r>
      <w:bookmarkStart w:id="1" w:name="_GoBack"/>
      <w:bookmarkEnd w:id="1"/>
      <w:r w:rsidR="00E00B14">
        <w:rPr>
          <w:lang w:eastAsia="ja-JP"/>
        </w:rPr>
        <w:t>, 201</w:t>
      </w:r>
      <w:r w:rsidR="002C1B8E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F36BBB">
        <w:rPr>
          <w:lang w:eastAsia="ja-JP"/>
        </w:rPr>
        <w:t>Japan</w:t>
      </w:r>
      <w:r w:rsidR="004E5754">
        <w:rPr>
          <w:lang w:eastAsia="ja-JP"/>
        </w:rPr>
        <w:t xml:space="preserve">:  </w:t>
      </w:r>
    </w:p>
    <w:p w:rsidR="006D1756" w:rsidRDefault="006D1756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A31724">
        <w:rPr>
          <w:rFonts w:eastAsia="MS Mincho"/>
          <w:szCs w:val="22"/>
          <w:lang w:eastAsia="ja-JP"/>
        </w:rPr>
        <w:t xml:space="preserve"> </w:t>
      </w:r>
      <w:r w:rsidR="004E5754">
        <w:rPr>
          <w:rFonts w:eastAsia="MS Mincho"/>
          <w:szCs w:val="22"/>
          <w:lang w:eastAsia="ja-JP"/>
        </w:rPr>
        <w:t>been received under Rule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31724" w:rsidRDefault="00A31724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31724" w:rsidRDefault="00A31724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36BBB" w:rsidRDefault="006D1756" w:rsidP="00490C05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  <w:r w:rsidR="00A31724">
        <w:rPr>
          <w:lang w:eastAsia="ja-JP"/>
        </w:rPr>
        <w:t xml:space="preserve">  </w:t>
      </w:r>
    </w:p>
    <w:p w:rsidR="004E5754" w:rsidRDefault="004E5754" w:rsidP="00490C05">
      <w:pPr>
        <w:autoSpaceDE w:val="0"/>
        <w:autoSpaceDN w:val="0"/>
        <w:adjustRightInd w:val="0"/>
        <w:ind w:firstLine="567"/>
      </w:pPr>
    </w:p>
    <w:p w:rsidR="004E5754" w:rsidRDefault="004E5754" w:rsidP="00490C05">
      <w:pPr>
        <w:autoSpaceDE w:val="0"/>
        <w:autoSpaceDN w:val="0"/>
        <w:adjustRightInd w:val="0"/>
        <w:ind w:firstLine="567"/>
      </w:pPr>
    </w:p>
    <w:p w:rsidR="00163F61" w:rsidRPr="00D409DF" w:rsidRDefault="00490C05" w:rsidP="003A5190">
      <w:pPr>
        <w:pStyle w:val="Endofdocument-Annex"/>
      </w:pPr>
      <w:r>
        <w:t xml:space="preserve">November </w:t>
      </w:r>
      <w:r w:rsidR="00D95D1E">
        <w:t>14</w:t>
      </w:r>
      <w:r w:rsidR="003A5190" w:rsidRPr="003A5190">
        <w:t>, 2016</w:t>
      </w:r>
    </w:p>
    <w:sectPr w:rsidR="00163F61" w:rsidRPr="00D409DF" w:rsidSect="004E5754">
      <w:headerReference w:type="default" r:id="rId9"/>
      <w:endnotePr>
        <w:numFmt w:val="decimal"/>
      </w:endnotePr>
      <w:pgSz w:w="11907" w:h="16840" w:code="9"/>
      <w:pgMar w:top="426" w:right="1134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E575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2FB9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B48BA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1872"/>
    <w:rsid w:val="00262D96"/>
    <w:rsid w:val="002634C4"/>
    <w:rsid w:val="00271540"/>
    <w:rsid w:val="002750E3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5190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50F78"/>
    <w:rsid w:val="004630B4"/>
    <w:rsid w:val="004647DA"/>
    <w:rsid w:val="00466BC7"/>
    <w:rsid w:val="0047006A"/>
    <w:rsid w:val="00474062"/>
    <w:rsid w:val="00477D6B"/>
    <w:rsid w:val="00477EF9"/>
    <w:rsid w:val="00490C05"/>
    <w:rsid w:val="004936FC"/>
    <w:rsid w:val="004947C5"/>
    <w:rsid w:val="004B0093"/>
    <w:rsid w:val="004B336C"/>
    <w:rsid w:val="004B5C07"/>
    <w:rsid w:val="004C7C7E"/>
    <w:rsid w:val="004E2CBA"/>
    <w:rsid w:val="004E5754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B6E1B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5F9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C78F6"/>
    <w:rsid w:val="007D1613"/>
    <w:rsid w:val="007D250A"/>
    <w:rsid w:val="007F0D18"/>
    <w:rsid w:val="007F4D09"/>
    <w:rsid w:val="007F62D1"/>
    <w:rsid w:val="00804EC4"/>
    <w:rsid w:val="00824519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D9C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6660"/>
    <w:rsid w:val="00A27748"/>
    <w:rsid w:val="00A31724"/>
    <w:rsid w:val="00A34B65"/>
    <w:rsid w:val="00A353ED"/>
    <w:rsid w:val="00A42DAF"/>
    <w:rsid w:val="00A43C0A"/>
    <w:rsid w:val="00A456E7"/>
    <w:rsid w:val="00A45BD8"/>
    <w:rsid w:val="00A5200E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02B9C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2182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BF6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5D1E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6BBB"/>
    <w:rsid w:val="00F37F68"/>
    <w:rsid w:val="00F52AC0"/>
    <w:rsid w:val="00F62CDB"/>
    <w:rsid w:val="00F64B5E"/>
    <w:rsid w:val="00F66152"/>
    <w:rsid w:val="00F7721F"/>
    <w:rsid w:val="00F86102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9</cp:revision>
  <cp:lastPrinted>2016-11-03T13:57:00Z</cp:lastPrinted>
  <dcterms:created xsi:type="dcterms:W3CDTF">2016-10-18T15:51:00Z</dcterms:created>
  <dcterms:modified xsi:type="dcterms:W3CDTF">2016-11-14T13:48:00Z</dcterms:modified>
</cp:coreProperties>
</file>