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C5016">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F94A0D" w:rsidP="00916EE2">
            <w:r>
              <w:rPr>
                <w:noProof/>
                <w:lang w:eastAsia="en-US"/>
              </w:rPr>
              <w:drawing>
                <wp:inline distT="0" distB="0" distL="0" distR="0">
                  <wp:extent cx="1854835" cy="132651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bookmarkStart w:id="0" w:name="Original"/>
            <w:bookmarkEnd w:id="0"/>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CC5016" w:rsidP="00413908">
            <w:pPr>
              <w:jc w:val="right"/>
              <w:rPr>
                <w:rFonts w:ascii="Arial Black" w:hAnsi="Arial Black"/>
                <w:caps/>
                <w:sz w:val="15"/>
              </w:rPr>
            </w:pPr>
            <w:r>
              <w:rPr>
                <w:rFonts w:ascii="Arial Black" w:hAnsi="Arial Black"/>
                <w:caps/>
                <w:sz w:val="15"/>
              </w:rPr>
              <w:t xml:space="preserve">INFORMATION NOTICE NO. </w:t>
            </w:r>
            <w:r w:rsidR="00413908">
              <w:rPr>
                <w:rFonts w:ascii="Arial Black" w:hAnsi="Arial Black"/>
                <w:caps/>
                <w:sz w:val="15"/>
              </w:rPr>
              <w:t>16</w:t>
            </w:r>
            <w:r>
              <w:rPr>
                <w:rFonts w:ascii="Arial Black" w:hAnsi="Arial Black"/>
                <w:caps/>
                <w:sz w:val="15"/>
              </w:rPr>
              <w:t>/201</w:t>
            </w:r>
            <w:r w:rsidR="006F3270">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bookmarkStart w:id="1" w:name="Date"/>
            <w:bookmarkEnd w:id="1"/>
          </w:p>
        </w:tc>
      </w:tr>
    </w:tbl>
    <w:p w:rsidR="008B2CC1" w:rsidRPr="008B2CC1" w:rsidRDefault="008B2CC1" w:rsidP="008B2CC1"/>
    <w:p w:rsidR="008B2CC1" w:rsidRPr="008B2CC1" w:rsidRDefault="008B2CC1" w:rsidP="008B2CC1"/>
    <w:p w:rsidR="008B2CC1" w:rsidRPr="008B2CC1" w:rsidRDefault="008B2CC1" w:rsidP="008B2CC1"/>
    <w:p w:rsidR="00CC5016" w:rsidRPr="008B2CC1" w:rsidRDefault="00CC5016" w:rsidP="00CC5016"/>
    <w:p w:rsidR="00CC5016" w:rsidRPr="008B2CC1" w:rsidRDefault="00CC5016" w:rsidP="00CC5016"/>
    <w:p w:rsidR="00CC5016" w:rsidRDefault="00CC5016" w:rsidP="00CC5016">
      <w:pPr>
        <w:autoSpaceDE w:val="0"/>
        <w:autoSpaceDN w:val="0"/>
        <w:adjustRightInd w:val="0"/>
        <w:rPr>
          <w:b/>
          <w:bCs/>
          <w:sz w:val="28"/>
          <w:szCs w:val="28"/>
        </w:rPr>
      </w:pPr>
      <w:r>
        <w:rPr>
          <w:b/>
          <w:bCs/>
          <w:sz w:val="28"/>
          <w:szCs w:val="28"/>
        </w:rPr>
        <w:t xml:space="preserve">Madrid </w:t>
      </w:r>
      <w:r w:rsidR="002070AB">
        <w:rPr>
          <w:b/>
          <w:bCs/>
          <w:sz w:val="28"/>
          <w:szCs w:val="28"/>
        </w:rPr>
        <w:t xml:space="preserve">Agreement and </w:t>
      </w:r>
      <w:r>
        <w:rPr>
          <w:b/>
          <w:bCs/>
          <w:sz w:val="28"/>
          <w:szCs w:val="28"/>
        </w:rPr>
        <w:t>Protocol Concerning the International Registration of Marks</w:t>
      </w:r>
    </w:p>
    <w:p w:rsidR="00CC5016" w:rsidRPr="00CC5016" w:rsidRDefault="00CC5016" w:rsidP="00CC5016">
      <w:pPr>
        <w:autoSpaceDE w:val="0"/>
        <w:autoSpaceDN w:val="0"/>
        <w:adjustRightInd w:val="0"/>
        <w:rPr>
          <w:bCs/>
          <w:szCs w:val="22"/>
        </w:rPr>
      </w:pPr>
    </w:p>
    <w:p w:rsidR="00CC5016" w:rsidRPr="00CC5016" w:rsidRDefault="00CC5016" w:rsidP="00CC5016">
      <w:pPr>
        <w:autoSpaceDE w:val="0"/>
        <w:autoSpaceDN w:val="0"/>
        <w:adjustRightInd w:val="0"/>
        <w:rPr>
          <w:bCs/>
          <w:szCs w:val="22"/>
        </w:rPr>
      </w:pPr>
    </w:p>
    <w:p w:rsidR="00CC5016" w:rsidRPr="00CC5016" w:rsidRDefault="00CC5016" w:rsidP="00CC5016">
      <w:pPr>
        <w:autoSpaceDE w:val="0"/>
        <w:autoSpaceDN w:val="0"/>
        <w:adjustRightInd w:val="0"/>
        <w:rPr>
          <w:bCs/>
          <w:szCs w:val="22"/>
        </w:rPr>
      </w:pPr>
    </w:p>
    <w:p w:rsidR="002070AB" w:rsidRDefault="002070AB" w:rsidP="002070AB">
      <w:pPr>
        <w:rPr>
          <w:b/>
          <w:sz w:val="24"/>
          <w:szCs w:val="24"/>
        </w:rPr>
      </w:pPr>
      <w:r>
        <w:rPr>
          <w:b/>
          <w:sz w:val="24"/>
          <w:szCs w:val="24"/>
        </w:rPr>
        <w:t>New Version of the Madrid Goods and Services Manager (MGS)</w:t>
      </w:r>
    </w:p>
    <w:p w:rsidR="002D0CCE" w:rsidRDefault="002D0CCE" w:rsidP="00CC5016">
      <w:pPr>
        <w:rPr>
          <w:szCs w:val="22"/>
        </w:rPr>
      </w:pPr>
    </w:p>
    <w:p w:rsidR="00CE763A" w:rsidRDefault="00C66F71" w:rsidP="00F55FB2">
      <w:r>
        <w:fldChar w:fldCharType="begin"/>
      </w:r>
      <w:r>
        <w:instrText xml:space="preserve"> AUTONUM  </w:instrText>
      </w:r>
      <w:r>
        <w:fldChar w:fldCharType="end"/>
      </w:r>
      <w:r>
        <w:tab/>
      </w:r>
      <w:r w:rsidR="002070AB" w:rsidRPr="002070AB">
        <w:t>In March</w:t>
      </w:r>
      <w:r w:rsidR="002070AB">
        <w:t> </w:t>
      </w:r>
      <w:r w:rsidR="002070AB" w:rsidRPr="002070AB">
        <w:t>2016, a new version of MGS was made available on the website</w:t>
      </w:r>
      <w:r w:rsidR="002070AB">
        <w:t xml:space="preserve"> of the World Intellectual Property Organization (WIPO)</w:t>
      </w:r>
      <w:r w:rsidR="002070AB" w:rsidRPr="002070AB">
        <w:t xml:space="preserve">. </w:t>
      </w:r>
      <w:r w:rsidR="002070AB">
        <w:t xml:space="preserve"> </w:t>
      </w:r>
      <w:r w:rsidR="002070AB" w:rsidRPr="002070AB">
        <w:t>This version brings about improvements and new functionalities meant to enhance usefulness of the MGS application and improve accessibility to classification related information.</w:t>
      </w:r>
      <w:r w:rsidR="002070AB">
        <w:t xml:space="preserve">  </w:t>
      </w:r>
    </w:p>
    <w:p w:rsidR="002070AB" w:rsidRDefault="002070AB" w:rsidP="00F55FB2"/>
    <w:p w:rsidR="002070AB" w:rsidRPr="002070AB" w:rsidRDefault="002070AB" w:rsidP="002070AB">
      <w:pPr>
        <w:rPr>
          <w:u w:val="single"/>
        </w:rPr>
      </w:pPr>
      <w:r w:rsidRPr="002070AB">
        <w:rPr>
          <w:u w:val="single"/>
        </w:rPr>
        <w:t>Display of Explanatory Notes of the Nice Classification in the 17</w:t>
      </w:r>
      <w:r>
        <w:rPr>
          <w:u w:val="single"/>
        </w:rPr>
        <w:t> </w:t>
      </w:r>
      <w:r w:rsidRPr="002070AB">
        <w:rPr>
          <w:u w:val="single"/>
        </w:rPr>
        <w:t>languages currently available in</w:t>
      </w:r>
      <w:r>
        <w:rPr>
          <w:u w:val="single"/>
        </w:rPr>
        <w:t> </w:t>
      </w:r>
      <w:r w:rsidRPr="002070AB">
        <w:rPr>
          <w:u w:val="single"/>
        </w:rPr>
        <w:t>MGS</w:t>
      </w:r>
    </w:p>
    <w:p w:rsidR="002070AB" w:rsidRPr="002070AB" w:rsidRDefault="002070AB" w:rsidP="002070AB">
      <w:pPr>
        <w:rPr>
          <w:u w:val="single"/>
        </w:rPr>
      </w:pPr>
    </w:p>
    <w:p w:rsidR="002070AB" w:rsidRPr="002070AB" w:rsidRDefault="002070AB" w:rsidP="002070AB">
      <w:r w:rsidRPr="002070AB">
        <w:fldChar w:fldCharType="begin"/>
      </w:r>
      <w:r w:rsidRPr="002070AB">
        <w:instrText xml:space="preserve"> AUTONUM  </w:instrText>
      </w:r>
      <w:r w:rsidRPr="002070AB">
        <w:fldChar w:fldCharType="end"/>
      </w:r>
      <w:r w:rsidRPr="002070AB">
        <w:tab/>
        <w:t>Explanatory Notes from</w:t>
      </w:r>
      <w:r>
        <w:t xml:space="preserve"> the </w:t>
      </w:r>
      <w:r w:rsidRPr="002070AB">
        <w:t xml:space="preserve">2016 version of the </w:t>
      </w:r>
      <w:r>
        <w:t>tenth </w:t>
      </w:r>
      <w:r w:rsidRPr="002070AB">
        <w:t xml:space="preserve">edition of the </w:t>
      </w:r>
      <w:r>
        <w:t>International Classification of Goods and Services for the Purposes of the Registration of Marks (</w:t>
      </w:r>
      <w:r w:rsidRPr="002070AB">
        <w:t>Nice Classification</w:t>
      </w:r>
      <w:r>
        <w:t>)</w:t>
      </w:r>
      <w:r w:rsidRPr="002070AB">
        <w:t xml:space="preserve"> are now accessible in all language interfaces of MGS, together with the associated Class Headings.</w:t>
      </w:r>
      <w:r>
        <w:t xml:space="preserve"> </w:t>
      </w:r>
    </w:p>
    <w:p w:rsidR="002070AB" w:rsidRPr="002070AB" w:rsidRDefault="002070AB" w:rsidP="002070AB"/>
    <w:p w:rsidR="002070AB" w:rsidRPr="002070AB" w:rsidRDefault="002070AB" w:rsidP="002070AB">
      <w:r w:rsidRPr="002070AB">
        <w:fldChar w:fldCharType="begin"/>
      </w:r>
      <w:r w:rsidRPr="002070AB">
        <w:instrText xml:space="preserve"> AUTONUM  </w:instrText>
      </w:r>
      <w:r w:rsidRPr="002070AB">
        <w:fldChar w:fldCharType="end"/>
      </w:r>
      <w:r w:rsidRPr="002070AB">
        <w:tab/>
        <w:t>This means that, besides their official publication by WIPO in the three Madrid System working languages (i.e.</w:t>
      </w:r>
      <w:r w:rsidR="00017DED">
        <w:t>,</w:t>
      </w:r>
      <w:r w:rsidRPr="002070AB">
        <w:t xml:space="preserve"> in English, French and Spanish), Explanatory Notes can now also be found in all other MGS languages, thus providing improved guidance to trademark applicants.</w:t>
      </w:r>
      <w:r w:rsidR="006956D1">
        <w:t xml:space="preserve">  </w:t>
      </w:r>
    </w:p>
    <w:p w:rsidR="002070AB" w:rsidRPr="002070AB" w:rsidRDefault="002070AB" w:rsidP="002070AB"/>
    <w:p w:rsidR="002070AB" w:rsidRPr="002070AB" w:rsidRDefault="002070AB" w:rsidP="002070AB">
      <w:r w:rsidRPr="002070AB">
        <w:fldChar w:fldCharType="begin"/>
      </w:r>
      <w:r w:rsidRPr="002070AB">
        <w:instrText xml:space="preserve"> AUTONUM  </w:instrText>
      </w:r>
      <w:r w:rsidRPr="002070AB">
        <w:fldChar w:fldCharType="end"/>
      </w:r>
      <w:r w:rsidRPr="002070AB">
        <w:tab/>
        <w:t xml:space="preserve">It is recalled that </w:t>
      </w:r>
      <w:r w:rsidRPr="002070AB">
        <w:rPr>
          <w:lang w:val="en"/>
        </w:rPr>
        <w:t>Explanatory Notes relating to various classes provide very useful information to ascertain the correct classification of a good or a service that is not found in the</w:t>
      </w:r>
      <w:r w:rsidR="006956D1">
        <w:rPr>
          <w:lang w:val="en"/>
        </w:rPr>
        <w:t> </w:t>
      </w:r>
      <w:r w:rsidRPr="002070AB">
        <w:rPr>
          <w:lang w:val="en"/>
        </w:rPr>
        <w:t xml:space="preserve">Alphabetical List of Goods and Services. </w:t>
      </w:r>
      <w:r w:rsidR="006956D1">
        <w:rPr>
          <w:lang w:val="en"/>
        </w:rPr>
        <w:t xml:space="preserve"> </w:t>
      </w:r>
      <w:r w:rsidRPr="002070AB">
        <w:rPr>
          <w:lang w:val="en"/>
        </w:rPr>
        <w:t>Explanatory Notes complement information provided by general indications of class headings associated with various classes of the Nice</w:t>
      </w:r>
      <w:r w:rsidR="006956D1">
        <w:rPr>
          <w:lang w:val="en"/>
        </w:rPr>
        <w:t> </w:t>
      </w:r>
      <w:r w:rsidRPr="002070AB">
        <w:rPr>
          <w:lang w:val="en"/>
        </w:rPr>
        <w:t>Classification.</w:t>
      </w:r>
    </w:p>
    <w:p w:rsidR="002070AB" w:rsidRPr="002070AB" w:rsidRDefault="002070AB" w:rsidP="002070AB"/>
    <w:p w:rsidR="002070AB" w:rsidRPr="002070AB" w:rsidRDefault="002070AB" w:rsidP="002070AB">
      <w:pPr>
        <w:rPr>
          <w:u w:val="single"/>
        </w:rPr>
      </w:pPr>
      <w:r w:rsidRPr="002070AB">
        <w:rPr>
          <w:u w:val="single"/>
        </w:rPr>
        <w:t>Display of and Search by Similar Group Codes</w:t>
      </w:r>
    </w:p>
    <w:p w:rsidR="002070AB" w:rsidRPr="002070AB" w:rsidRDefault="002070AB" w:rsidP="002070AB"/>
    <w:p w:rsidR="002070AB" w:rsidRPr="002070AB" w:rsidRDefault="002070AB" w:rsidP="002070AB">
      <w:r w:rsidRPr="002070AB">
        <w:fldChar w:fldCharType="begin"/>
      </w:r>
      <w:r w:rsidRPr="002070AB">
        <w:instrText xml:space="preserve"> AUTONUM  </w:instrText>
      </w:r>
      <w:r w:rsidRPr="002070AB">
        <w:fldChar w:fldCharType="end"/>
      </w:r>
      <w:r w:rsidRPr="002070AB">
        <w:tab/>
        <w:t>Taxonomic systems have been developed by the Offices of certain countries with a view to grouping indications of goods</w:t>
      </w:r>
      <w:r w:rsidR="006956D1">
        <w:t xml:space="preserve"> and services considered to be “</w:t>
      </w:r>
      <w:r w:rsidRPr="002070AB">
        <w:t>similar</w:t>
      </w:r>
      <w:r w:rsidR="006956D1">
        <w:t>”</w:t>
      </w:r>
      <w:r w:rsidRPr="002070AB">
        <w:t xml:space="preserve">. </w:t>
      </w:r>
      <w:r w:rsidR="006956D1">
        <w:t xml:space="preserve"> </w:t>
      </w:r>
      <w:r w:rsidRPr="002070AB">
        <w:t xml:space="preserve">The resulting groups are coded in a way that is specific to each national taxonomic system. </w:t>
      </w:r>
      <w:r w:rsidR="006956D1">
        <w:t xml:space="preserve"> </w:t>
      </w:r>
      <w:r w:rsidRPr="002070AB">
        <w:t xml:space="preserve">When conducting relative grounds examination, trademark examiners may refer to these codes, known as </w:t>
      </w:r>
      <w:r w:rsidR="006956D1">
        <w:t>“</w:t>
      </w:r>
      <w:r w:rsidRPr="002070AB">
        <w:t>similar group codes</w:t>
      </w:r>
      <w:r w:rsidR="006956D1">
        <w:t>”</w:t>
      </w:r>
      <w:r w:rsidRPr="002070AB">
        <w:t>, to carry out similarity searches within their national trademark registers.</w:t>
      </w:r>
      <w:r w:rsidR="006956D1">
        <w:t xml:space="preserve">  </w:t>
      </w:r>
    </w:p>
    <w:p w:rsidR="002070AB" w:rsidRPr="002070AB" w:rsidRDefault="002070AB" w:rsidP="002070AB"/>
    <w:p w:rsidR="002070AB" w:rsidRPr="002070AB" w:rsidRDefault="002070AB" w:rsidP="002070AB">
      <w:r w:rsidRPr="002070AB">
        <w:fldChar w:fldCharType="begin"/>
      </w:r>
      <w:r w:rsidRPr="002070AB">
        <w:instrText xml:space="preserve"> AUTONUM  </w:instrText>
      </w:r>
      <w:r w:rsidRPr="002070AB">
        <w:fldChar w:fldCharType="end"/>
      </w:r>
      <w:r w:rsidRPr="002070AB">
        <w:tab/>
        <w:t xml:space="preserve">Users will now benefit from access to national </w:t>
      </w:r>
      <w:r w:rsidR="004E4B19" w:rsidRPr="002070AB">
        <w:t xml:space="preserve">similar </w:t>
      </w:r>
      <w:r w:rsidRPr="002070AB">
        <w:t>group codes in the new version of</w:t>
      </w:r>
      <w:r w:rsidR="006956D1">
        <w:t> </w:t>
      </w:r>
      <w:r w:rsidRPr="002070AB">
        <w:t>MGS, which can, for instance, facilitate prior mark similarity searches before filing an application.</w:t>
      </w:r>
      <w:r w:rsidR="006956D1">
        <w:t xml:space="preserve">  </w:t>
      </w:r>
    </w:p>
    <w:p w:rsidR="006956D1" w:rsidRDefault="006956D1" w:rsidP="002070AB">
      <w:r>
        <w:br w:type="page"/>
      </w:r>
    </w:p>
    <w:p w:rsidR="002070AB" w:rsidRPr="002070AB" w:rsidRDefault="002070AB" w:rsidP="002070AB">
      <w:r w:rsidRPr="002070AB">
        <w:lastRenderedPageBreak/>
        <w:fldChar w:fldCharType="begin"/>
      </w:r>
      <w:r w:rsidRPr="002070AB">
        <w:instrText xml:space="preserve"> AUTONUM  </w:instrText>
      </w:r>
      <w:r w:rsidRPr="002070AB">
        <w:fldChar w:fldCharType="end"/>
      </w:r>
      <w:r w:rsidRPr="002070AB">
        <w:tab/>
        <w:t xml:space="preserve">The </w:t>
      </w:r>
      <w:r w:rsidR="006956D1">
        <w:t xml:space="preserve">Japan Patent Office </w:t>
      </w:r>
      <w:r w:rsidRPr="002070AB">
        <w:t xml:space="preserve">(JPO) and </w:t>
      </w:r>
      <w:r w:rsidR="006956D1">
        <w:t>th</w:t>
      </w:r>
      <w:r w:rsidR="006956D1" w:rsidRPr="006956D1">
        <w:t xml:space="preserve">e </w:t>
      </w:r>
      <w:r w:rsidR="006956D1" w:rsidRPr="006956D1">
        <w:rPr>
          <w:bCs/>
        </w:rPr>
        <w:t>Korean Intellectual Property Office (KIPO)</w:t>
      </w:r>
      <w:r w:rsidRPr="002070AB">
        <w:t xml:space="preserve"> have communicated to WIPO their similar group codes for indications deemed acceptable by each of those</w:t>
      </w:r>
      <w:r w:rsidR="006956D1">
        <w:t xml:space="preserve"> </w:t>
      </w:r>
      <w:r w:rsidRPr="002070AB">
        <w:t>Offices</w:t>
      </w:r>
      <w:r w:rsidR="003C4E97">
        <w:t>,</w:t>
      </w:r>
      <w:r w:rsidR="006956D1">
        <w:t xml:space="preserve"> </w:t>
      </w:r>
      <w:r w:rsidRPr="002070AB">
        <w:t>in particular, for indications contained in the Alphabetical List of the Nice Classification, as well as for general indications extracted from various class headings of the Nice Classification.</w:t>
      </w:r>
    </w:p>
    <w:p w:rsidR="002070AB" w:rsidRPr="002070AB" w:rsidRDefault="002070AB" w:rsidP="002070AB"/>
    <w:p w:rsidR="002070AB" w:rsidRPr="002070AB" w:rsidRDefault="002070AB" w:rsidP="002070AB">
      <w:r w:rsidRPr="002070AB">
        <w:fldChar w:fldCharType="begin"/>
      </w:r>
      <w:r w:rsidRPr="002070AB">
        <w:instrText xml:space="preserve"> AUTONUM  </w:instrText>
      </w:r>
      <w:r w:rsidRPr="002070AB">
        <w:fldChar w:fldCharType="end"/>
      </w:r>
      <w:r w:rsidRPr="002070AB">
        <w:tab/>
        <w:t>Users may now choose to display the similar group code used by JPO or KIPO next to the indications of goods and services that they have selected from MGS.  The corresponding similar group code used by each Office will be displayed, provided it has been communicated for the indications that have been selected.</w:t>
      </w:r>
    </w:p>
    <w:p w:rsidR="002070AB" w:rsidRPr="002070AB" w:rsidRDefault="002070AB" w:rsidP="002070AB"/>
    <w:p w:rsidR="002070AB" w:rsidRPr="002070AB" w:rsidRDefault="002070AB" w:rsidP="002070AB">
      <w:r w:rsidRPr="002070AB">
        <w:fldChar w:fldCharType="begin"/>
      </w:r>
      <w:r w:rsidRPr="002070AB">
        <w:instrText xml:space="preserve"> AUTONUM  </w:instrText>
      </w:r>
      <w:r w:rsidRPr="002070AB">
        <w:fldChar w:fldCharType="end"/>
      </w:r>
      <w:r w:rsidRPr="002070AB">
        <w:tab/>
        <w:t xml:space="preserve">Similar group codes can also be used to find indications of goods and services by typing a code in the MGS Search box.  This enables the extraction from the MGS database of indications of goods and services that are considered to be </w:t>
      </w:r>
      <w:r w:rsidR="006956D1">
        <w:t>“</w:t>
      </w:r>
      <w:r w:rsidRPr="002070AB">
        <w:t>similar</w:t>
      </w:r>
      <w:r w:rsidR="006956D1">
        <w:t>”</w:t>
      </w:r>
      <w:r w:rsidRPr="002070AB">
        <w:t xml:space="preserve"> by JPO or KIPO.  It is to be noted that the expressed </w:t>
      </w:r>
      <w:r w:rsidR="006956D1">
        <w:t>“</w:t>
      </w:r>
      <w:r w:rsidRPr="002070AB">
        <w:t>similarity</w:t>
      </w:r>
      <w:r w:rsidR="006956D1">
        <w:t>”</w:t>
      </w:r>
      <w:r w:rsidRPr="002070AB">
        <w:t xml:space="preserve"> may horizontally link goods and services from distinct classes under one similar group code. </w:t>
      </w:r>
      <w:r w:rsidR="006956D1">
        <w:t xml:space="preserve"> </w:t>
      </w:r>
      <w:r w:rsidRPr="002070AB">
        <w:t>Nonetheless, users can restrict to a selected class the search results, be they related to a search based on key words or on similar group codes.</w:t>
      </w:r>
      <w:r w:rsidR="006956D1">
        <w:t xml:space="preserve">  </w:t>
      </w:r>
    </w:p>
    <w:p w:rsidR="002070AB" w:rsidRPr="002070AB" w:rsidRDefault="002070AB" w:rsidP="002070AB"/>
    <w:p w:rsidR="002070AB" w:rsidRPr="002070AB" w:rsidRDefault="002070AB" w:rsidP="002070AB">
      <w:pPr>
        <w:rPr>
          <w:u w:val="single"/>
        </w:rPr>
      </w:pPr>
      <w:r w:rsidRPr="002070AB">
        <w:rPr>
          <w:u w:val="single"/>
        </w:rPr>
        <w:t>Search by basic number of indications from the Alphabetical List of the Nice Classification</w:t>
      </w:r>
    </w:p>
    <w:p w:rsidR="002070AB" w:rsidRPr="002070AB" w:rsidRDefault="002070AB" w:rsidP="002070AB"/>
    <w:p w:rsidR="002070AB" w:rsidRPr="002070AB" w:rsidRDefault="002070AB" w:rsidP="002070AB">
      <w:r w:rsidRPr="002070AB">
        <w:fldChar w:fldCharType="begin"/>
      </w:r>
      <w:r w:rsidRPr="002070AB">
        <w:instrText xml:space="preserve"> AUTONUM  </w:instrText>
      </w:r>
      <w:r w:rsidRPr="002070AB">
        <w:fldChar w:fldCharType="end"/>
      </w:r>
      <w:r w:rsidRPr="002070AB">
        <w:tab/>
        <w:t xml:space="preserve">With a view to helping users to better manage their lists of goods and services, MGS displays </w:t>
      </w:r>
      <w:r w:rsidR="006956D1">
        <w:t>the “</w:t>
      </w:r>
      <w:r w:rsidRPr="002070AB">
        <w:t>basic number</w:t>
      </w:r>
      <w:r w:rsidR="006956D1">
        <w:t>”</w:t>
      </w:r>
      <w:r w:rsidRPr="002070AB">
        <w:t xml:space="preserve"> associated with indications from the Alphabetical List of the Nice Classification. </w:t>
      </w:r>
      <w:r w:rsidR="006956D1">
        <w:t xml:space="preserve"> </w:t>
      </w:r>
    </w:p>
    <w:p w:rsidR="002070AB" w:rsidRPr="002070AB" w:rsidRDefault="002070AB" w:rsidP="002070AB"/>
    <w:p w:rsidR="002070AB" w:rsidRPr="002070AB" w:rsidRDefault="002070AB" w:rsidP="002070AB">
      <w:r w:rsidRPr="002070AB">
        <w:fldChar w:fldCharType="begin"/>
      </w:r>
      <w:r w:rsidRPr="002070AB">
        <w:instrText xml:space="preserve"> AUTONUM  </w:instrText>
      </w:r>
      <w:r w:rsidRPr="002070AB">
        <w:fldChar w:fldCharType="end"/>
      </w:r>
      <w:r w:rsidRPr="002070AB">
        <w:tab/>
        <w:t xml:space="preserve">In its new version, MGS also enables the search of </w:t>
      </w:r>
      <w:proofErr w:type="gramStart"/>
      <w:r w:rsidRPr="002070AB">
        <w:t>Nice</w:t>
      </w:r>
      <w:proofErr w:type="gramEnd"/>
      <w:r w:rsidRPr="002070AB">
        <w:t xml:space="preserve"> indications by their basic number. </w:t>
      </w:r>
      <w:r w:rsidR="006956D1">
        <w:t xml:space="preserve"> </w:t>
      </w:r>
      <w:r w:rsidRPr="002070AB">
        <w:t>Entering a Nice basic number in the Search box will produce a list of results containing all synonymous indications stored under the given basic number.</w:t>
      </w:r>
      <w:r w:rsidR="006956D1">
        <w:t xml:space="preserve">  </w:t>
      </w:r>
    </w:p>
    <w:p w:rsidR="002070AB" w:rsidRPr="002070AB" w:rsidRDefault="002070AB" w:rsidP="002070AB"/>
    <w:p w:rsidR="002070AB" w:rsidRPr="002070AB" w:rsidRDefault="002070AB" w:rsidP="002070AB">
      <w:r w:rsidRPr="002070AB">
        <w:fldChar w:fldCharType="begin"/>
      </w:r>
      <w:r w:rsidRPr="002070AB">
        <w:instrText xml:space="preserve"> AUTONUM  </w:instrText>
      </w:r>
      <w:r w:rsidRPr="002070AB">
        <w:fldChar w:fldCharType="end"/>
      </w:r>
      <w:r w:rsidRPr="002070AB">
        <w:tab/>
        <w:t xml:space="preserve">For instance, the following results will be displayed if the basic number </w:t>
      </w:r>
      <w:r w:rsidR="006956D1">
        <w:t>“300059”</w:t>
      </w:r>
      <w:r w:rsidRPr="002070AB">
        <w:t xml:space="preserve"> is entered in the Search box:</w:t>
      </w:r>
      <w:r w:rsidR="006956D1">
        <w:t xml:space="preserve">  </w:t>
      </w:r>
    </w:p>
    <w:p w:rsidR="002070AB" w:rsidRPr="002070AB" w:rsidRDefault="002070AB" w:rsidP="002070AB"/>
    <w:p w:rsidR="002070AB" w:rsidRPr="002070AB" w:rsidRDefault="002070AB" w:rsidP="006956D1">
      <w:pPr>
        <w:numPr>
          <w:ilvl w:val="0"/>
          <w:numId w:val="7"/>
        </w:numPr>
        <w:ind w:left="1134" w:hanging="567"/>
      </w:pPr>
      <w:r w:rsidRPr="002070AB">
        <w:t>corn flour</w:t>
      </w:r>
    </w:p>
    <w:p w:rsidR="002070AB" w:rsidRPr="002070AB" w:rsidRDefault="002070AB" w:rsidP="006956D1">
      <w:pPr>
        <w:numPr>
          <w:ilvl w:val="0"/>
          <w:numId w:val="7"/>
        </w:numPr>
        <w:ind w:left="1134" w:hanging="567"/>
      </w:pPr>
      <w:r w:rsidRPr="002070AB">
        <w:t>corn meal</w:t>
      </w:r>
    </w:p>
    <w:p w:rsidR="002070AB" w:rsidRPr="002070AB" w:rsidRDefault="002070AB" w:rsidP="006956D1">
      <w:pPr>
        <w:numPr>
          <w:ilvl w:val="0"/>
          <w:numId w:val="7"/>
        </w:numPr>
        <w:ind w:left="1134" w:hanging="567"/>
      </w:pPr>
      <w:r w:rsidRPr="002070AB">
        <w:t xml:space="preserve">maize flour </w:t>
      </w:r>
    </w:p>
    <w:p w:rsidR="002070AB" w:rsidRPr="002070AB" w:rsidRDefault="002070AB" w:rsidP="006956D1">
      <w:pPr>
        <w:numPr>
          <w:ilvl w:val="0"/>
          <w:numId w:val="7"/>
        </w:numPr>
        <w:ind w:left="1134" w:hanging="567"/>
      </w:pPr>
      <w:r w:rsidRPr="002070AB">
        <w:t>maize meal</w:t>
      </w:r>
    </w:p>
    <w:p w:rsidR="002070AB" w:rsidRPr="002070AB" w:rsidRDefault="002070AB" w:rsidP="002070AB">
      <w:pPr>
        <w:rPr>
          <w:u w:val="single"/>
        </w:rPr>
      </w:pPr>
    </w:p>
    <w:p w:rsidR="002070AB" w:rsidRPr="002070AB" w:rsidRDefault="002070AB" w:rsidP="002070AB">
      <w:pPr>
        <w:rPr>
          <w:u w:val="single"/>
        </w:rPr>
      </w:pPr>
      <w:r w:rsidRPr="002070AB">
        <w:rPr>
          <w:u w:val="single"/>
        </w:rPr>
        <w:t>Update of the HELP and FAQ modules</w:t>
      </w:r>
    </w:p>
    <w:p w:rsidR="002070AB" w:rsidRPr="002070AB" w:rsidRDefault="002070AB" w:rsidP="002070AB"/>
    <w:p w:rsidR="002070AB" w:rsidRPr="002070AB" w:rsidRDefault="002070AB" w:rsidP="002070AB">
      <w:r w:rsidRPr="002070AB">
        <w:fldChar w:fldCharType="begin"/>
      </w:r>
      <w:r w:rsidRPr="002070AB">
        <w:instrText xml:space="preserve"> AUTONUM  </w:instrText>
      </w:r>
      <w:r w:rsidRPr="002070AB">
        <w:fldChar w:fldCharType="end"/>
      </w:r>
      <w:r w:rsidRPr="002070AB">
        <w:tab/>
        <w:t>In view of improvements and new functionalities introduced in the new version of MGS, the HELP and FAQ modules have been updated in all current MGS languages, in cooperation with the concerned Offices, so as to increase accessibility to the related information to all MGS users.</w:t>
      </w:r>
      <w:r w:rsidR="006956D1">
        <w:t xml:space="preserve">  </w:t>
      </w:r>
    </w:p>
    <w:p w:rsidR="002070AB" w:rsidRPr="002070AB" w:rsidRDefault="002070AB" w:rsidP="002070AB"/>
    <w:p w:rsidR="002070AB" w:rsidRPr="002070AB" w:rsidRDefault="002070AB" w:rsidP="002070AB">
      <w:pPr>
        <w:rPr>
          <w:u w:val="single"/>
        </w:rPr>
      </w:pPr>
      <w:r w:rsidRPr="002070AB">
        <w:rPr>
          <w:u w:val="single"/>
        </w:rPr>
        <w:t xml:space="preserve">Extended list of MGS participating </w:t>
      </w:r>
      <w:r w:rsidR="00017DED">
        <w:rPr>
          <w:u w:val="single"/>
        </w:rPr>
        <w:t>Contracting Parties</w:t>
      </w:r>
    </w:p>
    <w:p w:rsidR="002070AB" w:rsidRPr="002070AB" w:rsidRDefault="002070AB" w:rsidP="002070AB"/>
    <w:p w:rsidR="002070AB" w:rsidRDefault="002070AB" w:rsidP="002070AB">
      <w:r w:rsidRPr="002070AB">
        <w:fldChar w:fldCharType="begin"/>
      </w:r>
      <w:r w:rsidRPr="002070AB">
        <w:instrText xml:space="preserve"> AUTONUM  </w:instrText>
      </w:r>
      <w:r w:rsidRPr="002070AB">
        <w:fldChar w:fldCharType="end"/>
      </w:r>
      <w:r w:rsidRPr="002070AB">
        <w:tab/>
        <w:t>The number of Contracting Parties of the Madrid System whose Offices share acceptance information with WIPO, for the purposes of MGS, has increased to 26</w:t>
      </w:r>
      <w:r w:rsidR="007E1FCB">
        <w:t> </w:t>
      </w:r>
      <w:r w:rsidRPr="002070AB">
        <w:t>Contracting Parties.</w:t>
      </w:r>
    </w:p>
    <w:p w:rsidR="007E1FCB" w:rsidRPr="002070AB" w:rsidRDefault="007E1FCB" w:rsidP="002070AB"/>
    <w:p w:rsidR="002070AB" w:rsidRDefault="002070AB" w:rsidP="002070AB">
      <w:r w:rsidRPr="002070AB">
        <w:fldChar w:fldCharType="begin"/>
      </w:r>
      <w:r w:rsidRPr="002070AB">
        <w:instrText xml:space="preserve"> AUTONUM  </w:instrText>
      </w:r>
      <w:r w:rsidRPr="002070AB">
        <w:fldChar w:fldCharType="end"/>
      </w:r>
      <w:r w:rsidRPr="002070AB">
        <w:tab/>
        <w:t>The acceptance information communicated by the Office of a Contracting Party is used in the MGS-exclusive functi</w:t>
      </w:r>
      <w:r w:rsidR="007E1FCB">
        <w:t>on “</w:t>
      </w:r>
      <w:r w:rsidRPr="002070AB">
        <w:t>Check acceptance by a designated Contracting Party</w:t>
      </w:r>
      <w:r w:rsidR="007E1FCB">
        <w:t>”</w:t>
      </w:r>
      <w:r w:rsidRPr="002070AB">
        <w:t>.  This function is specifically designed to help trademark applicants avoid provisional refusals by the Offices of the Contracting Parties they designate i</w:t>
      </w:r>
      <w:r w:rsidR="007E1FCB">
        <w:t xml:space="preserve">n international applications.  </w:t>
      </w:r>
    </w:p>
    <w:p w:rsidR="007E1FCB" w:rsidRPr="002070AB" w:rsidRDefault="007E1FCB" w:rsidP="002070AB"/>
    <w:p w:rsidR="007E1FCB" w:rsidRDefault="007E1FCB" w:rsidP="002070AB">
      <w:r>
        <w:br w:type="page"/>
      </w:r>
    </w:p>
    <w:p w:rsidR="002070AB" w:rsidRPr="002070AB" w:rsidRDefault="007E1FCB" w:rsidP="002070AB">
      <w:r>
        <w:fldChar w:fldCharType="begin"/>
      </w:r>
      <w:r>
        <w:instrText xml:space="preserve"> AUTONUM  </w:instrText>
      </w:r>
      <w:r>
        <w:fldChar w:fldCharType="end"/>
      </w:r>
      <w:r>
        <w:tab/>
      </w:r>
      <w:r w:rsidR="002070AB" w:rsidRPr="002070AB">
        <w:t xml:space="preserve">The </w:t>
      </w:r>
      <w:r>
        <w:t>“</w:t>
      </w:r>
      <w:r w:rsidR="002070AB" w:rsidRPr="002070AB">
        <w:t>Check acceptance by a designated Contracting Party</w:t>
      </w:r>
      <w:r>
        <w:t>”</w:t>
      </w:r>
      <w:r w:rsidR="002070AB" w:rsidRPr="002070AB">
        <w:t xml:space="preserve"> does not only provide information on whether indications proposed in MGS would be accepted in a number of Contracting Parties but, most importantly, this function also indicates which indications would be rejected in some of them.  The Office of a Contracting Party might reject some indications of goods or services for various reasons, such as, for instance, high degree of specificity requirements, specific national laws or practices or bilateral agreements on geographical indications.</w:t>
      </w:r>
      <w:r>
        <w:t xml:space="preserve">  </w:t>
      </w:r>
    </w:p>
    <w:p w:rsidR="002070AB" w:rsidRPr="002070AB" w:rsidRDefault="002070AB" w:rsidP="002070AB">
      <w:pPr>
        <w:rPr>
          <w:i/>
        </w:rPr>
      </w:pPr>
    </w:p>
    <w:p w:rsidR="002070AB" w:rsidRPr="002070AB" w:rsidRDefault="002070AB" w:rsidP="002070AB">
      <w:r w:rsidRPr="002070AB">
        <w:fldChar w:fldCharType="begin"/>
      </w:r>
      <w:r w:rsidRPr="002070AB">
        <w:instrText xml:space="preserve"> AUTONUM  </w:instrText>
      </w:r>
      <w:r w:rsidRPr="002070AB">
        <w:fldChar w:fldCharType="end"/>
      </w:r>
      <w:r w:rsidRPr="002070AB">
        <w:tab/>
        <w:t>As of January</w:t>
      </w:r>
      <w:r w:rsidR="007E1FCB">
        <w:t> </w:t>
      </w:r>
      <w:r w:rsidRPr="002070AB">
        <w:t>2016, the list of MGS participating Contracting Parties includes:</w:t>
      </w:r>
      <w:r w:rsidR="007E1FCB">
        <w:t xml:space="preserve">  </w:t>
      </w:r>
    </w:p>
    <w:p w:rsidR="002070AB" w:rsidRPr="002070AB" w:rsidRDefault="002070AB" w:rsidP="002070AB"/>
    <w:tbl>
      <w:tblPr>
        <w:tblW w:w="9319" w:type="dxa"/>
        <w:tblInd w:w="93" w:type="dxa"/>
        <w:tblLook w:val="04A0" w:firstRow="1" w:lastRow="0" w:firstColumn="1" w:lastColumn="0" w:noHBand="0" w:noVBand="1"/>
      </w:tblPr>
      <w:tblGrid>
        <w:gridCol w:w="2517"/>
        <w:gridCol w:w="839"/>
        <w:gridCol w:w="1438"/>
        <w:gridCol w:w="3476"/>
        <w:gridCol w:w="1049"/>
      </w:tblGrid>
      <w:tr w:rsidR="002070AB" w:rsidRPr="002070AB" w:rsidTr="00C1504D">
        <w:trPr>
          <w:trHeight w:val="366"/>
        </w:trPr>
        <w:tc>
          <w:tcPr>
            <w:tcW w:w="2517" w:type="dxa"/>
            <w:tcBorders>
              <w:top w:val="nil"/>
              <w:left w:val="nil"/>
              <w:bottom w:val="nil"/>
              <w:right w:val="nil"/>
            </w:tcBorders>
            <w:shd w:val="clear" w:color="auto" w:fill="auto"/>
          </w:tcPr>
          <w:p w:rsidR="002070AB" w:rsidRPr="002070AB" w:rsidRDefault="002070AB" w:rsidP="002070AB">
            <w:r w:rsidRPr="002070AB">
              <w:t>Austria</w:t>
            </w:r>
          </w:p>
        </w:tc>
        <w:tc>
          <w:tcPr>
            <w:tcW w:w="839" w:type="dxa"/>
            <w:tcBorders>
              <w:top w:val="nil"/>
              <w:left w:val="nil"/>
              <w:bottom w:val="nil"/>
              <w:right w:val="nil"/>
            </w:tcBorders>
            <w:shd w:val="clear" w:color="auto" w:fill="auto"/>
          </w:tcPr>
          <w:p w:rsidR="002070AB" w:rsidRPr="002070AB" w:rsidRDefault="002070AB" w:rsidP="002070AB">
            <w:r w:rsidRPr="002070AB">
              <w:t>AT</w:t>
            </w:r>
          </w:p>
        </w:tc>
        <w:tc>
          <w:tcPr>
            <w:tcW w:w="1438" w:type="dxa"/>
            <w:tcBorders>
              <w:top w:val="nil"/>
              <w:left w:val="nil"/>
              <w:bottom w:val="nil"/>
              <w:right w:val="nil"/>
            </w:tcBorders>
            <w:shd w:val="clear" w:color="auto" w:fill="auto"/>
          </w:tcPr>
          <w:p w:rsidR="002070AB" w:rsidRPr="002070AB" w:rsidRDefault="002070AB" w:rsidP="002070AB"/>
        </w:tc>
        <w:tc>
          <w:tcPr>
            <w:tcW w:w="3476" w:type="dxa"/>
            <w:tcBorders>
              <w:top w:val="nil"/>
              <w:left w:val="nil"/>
              <w:bottom w:val="nil"/>
              <w:right w:val="nil"/>
            </w:tcBorders>
            <w:shd w:val="clear" w:color="auto" w:fill="auto"/>
          </w:tcPr>
          <w:p w:rsidR="002070AB" w:rsidRPr="002070AB" w:rsidRDefault="002070AB" w:rsidP="002070AB">
            <w:r w:rsidRPr="002070AB">
              <w:t>Mexico</w:t>
            </w:r>
          </w:p>
        </w:tc>
        <w:tc>
          <w:tcPr>
            <w:tcW w:w="1049" w:type="dxa"/>
            <w:tcBorders>
              <w:top w:val="nil"/>
              <w:left w:val="nil"/>
              <w:bottom w:val="nil"/>
              <w:right w:val="nil"/>
            </w:tcBorders>
            <w:shd w:val="clear" w:color="auto" w:fill="auto"/>
          </w:tcPr>
          <w:p w:rsidR="002070AB" w:rsidRPr="002070AB" w:rsidRDefault="002070AB" w:rsidP="002070AB">
            <w:r w:rsidRPr="002070AB">
              <w:t>MX</w:t>
            </w:r>
          </w:p>
        </w:tc>
      </w:tr>
      <w:tr w:rsidR="002070AB" w:rsidRPr="002070AB" w:rsidTr="00C1504D">
        <w:trPr>
          <w:trHeight w:val="366"/>
        </w:trPr>
        <w:tc>
          <w:tcPr>
            <w:tcW w:w="2517" w:type="dxa"/>
            <w:tcBorders>
              <w:top w:val="nil"/>
              <w:left w:val="nil"/>
              <w:bottom w:val="nil"/>
              <w:right w:val="nil"/>
            </w:tcBorders>
            <w:shd w:val="clear" w:color="auto" w:fill="auto"/>
          </w:tcPr>
          <w:p w:rsidR="002070AB" w:rsidRPr="002070AB" w:rsidRDefault="002070AB" w:rsidP="002070AB">
            <w:r w:rsidRPr="002070AB">
              <w:t>Belarus</w:t>
            </w:r>
          </w:p>
        </w:tc>
        <w:tc>
          <w:tcPr>
            <w:tcW w:w="839" w:type="dxa"/>
            <w:tcBorders>
              <w:top w:val="nil"/>
              <w:left w:val="nil"/>
              <w:bottom w:val="nil"/>
              <w:right w:val="nil"/>
            </w:tcBorders>
            <w:shd w:val="clear" w:color="auto" w:fill="auto"/>
          </w:tcPr>
          <w:p w:rsidR="002070AB" w:rsidRPr="002070AB" w:rsidRDefault="002070AB" w:rsidP="002070AB">
            <w:r w:rsidRPr="002070AB">
              <w:t>BY</w:t>
            </w:r>
          </w:p>
        </w:tc>
        <w:tc>
          <w:tcPr>
            <w:tcW w:w="1438" w:type="dxa"/>
            <w:tcBorders>
              <w:top w:val="nil"/>
              <w:left w:val="nil"/>
              <w:bottom w:val="nil"/>
              <w:right w:val="nil"/>
            </w:tcBorders>
            <w:shd w:val="clear" w:color="auto" w:fill="auto"/>
          </w:tcPr>
          <w:p w:rsidR="002070AB" w:rsidRPr="002070AB" w:rsidRDefault="002070AB" w:rsidP="002070AB"/>
        </w:tc>
        <w:tc>
          <w:tcPr>
            <w:tcW w:w="3476" w:type="dxa"/>
            <w:tcBorders>
              <w:top w:val="nil"/>
              <w:left w:val="nil"/>
              <w:bottom w:val="nil"/>
              <w:right w:val="nil"/>
            </w:tcBorders>
            <w:shd w:val="clear" w:color="auto" w:fill="auto"/>
          </w:tcPr>
          <w:p w:rsidR="002070AB" w:rsidRPr="002070AB" w:rsidRDefault="002070AB" w:rsidP="002070AB">
            <w:r w:rsidRPr="002070AB">
              <w:t>Norway</w:t>
            </w:r>
          </w:p>
        </w:tc>
        <w:tc>
          <w:tcPr>
            <w:tcW w:w="1049" w:type="dxa"/>
            <w:tcBorders>
              <w:top w:val="nil"/>
              <w:left w:val="nil"/>
              <w:bottom w:val="nil"/>
              <w:right w:val="nil"/>
            </w:tcBorders>
            <w:shd w:val="clear" w:color="auto" w:fill="auto"/>
          </w:tcPr>
          <w:p w:rsidR="002070AB" w:rsidRPr="002070AB" w:rsidRDefault="002070AB" w:rsidP="002070AB">
            <w:r w:rsidRPr="002070AB">
              <w:t>NO</w:t>
            </w:r>
          </w:p>
        </w:tc>
      </w:tr>
      <w:tr w:rsidR="002070AB" w:rsidRPr="002070AB" w:rsidTr="00C1504D">
        <w:trPr>
          <w:trHeight w:val="366"/>
        </w:trPr>
        <w:tc>
          <w:tcPr>
            <w:tcW w:w="2517" w:type="dxa"/>
            <w:tcBorders>
              <w:top w:val="nil"/>
              <w:left w:val="nil"/>
              <w:bottom w:val="nil"/>
              <w:right w:val="nil"/>
            </w:tcBorders>
            <w:shd w:val="clear" w:color="auto" w:fill="auto"/>
          </w:tcPr>
          <w:p w:rsidR="002070AB" w:rsidRPr="002070AB" w:rsidRDefault="002070AB" w:rsidP="002070AB">
            <w:r w:rsidRPr="002070AB">
              <w:t>Benelux</w:t>
            </w:r>
          </w:p>
        </w:tc>
        <w:tc>
          <w:tcPr>
            <w:tcW w:w="839" w:type="dxa"/>
            <w:tcBorders>
              <w:top w:val="nil"/>
              <w:left w:val="nil"/>
              <w:bottom w:val="nil"/>
              <w:right w:val="nil"/>
            </w:tcBorders>
            <w:shd w:val="clear" w:color="auto" w:fill="auto"/>
          </w:tcPr>
          <w:p w:rsidR="002070AB" w:rsidRPr="002070AB" w:rsidRDefault="002070AB" w:rsidP="002070AB">
            <w:r w:rsidRPr="002070AB">
              <w:t>BX</w:t>
            </w:r>
          </w:p>
        </w:tc>
        <w:tc>
          <w:tcPr>
            <w:tcW w:w="1438" w:type="dxa"/>
            <w:tcBorders>
              <w:top w:val="nil"/>
              <w:left w:val="nil"/>
              <w:bottom w:val="nil"/>
              <w:right w:val="nil"/>
            </w:tcBorders>
            <w:shd w:val="clear" w:color="auto" w:fill="auto"/>
          </w:tcPr>
          <w:p w:rsidR="002070AB" w:rsidRPr="002070AB" w:rsidRDefault="002070AB" w:rsidP="002070AB"/>
        </w:tc>
        <w:tc>
          <w:tcPr>
            <w:tcW w:w="3476" w:type="dxa"/>
            <w:tcBorders>
              <w:top w:val="nil"/>
              <w:left w:val="nil"/>
              <w:bottom w:val="nil"/>
              <w:right w:val="nil"/>
            </w:tcBorders>
            <w:shd w:val="clear" w:color="auto" w:fill="auto"/>
          </w:tcPr>
          <w:p w:rsidR="002070AB" w:rsidRPr="002070AB" w:rsidRDefault="002070AB" w:rsidP="002070AB">
            <w:r w:rsidRPr="002070AB">
              <w:t>Portugal</w:t>
            </w:r>
          </w:p>
        </w:tc>
        <w:tc>
          <w:tcPr>
            <w:tcW w:w="1049" w:type="dxa"/>
            <w:tcBorders>
              <w:top w:val="nil"/>
              <w:left w:val="nil"/>
              <w:bottom w:val="nil"/>
              <w:right w:val="nil"/>
            </w:tcBorders>
            <w:shd w:val="clear" w:color="auto" w:fill="auto"/>
          </w:tcPr>
          <w:p w:rsidR="002070AB" w:rsidRPr="002070AB" w:rsidRDefault="002070AB" w:rsidP="002070AB">
            <w:r w:rsidRPr="002070AB">
              <w:t>PT</w:t>
            </w:r>
          </w:p>
        </w:tc>
      </w:tr>
      <w:tr w:rsidR="002070AB" w:rsidRPr="002070AB" w:rsidTr="00C1504D">
        <w:trPr>
          <w:trHeight w:val="366"/>
        </w:trPr>
        <w:tc>
          <w:tcPr>
            <w:tcW w:w="2517" w:type="dxa"/>
            <w:tcBorders>
              <w:top w:val="nil"/>
              <w:left w:val="nil"/>
              <w:bottom w:val="nil"/>
              <w:right w:val="nil"/>
            </w:tcBorders>
            <w:shd w:val="clear" w:color="auto" w:fill="auto"/>
          </w:tcPr>
          <w:p w:rsidR="002070AB" w:rsidRPr="002070AB" w:rsidRDefault="002070AB" w:rsidP="002070AB">
            <w:r w:rsidRPr="002070AB">
              <w:t>China</w:t>
            </w:r>
          </w:p>
        </w:tc>
        <w:tc>
          <w:tcPr>
            <w:tcW w:w="839" w:type="dxa"/>
            <w:tcBorders>
              <w:top w:val="nil"/>
              <w:left w:val="nil"/>
              <w:bottom w:val="nil"/>
              <w:right w:val="nil"/>
            </w:tcBorders>
            <w:shd w:val="clear" w:color="auto" w:fill="auto"/>
          </w:tcPr>
          <w:p w:rsidR="002070AB" w:rsidRPr="002070AB" w:rsidRDefault="002070AB" w:rsidP="002070AB">
            <w:r w:rsidRPr="002070AB">
              <w:t>CN</w:t>
            </w:r>
          </w:p>
        </w:tc>
        <w:tc>
          <w:tcPr>
            <w:tcW w:w="1438" w:type="dxa"/>
            <w:tcBorders>
              <w:top w:val="nil"/>
              <w:left w:val="nil"/>
              <w:bottom w:val="nil"/>
              <w:right w:val="nil"/>
            </w:tcBorders>
            <w:shd w:val="clear" w:color="auto" w:fill="auto"/>
          </w:tcPr>
          <w:p w:rsidR="002070AB" w:rsidRPr="002070AB" w:rsidRDefault="002070AB" w:rsidP="002070AB"/>
        </w:tc>
        <w:tc>
          <w:tcPr>
            <w:tcW w:w="3476" w:type="dxa"/>
            <w:tcBorders>
              <w:top w:val="nil"/>
              <w:left w:val="nil"/>
              <w:bottom w:val="nil"/>
              <w:right w:val="nil"/>
            </w:tcBorders>
            <w:shd w:val="clear" w:color="auto" w:fill="auto"/>
          </w:tcPr>
          <w:p w:rsidR="002070AB" w:rsidRPr="002070AB" w:rsidRDefault="002070AB" w:rsidP="002070AB">
            <w:r w:rsidRPr="002070AB">
              <w:t>Republic of Korea</w:t>
            </w:r>
          </w:p>
        </w:tc>
        <w:tc>
          <w:tcPr>
            <w:tcW w:w="1049" w:type="dxa"/>
            <w:tcBorders>
              <w:top w:val="nil"/>
              <w:left w:val="nil"/>
              <w:bottom w:val="nil"/>
              <w:right w:val="nil"/>
            </w:tcBorders>
            <w:shd w:val="clear" w:color="auto" w:fill="auto"/>
          </w:tcPr>
          <w:p w:rsidR="002070AB" w:rsidRPr="002070AB" w:rsidRDefault="002070AB" w:rsidP="002070AB">
            <w:r w:rsidRPr="002070AB">
              <w:t>KR</w:t>
            </w:r>
          </w:p>
        </w:tc>
      </w:tr>
      <w:tr w:rsidR="002070AB" w:rsidRPr="002070AB" w:rsidTr="00C1504D">
        <w:trPr>
          <w:trHeight w:val="366"/>
        </w:trPr>
        <w:tc>
          <w:tcPr>
            <w:tcW w:w="2517" w:type="dxa"/>
            <w:tcBorders>
              <w:top w:val="nil"/>
              <w:left w:val="nil"/>
              <w:bottom w:val="nil"/>
              <w:right w:val="nil"/>
            </w:tcBorders>
            <w:shd w:val="clear" w:color="auto" w:fill="auto"/>
          </w:tcPr>
          <w:p w:rsidR="002070AB" w:rsidRPr="002070AB" w:rsidRDefault="002070AB" w:rsidP="002070AB">
            <w:r w:rsidRPr="002070AB">
              <w:t>Colombia</w:t>
            </w:r>
          </w:p>
        </w:tc>
        <w:tc>
          <w:tcPr>
            <w:tcW w:w="839" w:type="dxa"/>
            <w:tcBorders>
              <w:top w:val="nil"/>
              <w:left w:val="nil"/>
              <w:bottom w:val="nil"/>
              <w:right w:val="nil"/>
            </w:tcBorders>
            <w:shd w:val="clear" w:color="auto" w:fill="auto"/>
          </w:tcPr>
          <w:p w:rsidR="002070AB" w:rsidRPr="002070AB" w:rsidRDefault="002070AB" w:rsidP="002070AB">
            <w:r w:rsidRPr="002070AB">
              <w:t>CO</w:t>
            </w:r>
          </w:p>
        </w:tc>
        <w:tc>
          <w:tcPr>
            <w:tcW w:w="1438" w:type="dxa"/>
            <w:tcBorders>
              <w:top w:val="nil"/>
              <w:left w:val="nil"/>
              <w:bottom w:val="nil"/>
              <w:right w:val="nil"/>
            </w:tcBorders>
            <w:shd w:val="clear" w:color="auto" w:fill="auto"/>
          </w:tcPr>
          <w:p w:rsidR="002070AB" w:rsidRPr="002070AB" w:rsidRDefault="002070AB" w:rsidP="002070AB"/>
        </w:tc>
        <w:tc>
          <w:tcPr>
            <w:tcW w:w="3476" w:type="dxa"/>
            <w:tcBorders>
              <w:top w:val="nil"/>
              <w:left w:val="nil"/>
              <w:bottom w:val="nil"/>
              <w:right w:val="nil"/>
            </w:tcBorders>
            <w:shd w:val="clear" w:color="auto" w:fill="auto"/>
          </w:tcPr>
          <w:p w:rsidR="002070AB" w:rsidRPr="002070AB" w:rsidRDefault="00017DED" w:rsidP="002070AB">
            <w:r w:rsidRPr="002070AB">
              <w:t>Russian Federation</w:t>
            </w:r>
          </w:p>
        </w:tc>
        <w:tc>
          <w:tcPr>
            <w:tcW w:w="1049" w:type="dxa"/>
            <w:tcBorders>
              <w:top w:val="nil"/>
              <w:left w:val="nil"/>
              <w:bottom w:val="nil"/>
              <w:right w:val="nil"/>
            </w:tcBorders>
            <w:shd w:val="clear" w:color="auto" w:fill="auto"/>
          </w:tcPr>
          <w:p w:rsidR="002070AB" w:rsidRPr="002070AB" w:rsidRDefault="00017DED" w:rsidP="002070AB">
            <w:r w:rsidRPr="002070AB">
              <w:t>RU</w:t>
            </w:r>
          </w:p>
        </w:tc>
      </w:tr>
      <w:tr w:rsidR="002070AB" w:rsidRPr="002070AB" w:rsidTr="00C1504D">
        <w:trPr>
          <w:trHeight w:val="366"/>
        </w:trPr>
        <w:tc>
          <w:tcPr>
            <w:tcW w:w="2517" w:type="dxa"/>
            <w:tcBorders>
              <w:top w:val="nil"/>
              <w:left w:val="nil"/>
              <w:bottom w:val="nil"/>
              <w:right w:val="nil"/>
            </w:tcBorders>
            <w:shd w:val="clear" w:color="auto" w:fill="auto"/>
          </w:tcPr>
          <w:p w:rsidR="002070AB" w:rsidRPr="002070AB" w:rsidRDefault="002070AB" w:rsidP="002070AB">
            <w:r w:rsidRPr="002070AB">
              <w:t>Denmark</w:t>
            </w:r>
          </w:p>
        </w:tc>
        <w:tc>
          <w:tcPr>
            <w:tcW w:w="839" w:type="dxa"/>
            <w:tcBorders>
              <w:top w:val="nil"/>
              <w:left w:val="nil"/>
              <w:bottom w:val="nil"/>
              <w:right w:val="nil"/>
            </w:tcBorders>
            <w:shd w:val="clear" w:color="auto" w:fill="auto"/>
          </w:tcPr>
          <w:p w:rsidR="002070AB" w:rsidRPr="002070AB" w:rsidRDefault="002070AB" w:rsidP="002070AB">
            <w:r w:rsidRPr="002070AB">
              <w:t>DK</w:t>
            </w:r>
          </w:p>
        </w:tc>
        <w:tc>
          <w:tcPr>
            <w:tcW w:w="1438" w:type="dxa"/>
            <w:tcBorders>
              <w:top w:val="nil"/>
              <w:left w:val="nil"/>
              <w:bottom w:val="nil"/>
              <w:right w:val="nil"/>
            </w:tcBorders>
            <w:shd w:val="clear" w:color="auto" w:fill="auto"/>
          </w:tcPr>
          <w:p w:rsidR="002070AB" w:rsidRPr="002070AB" w:rsidRDefault="002070AB" w:rsidP="002070AB"/>
        </w:tc>
        <w:tc>
          <w:tcPr>
            <w:tcW w:w="3476" w:type="dxa"/>
            <w:tcBorders>
              <w:top w:val="nil"/>
              <w:left w:val="nil"/>
              <w:bottom w:val="nil"/>
              <w:right w:val="nil"/>
            </w:tcBorders>
            <w:shd w:val="clear" w:color="auto" w:fill="auto"/>
          </w:tcPr>
          <w:p w:rsidR="002070AB" w:rsidRPr="002070AB" w:rsidRDefault="00017DED" w:rsidP="002070AB">
            <w:r w:rsidRPr="002070AB">
              <w:t>Serbia</w:t>
            </w:r>
          </w:p>
        </w:tc>
        <w:tc>
          <w:tcPr>
            <w:tcW w:w="1049" w:type="dxa"/>
            <w:tcBorders>
              <w:top w:val="nil"/>
              <w:left w:val="nil"/>
              <w:bottom w:val="nil"/>
              <w:right w:val="nil"/>
            </w:tcBorders>
            <w:shd w:val="clear" w:color="auto" w:fill="auto"/>
          </w:tcPr>
          <w:p w:rsidR="002070AB" w:rsidRPr="002070AB" w:rsidRDefault="00017DED" w:rsidP="002070AB">
            <w:r w:rsidRPr="002070AB">
              <w:t>RS</w:t>
            </w:r>
          </w:p>
        </w:tc>
      </w:tr>
      <w:tr w:rsidR="002070AB" w:rsidRPr="002070AB" w:rsidTr="00C1504D">
        <w:trPr>
          <w:trHeight w:val="366"/>
        </w:trPr>
        <w:tc>
          <w:tcPr>
            <w:tcW w:w="2517" w:type="dxa"/>
            <w:tcBorders>
              <w:top w:val="nil"/>
              <w:left w:val="nil"/>
              <w:bottom w:val="nil"/>
              <w:right w:val="nil"/>
            </w:tcBorders>
            <w:shd w:val="clear" w:color="auto" w:fill="auto"/>
          </w:tcPr>
          <w:p w:rsidR="002070AB" w:rsidRPr="002070AB" w:rsidRDefault="002070AB" w:rsidP="002070AB">
            <w:r w:rsidRPr="002070AB">
              <w:t>Estonia</w:t>
            </w:r>
          </w:p>
        </w:tc>
        <w:tc>
          <w:tcPr>
            <w:tcW w:w="839" w:type="dxa"/>
            <w:tcBorders>
              <w:top w:val="nil"/>
              <w:left w:val="nil"/>
              <w:bottom w:val="nil"/>
              <w:right w:val="nil"/>
            </w:tcBorders>
            <w:shd w:val="clear" w:color="auto" w:fill="auto"/>
          </w:tcPr>
          <w:p w:rsidR="002070AB" w:rsidRPr="002070AB" w:rsidRDefault="002070AB" w:rsidP="002070AB">
            <w:r w:rsidRPr="002070AB">
              <w:t>EE</w:t>
            </w:r>
          </w:p>
        </w:tc>
        <w:tc>
          <w:tcPr>
            <w:tcW w:w="1438" w:type="dxa"/>
            <w:tcBorders>
              <w:top w:val="nil"/>
              <w:left w:val="nil"/>
              <w:bottom w:val="nil"/>
              <w:right w:val="nil"/>
            </w:tcBorders>
            <w:shd w:val="clear" w:color="auto" w:fill="auto"/>
          </w:tcPr>
          <w:p w:rsidR="002070AB" w:rsidRPr="002070AB" w:rsidRDefault="002070AB" w:rsidP="002070AB"/>
        </w:tc>
        <w:tc>
          <w:tcPr>
            <w:tcW w:w="3476" w:type="dxa"/>
            <w:tcBorders>
              <w:top w:val="nil"/>
              <w:left w:val="nil"/>
              <w:bottom w:val="nil"/>
              <w:right w:val="nil"/>
            </w:tcBorders>
            <w:shd w:val="clear" w:color="auto" w:fill="auto"/>
          </w:tcPr>
          <w:p w:rsidR="002070AB" w:rsidRPr="002070AB" w:rsidRDefault="002070AB" w:rsidP="002070AB">
            <w:r w:rsidRPr="002070AB">
              <w:t>Singapore</w:t>
            </w:r>
          </w:p>
        </w:tc>
        <w:tc>
          <w:tcPr>
            <w:tcW w:w="1049" w:type="dxa"/>
            <w:tcBorders>
              <w:top w:val="nil"/>
              <w:left w:val="nil"/>
              <w:bottom w:val="nil"/>
              <w:right w:val="nil"/>
            </w:tcBorders>
            <w:shd w:val="clear" w:color="auto" w:fill="auto"/>
          </w:tcPr>
          <w:p w:rsidR="002070AB" w:rsidRPr="002070AB" w:rsidRDefault="002070AB" w:rsidP="002070AB">
            <w:r w:rsidRPr="002070AB">
              <w:t>SG</w:t>
            </w:r>
          </w:p>
        </w:tc>
      </w:tr>
      <w:tr w:rsidR="002070AB" w:rsidRPr="002070AB" w:rsidTr="00C1504D">
        <w:trPr>
          <w:trHeight w:val="366"/>
        </w:trPr>
        <w:tc>
          <w:tcPr>
            <w:tcW w:w="2517" w:type="dxa"/>
            <w:tcBorders>
              <w:top w:val="nil"/>
              <w:left w:val="nil"/>
              <w:bottom w:val="nil"/>
              <w:right w:val="nil"/>
            </w:tcBorders>
            <w:shd w:val="clear" w:color="auto" w:fill="auto"/>
          </w:tcPr>
          <w:p w:rsidR="002070AB" w:rsidRPr="002070AB" w:rsidRDefault="002070AB" w:rsidP="002070AB">
            <w:r w:rsidRPr="002070AB">
              <w:t>European Union</w:t>
            </w:r>
          </w:p>
        </w:tc>
        <w:tc>
          <w:tcPr>
            <w:tcW w:w="839" w:type="dxa"/>
            <w:tcBorders>
              <w:top w:val="nil"/>
              <w:left w:val="nil"/>
              <w:bottom w:val="nil"/>
              <w:right w:val="nil"/>
            </w:tcBorders>
            <w:shd w:val="clear" w:color="auto" w:fill="auto"/>
          </w:tcPr>
          <w:p w:rsidR="002070AB" w:rsidRPr="002070AB" w:rsidRDefault="002070AB" w:rsidP="002070AB">
            <w:r w:rsidRPr="002070AB">
              <w:t>EM</w:t>
            </w:r>
          </w:p>
        </w:tc>
        <w:tc>
          <w:tcPr>
            <w:tcW w:w="1438" w:type="dxa"/>
            <w:tcBorders>
              <w:top w:val="nil"/>
              <w:left w:val="nil"/>
              <w:bottom w:val="nil"/>
              <w:right w:val="nil"/>
            </w:tcBorders>
            <w:shd w:val="clear" w:color="auto" w:fill="auto"/>
          </w:tcPr>
          <w:p w:rsidR="002070AB" w:rsidRPr="002070AB" w:rsidRDefault="002070AB" w:rsidP="002070AB"/>
        </w:tc>
        <w:tc>
          <w:tcPr>
            <w:tcW w:w="3476" w:type="dxa"/>
            <w:tcBorders>
              <w:top w:val="nil"/>
              <w:left w:val="nil"/>
              <w:bottom w:val="nil"/>
              <w:right w:val="nil"/>
            </w:tcBorders>
            <w:shd w:val="clear" w:color="auto" w:fill="auto"/>
          </w:tcPr>
          <w:p w:rsidR="002070AB" w:rsidRPr="002070AB" w:rsidRDefault="002070AB" w:rsidP="002070AB">
            <w:r w:rsidRPr="002070AB">
              <w:t>Sweden</w:t>
            </w:r>
          </w:p>
        </w:tc>
        <w:tc>
          <w:tcPr>
            <w:tcW w:w="1049" w:type="dxa"/>
            <w:tcBorders>
              <w:top w:val="nil"/>
              <w:left w:val="nil"/>
              <w:bottom w:val="nil"/>
              <w:right w:val="nil"/>
            </w:tcBorders>
            <w:shd w:val="clear" w:color="auto" w:fill="auto"/>
          </w:tcPr>
          <w:p w:rsidR="002070AB" w:rsidRPr="002070AB" w:rsidRDefault="002070AB" w:rsidP="002070AB">
            <w:r w:rsidRPr="002070AB">
              <w:t>SE</w:t>
            </w:r>
          </w:p>
        </w:tc>
      </w:tr>
      <w:tr w:rsidR="002070AB" w:rsidRPr="002070AB" w:rsidTr="00C1504D">
        <w:trPr>
          <w:trHeight w:val="366"/>
        </w:trPr>
        <w:tc>
          <w:tcPr>
            <w:tcW w:w="2517" w:type="dxa"/>
            <w:tcBorders>
              <w:top w:val="nil"/>
              <w:left w:val="nil"/>
              <w:bottom w:val="nil"/>
              <w:right w:val="nil"/>
            </w:tcBorders>
            <w:shd w:val="clear" w:color="auto" w:fill="auto"/>
          </w:tcPr>
          <w:p w:rsidR="002070AB" w:rsidRPr="002070AB" w:rsidRDefault="002070AB" w:rsidP="002070AB">
            <w:r w:rsidRPr="002070AB">
              <w:t>Finland</w:t>
            </w:r>
          </w:p>
        </w:tc>
        <w:tc>
          <w:tcPr>
            <w:tcW w:w="839" w:type="dxa"/>
            <w:tcBorders>
              <w:top w:val="nil"/>
              <w:left w:val="nil"/>
              <w:bottom w:val="nil"/>
              <w:right w:val="nil"/>
            </w:tcBorders>
            <w:shd w:val="clear" w:color="auto" w:fill="auto"/>
          </w:tcPr>
          <w:p w:rsidR="002070AB" w:rsidRPr="002070AB" w:rsidRDefault="002070AB" w:rsidP="002070AB">
            <w:r w:rsidRPr="002070AB">
              <w:t>FI</w:t>
            </w:r>
          </w:p>
        </w:tc>
        <w:tc>
          <w:tcPr>
            <w:tcW w:w="1438" w:type="dxa"/>
            <w:tcBorders>
              <w:top w:val="nil"/>
              <w:left w:val="nil"/>
              <w:bottom w:val="nil"/>
              <w:right w:val="nil"/>
            </w:tcBorders>
            <w:shd w:val="clear" w:color="auto" w:fill="auto"/>
          </w:tcPr>
          <w:p w:rsidR="002070AB" w:rsidRPr="002070AB" w:rsidRDefault="002070AB" w:rsidP="002070AB"/>
        </w:tc>
        <w:tc>
          <w:tcPr>
            <w:tcW w:w="3476" w:type="dxa"/>
            <w:tcBorders>
              <w:top w:val="nil"/>
              <w:left w:val="nil"/>
              <w:bottom w:val="nil"/>
              <w:right w:val="nil"/>
            </w:tcBorders>
            <w:shd w:val="clear" w:color="auto" w:fill="auto"/>
          </w:tcPr>
          <w:p w:rsidR="002070AB" w:rsidRPr="002070AB" w:rsidRDefault="002070AB" w:rsidP="002070AB">
            <w:r w:rsidRPr="002070AB">
              <w:t>Switzerland</w:t>
            </w:r>
          </w:p>
        </w:tc>
        <w:tc>
          <w:tcPr>
            <w:tcW w:w="1049" w:type="dxa"/>
            <w:tcBorders>
              <w:top w:val="nil"/>
              <w:left w:val="nil"/>
              <w:bottom w:val="nil"/>
              <w:right w:val="nil"/>
            </w:tcBorders>
            <w:shd w:val="clear" w:color="auto" w:fill="auto"/>
          </w:tcPr>
          <w:p w:rsidR="002070AB" w:rsidRPr="002070AB" w:rsidRDefault="002070AB" w:rsidP="002070AB">
            <w:r w:rsidRPr="002070AB">
              <w:t>CH</w:t>
            </w:r>
          </w:p>
        </w:tc>
      </w:tr>
      <w:tr w:rsidR="002070AB" w:rsidRPr="002070AB" w:rsidTr="00C1504D">
        <w:trPr>
          <w:trHeight w:val="366"/>
        </w:trPr>
        <w:tc>
          <w:tcPr>
            <w:tcW w:w="2517" w:type="dxa"/>
            <w:tcBorders>
              <w:top w:val="nil"/>
              <w:left w:val="nil"/>
              <w:bottom w:val="nil"/>
              <w:right w:val="nil"/>
            </w:tcBorders>
            <w:shd w:val="clear" w:color="auto" w:fill="auto"/>
          </w:tcPr>
          <w:p w:rsidR="002070AB" w:rsidRPr="002070AB" w:rsidRDefault="002070AB" w:rsidP="002070AB">
            <w:r w:rsidRPr="002070AB">
              <w:t>Germany</w:t>
            </w:r>
          </w:p>
        </w:tc>
        <w:tc>
          <w:tcPr>
            <w:tcW w:w="839" w:type="dxa"/>
            <w:tcBorders>
              <w:top w:val="nil"/>
              <w:left w:val="nil"/>
              <w:bottom w:val="nil"/>
              <w:right w:val="nil"/>
            </w:tcBorders>
            <w:shd w:val="clear" w:color="auto" w:fill="auto"/>
          </w:tcPr>
          <w:p w:rsidR="002070AB" w:rsidRPr="002070AB" w:rsidRDefault="002070AB" w:rsidP="002070AB">
            <w:r w:rsidRPr="002070AB">
              <w:t>DE</w:t>
            </w:r>
          </w:p>
        </w:tc>
        <w:tc>
          <w:tcPr>
            <w:tcW w:w="1438" w:type="dxa"/>
            <w:tcBorders>
              <w:top w:val="nil"/>
              <w:left w:val="nil"/>
              <w:bottom w:val="nil"/>
              <w:right w:val="nil"/>
            </w:tcBorders>
            <w:shd w:val="clear" w:color="auto" w:fill="auto"/>
          </w:tcPr>
          <w:p w:rsidR="002070AB" w:rsidRPr="002070AB" w:rsidRDefault="002070AB" w:rsidP="002070AB"/>
        </w:tc>
        <w:tc>
          <w:tcPr>
            <w:tcW w:w="3476" w:type="dxa"/>
            <w:tcBorders>
              <w:top w:val="nil"/>
              <w:left w:val="nil"/>
              <w:bottom w:val="nil"/>
              <w:right w:val="nil"/>
            </w:tcBorders>
            <w:shd w:val="clear" w:color="auto" w:fill="auto"/>
          </w:tcPr>
          <w:p w:rsidR="002070AB" w:rsidRPr="002070AB" w:rsidRDefault="002070AB" w:rsidP="002070AB">
            <w:r w:rsidRPr="002070AB">
              <w:t>Turkey</w:t>
            </w:r>
          </w:p>
        </w:tc>
        <w:tc>
          <w:tcPr>
            <w:tcW w:w="1049" w:type="dxa"/>
            <w:tcBorders>
              <w:top w:val="nil"/>
              <w:left w:val="nil"/>
              <w:bottom w:val="nil"/>
              <w:right w:val="nil"/>
            </w:tcBorders>
            <w:shd w:val="clear" w:color="auto" w:fill="auto"/>
          </w:tcPr>
          <w:p w:rsidR="002070AB" w:rsidRPr="002070AB" w:rsidRDefault="002070AB" w:rsidP="002070AB">
            <w:r w:rsidRPr="002070AB">
              <w:t>TR</w:t>
            </w:r>
          </w:p>
        </w:tc>
      </w:tr>
      <w:tr w:rsidR="002070AB" w:rsidRPr="002070AB" w:rsidTr="00C1504D">
        <w:trPr>
          <w:trHeight w:val="366"/>
        </w:trPr>
        <w:tc>
          <w:tcPr>
            <w:tcW w:w="2517" w:type="dxa"/>
            <w:tcBorders>
              <w:top w:val="nil"/>
              <w:left w:val="nil"/>
              <w:bottom w:val="nil"/>
              <w:right w:val="nil"/>
            </w:tcBorders>
            <w:shd w:val="clear" w:color="auto" w:fill="auto"/>
          </w:tcPr>
          <w:p w:rsidR="002070AB" w:rsidRPr="002070AB" w:rsidRDefault="002070AB" w:rsidP="002070AB">
            <w:r w:rsidRPr="002070AB">
              <w:t>Israel</w:t>
            </w:r>
          </w:p>
        </w:tc>
        <w:tc>
          <w:tcPr>
            <w:tcW w:w="839" w:type="dxa"/>
            <w:tcBorders>
              <w:top w:val="nil"/>
              <w:left w:val="nil"/>
              <w:bottom w:val="nil"/>
              <w:right w:val="nil"/>
            </w:tcBorders>
            <w:shd w:val="clear" w:color="auto" w:fill="auto"/>
          </w:tcPr>
          <w:p w:rsidR="002070AB" w:rsidRPr="002070AB" w:rsidRDefault="002070AB" w:rsidP="002070AB">
            <w:r w:rsidRPr="002070AB">
              <w:t>IL</w:t>
            </w:r>
          </w:p>
        </w:tc>
        <w:tc>
          <w:tcPr>
            <w:tcW w:w="1438" w:type="dxa"/>
            <w:tcBorders>
              <w:top w:val="nil"/>
              <w:left w:val="nil"/>
              <w:bottom w:val="nil"/>
              <w:right w:val="nil"/>
            </w:tcBorders>
            <w:shd w:val="clear" w:color="auto" w:fill="auto"/>
          </w:tcPr>
          <w:p w:rsidR="002070AB" w:rsidRPr="002070AB" w:rsidRDefault="002070AB" w:rsidP="002070AB"/>
        </w:tc>
        <w:tc>
          <w:tcPr>
            <w:tcW w:w="3476" w:type="dxa"/>
            <w:tcBorders>
              <w:top w:val="nil"/>
              <w:left w:val="nil"/>
              <w:bottom w:val="nil"/>
              <w:right w:val="nil"/>
            </w:tcBorders>
            <w:shd w:val="clear" w:color="auto" w:fill="auto"/>
          </w:tcPr>
          <w:p w:rsidR="002070AB" w:rsidRPr="002070AB" w:rsidRDefault="002070AB" w:rsidP="002070AB">
            <w:r w:rsidRPr="002070AB">
              <w:t>Ukraine</w:t>
            </w:r>
          </w:p>
        </w:tc>
        <w:tc>
          <w:tcPr>
            <w:tcW w:w="1049" w:type="dxa"/>
            <w:tcBorders>
              <w:top w:val="nil"/>
              <w:left w:val="nil"/>
              <w:bottom w:val="nil"/>
              <w:right w:val="nil"/>
            </w:tcBorders>
            <w:shd w:val="clear" w:color="auto" w:fill="auto"/>
          </w:tcPr>
          <w:p w:rsidR="002070AB" w:rsidRPr="002070AB" w:rsidRDefault="002070AB" w:rsidP="002070AB">
            <w:r w:rsidRPr="002070AB">
              <w:t>UA</w:t>
            </w:r>
          </w:p>
        </w:tc>
      </w:tr>
      <w:tr w:rsidR="002070AB" w:rsidRPr="002070AB" w:rsidTr="00C1504D">
        <w:trPr>
          <w:trHeight w:val="366"/>
        </w:trPr>
        <w:tc>
          <w:tcPr>
            <w:tcW w:w="2517" w:type="dxa"/>
            <w:tcBorders>
              <w:top w:val="nil"/>
              <w:left w:val="nil"/>
              <w:bottom w:val="nil"/>
              <w:right w:val="nil"/>
            </w:tcBorders>
            <w:shd w:val="clear" w:color="auto" w:fill="auto"/>
          </w:tcPr>
          <w:p w:rsidR="002070AB" w:rsidRPr="002070AB" w:rsidRDefault="002070AB" w:rsidP="002070AB">
            <w:r w:rsidRPr="002070AB">
              <w:t>Italy</w:t>
            </w:r>
          </w:p>
        </w:tc>
        <w:tc>
          <w:tcPr>
            <w:tcW w:w="839" w:type="dxa"/>
            <w:tcBorders>
              <w:top w:val="nil"/>
              <w:left w:val="nil"/>
              <w:bottom w:val="nil"/>
              <w:right w:val="nil"/>
            </w:tcBorders>
            <w:shd w:val="clear" w:color="auto" w:fill="auto"/>
          </w:tcPr>
          <w:p w:rsidR="002070AB" w:rsidRPr="002070AB" w:rsidRDefault="002070AB" w:rsidP="002070AB">
            <w:r w:rsidRPr="002070AB">
              <w:t>IT</w:t>
            </w:r>
          </w:p>
        </w:tc>
        <w:tc>
          <w:tcPr>
            <w:tcW w:w="1438" w:type="dxa"/>
            <w:tcBorders>
              <w:top w:val="nil"/>
              <w:left w:val="nil"/>
              <w:bottom w:val="nil"/>
              <w:right w:val="nil"/>
            </w:tcBorders>
            <w:shd w:val="clear" w:color="auto" w:fill="auto"/>
          </w:tcPr>
          <w:p w:rsidR="002070AB" w:rsidRPr="002070AB" w:rsidRDefault="002070AB" w:rsidP="002070AB"/>
        </w:tc>
        <w:tc>
          <w:tcPr>
            <w:tcW w:w="3476" w:type="dxa"/>
            <w:tcBorders>
              <w:top w:val="nil"/>
              <w:left w:val="nil"/>
              <w:bottom w:val="nil"/>
              <w:right w:val="nil"/>
            </w:tcBorders>
            <w:shd w:val="clear" w:color="auto" w:fill="auto"/>
          </w:tcPr>
          <w:p w:rsidR="002070AB" w:rsidRPr="002070AB" w:rsidRDefault="002070AB" w:rsidP="002070AB">
            <w:r w:rsidRPr="002070AB">
              <w:t>United Kingdom</w:t>
            </w:r>
          </w:p>
        </w:tc>
        <w:tc>
          <w:tcPr>
            <w:tcW w:w="1049" w:type="dxa"/>
            <w:tcBorders>
              <w:top w:val="nil"/>
              <w:left w:val="nil"/>
              <w:bottom w:val="nil"/>
              <w:right w:val="nil"/>
            </w:tcBorders>
            <w:shd w:val="clear" w:color="auto" w:fill="auto"/>
          </w:tcPr>
          <w:p w:rsidR="002070AB" w:rsidRPr="002070AB" w:rsidRDefault="002070AB" w:rsidP="002070AB">
            <w:r w:rsidRPr="002070AB">
              <w:t>GB</w:t>
            </w:r>
          </w:p>
        </w:tc>
      </w:tr>
      <w:tr w:rsidR="002070AB" w:rsidRPr="002070AB" w:rsidTr="00C1504D">
        <w:trPr>
          <w:trHeight w:val="366"/>
        </w:trPr>
        <w:tc>
          <w:tcPr>
            <w:tcW w:w="2517" w:type="dxa"/>
            <w:tcBorders>
              <w:top w:val="nil"/>
              <w:left w:val="nil"/>
              <w:bottom w:val="nil"/>
              <w:right w:val="nil"/>
            </w:tcBorders>
            <w:shd w:val="clear" w:color="auto" w:fill="auto"/>
          </w:tcPr>
          <w:p w:rsidR="002070AB" w:rsidRPr="002070AB" w:rsidRDefault="002070AB" w:rsidP="002070AB">
            <w:r w:rsidRPr="002070AB">
              <w:t>Japan</w:t>
            </w:r>
          </w:p>
        </w:tc>
        <w:tc>
          <w:tcPr>
            <w:tcW w:w="839" w:type="dxa"/>
            <w:tcBorders>
              <w:top w:val="nil"/>
              <w:left w:val="nil"/>
              <w:bottom w:val="nil"/>
              <w:right w:val="nil"/>
            </w:tcBorders>
            <w:shd w:val="clear" w:color="auto" w:fill="auto"/>
          </w:tcPr>
          <w:p w:rsidR="002070AB" w:rsidRPr="002070AB" w:rsidRDefault="002070AB" w:rsidP="002070AB">
            <w:r w:rsidRPr="002070AB">
              <w:t>JP</w:t>
            </w:r>
          </w:p>
        </w:tc>
        <w:tc>
          <w:tcPr>
            <w:tcW w:w="1438" w:type="dxa"/>
            <w:tcBorders>
              <w:top w:val="nil"/>
              <w:left w:val="nil"/>
              <w:bottom w:val="nil"/>
              <w:right w:val="nil"/>
            </w:tcBorders>
            <w:shd w:val="clear" w:color="auto" w:fill="auto"/>
          </w:tcPr>
          <w:p w:rsidR="002070AB" w:rsidRPr="002070AB" w:rsidRDefault="002070AB" w:rsidP="002070AB"/>
        </w:tc>
        <w:tc>
          <w:tcPr>
            <w:tcW w:w="3476" w:type="dxa"/>
            <w:tcBorders>
              <w:top w:val="nil"/>
              <w:left w:val="nil"/>
              <w:bottom w:val="nil"/>
              <w:right w:val="nil"/>
            </w:tcBorders>
            <w:shd w:val="clear" w:color="auto" w:fill="auto"/>
          </w:tcPr>
          <w:p w:rsidR="002070AB" w:rsidRPr="002070AB" w:rsidRDefault="002070AB" w:rsidP="002070AB">
            <w:r w:rsidRPr="002070AB">
              <w:t>United States of America</w:t>
            </w:r>
          </w:p>
        </w:tc>
        <w:tc>
          <w:tcPr>
            <w:tcW w:w="1049" w:type="dxa"/>
            <w:tcBorders>
              <w:top w:val="nil"/>
              <w:left w:val="nil"/>
              <w:bottom w:val="nil"/>
              <w:right w:val="nil"/>
            </w:tcBorders>
            <w:shd w:val="clear" w:color="auto" w:fill="auto"/>
          </w:tcPr>
          <w:p w:rsidR="002070AB" w:rsidRPr="002070AB" w:rsidRDefault="002070AB" w:rsidP="002070AB">
            <w:r w:rsidRPr="002070AB">
              <w:t>US</w:t>
            </w:r>
          </w:p>
        </w:tc>
      </w:tr>
    </w:tbl>
    <w:p w:rsidR="004478C3" w:rsidRDefault="004478C3" w:rsidP="00CE763A"/>
    <w:p w:rsidR="00473CFB" w:rsidRDefault="00473CFB" w:rsidP="00F55FB2"/>
    <w:p w:rsidR="00473CFB" w:rsidRPr="00F55FB2" w:rsidRDefault="00473CFB" w:rsidP="00F55FB2"/>
    <w:p w:rsidR="004936FC" w:rsidRPr="00F55FB2" w:rsidRDefault="00C75303" w:rsidP="00473CFB">
      <w:pPr>
        <w:pStyle w:val="Endofdocument-Annex"/>
      </w:pPr>
      <w:r>
        <w:t xml:space="preserve">March </w:t>
      </w:r>
      <w:r w:rsidR="00413908">
        <w:t>22</w:t>
      </w:r>
      <w:bookmarkStart w:id="2" w:name="_GoBack"/>
      <w:bookmarkEnd w:id="2"/>
      <w:r w:rsidR="006F3270">
        <w:t>, 2016</w:t>
      </w:r>
    </w:p>
    <w:sectPr w:rsidR="004936FC" w:rsidRPr="00F55FB2" w:rsidSect="00605827">
      <w:headerReference w:type="default" r:id="rId10"/>
      <w:footnotePr>
        <w:numFmt w:val="chicago"/>
      </w:footnotePr>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FA8" w:rsidRDefault="00853FA8">
      <w:r>
        <w:separator/>
      </w:r>
    </w:p>
  </w:endnote>
  <w:endnote w:type="continuationSeparator" w:id="0">
    <w:p w:rsidR="00853FA8" w:rsidRDefault="00853FA8" w:rsidP="003B38C1">
      <w:r>
        <w:separator/>
      </w:r>
    </w:p>
    <w:p w:rsidR="00853FA8" w:rsidRPr="003B38C1" w:rsidRDefault="00853FA8" w:rsidP="003B38C1">
      <w:pPr>
        <w:spacing w:after="60"/>
        <w:rPr>
          <w:sz w:val="17"/>
        </w:rPr>
      </w:pPr>
      <w:r>
        <w:rPr>
          <w:sz w:val="17"/>
        </w:rPr>
        <w:t>[Endnote continued from previous page]</w:t>
      </w:r>
    </w:p>
  </w:endnote>
  <w:endnote w:type="continuationNotice" w:id="1">
    <w:p w:rsidR="00853FA8" w:rsidRPr="003B38C1" w:rsidRDefault="00853F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FA8" w:rsidRDefault="00853FA8">
      <w:r>
        <w:separator/>
      </w:r>
    </w:p>
  </w:footnote>
  <w:footnote w:type="continuationSeparator" w:id="0">
    <w:p w:rsidR="00853FA8" w:rsidRDefault="00853FA8" w:rsidP="008B60B2">
      <w:r>
        <w:separator/>
      </w:r>
    </w:p>
    <w:p w:rsidR="00853FA8" w:rsidRPr="00ED77FB" w:rsidRDefault="00853FA8" w:rsidP="008B60B2">
      <w:pPr>
        <w:spacing w:after="60"/>
        <w:rPr>
          <w:sz w:val="17"/>
          <w:szCs w:val="17"/>
        </w:rPr>
      </w:pPr>
      <w:r w:rsidRPr="00ED77FB">
        <w:rPr>
          <w:sz w:val="17"/>
          <w:szCs w:val="17"/>
        </w:rPr>
        <w:t>[Footnote continued from previous page]</w:t>
      </w:r>
    </w:p>
  </w:footnote>
  <w:footnote w:type="continuationNotice" w:id="1">
    <w:p w:rsidR="00853FA8" w:rsidRPr="00ED77FB" w:rsidRDefault="00853FA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4F" w:rsidRDefault="002A2E4F" w:rsidP="00477D6B">
    <w:pPr>
      <w:jc w:val="right"/>
    </w:pPr>
    <w:bookmarkStart w:id="3" w:name="Code2"/>
    <w:bookmarkEnd w:id="3"/>
  </w:p>
  <w:p w:rsidR="002A2E4F" w:rsidRDefault="002A2E4F" w:rsidP="00477D6B">
    <w:pPr>
      <w:jc w:val="right"/>
    </w:pPr>
    <w:proofErr w:type="gramStart"/>
    <w:r>
      <w:t>page</w:t>
    </w:r>
    <w:proofErr w:type="gramEnd"/>
    <w:r>
      <w:t xml:space="preserve"> </w:t>
    </w:r>
    <w:r>
      <w:fldChar w:fldCharType="begin"/>
    </w:r>
    <w:r>
      <w:instrText xml:space="preserve"> PAGE  \* MERGEFORMAT </w:instrText>
    </w:r>
    <w:r>
      <w:fldChar w:fldCharType="separate"/>
    </w:r>
    <w:r w:rsidR="00413908">
      <w:rPr>
        <w:noProof/>
      </w:rPr>
      <w:t>3</w:t>
    </w:r>
    <w:r>
      <w:fldChar w:fldCharType="end"/>
    </w:r>
  </w:p>
  <w:p w:rsidR="002A2E4F" w:rsidRDefault="002A2E4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56723D"/>
    <w:multiLevelType w:val="hybridMultilevel"/>
    <w:tmpl w:val="0C046C72"/>
    <w:lvl w:ilvl="0" w:tplc="EF7885A4">
      <w:start w:val="2"/>
      <w:numFmt w:val="bullet"/>
      <w:lvlText w:val="̶"/>
      <w:lvlJc w:val="left"/>
      <w:pPr>
        <w:ind w:left="1287" w:hanging="360"/>
      </w:pPr>
      <w:rPr>
        <w:rFonts w:ascii="Arial" w:eastAsia="Calibri"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1377"/>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4D9"/>
    <w:rsid w:val="00005CFF"/>
    <w:rsid w:val="000123A6"/>
    <w:rsid w:val="00017DED"/>
    <w:rsid w:val="00021CC8"/>
    <w:rsid w:val="00043313"/>
    <w:rsid w:val="00043892"/>
    <w:rsid w:val="00043CAA"/>
    <w:rsid w:val="000728FF"/>
    <w:rsid w:val="00075432"/>
    <w:rsid w:val="000968ED"/>
    <w:rsid w:val="000A525D"/>
    <w:rsid w:val="000B3533"/>
    <w:rsid w:val="000C09DC"/>
    <w:rsid w:val="000C45C4"/>
    <w:rsid w:val="000D3921"/>
    <w:rsid w:val="000F5E56"/>
    <w:rsid w:val="001272E3"/>
    <w:rsid w:val="00131BD8"/>
    <w:rsid w:val="00133F53"/>
    <w:rsid w:val="001362EE"/>
    <w:rsid w:val="0015037D"/>
    <w:rsid w:val="00166299"/>
    <w:rsid w:val="001832A6"/>
    <w:rsid w:val="00183A73"/>
    <w:rsid w:val="00184A75"/>
    <w:rsid w:val="00185E31"/>
    <w:rsid w:val="00186DE1"/>
    <w:rsid w:val="001A67A5"/>
    <w:rsid w:val="001C2D7E"/>
    <w:rsid w:val="001E3850"/>
    <w:rsid w:val="001F1B95"/>
    <w:rsid w:val="001F717F"/>
    <w:rsid w:val="0020551F"/>
    <w:rsid w:val="002070AB"/>
    <w:rsid w:val="0022493E"/>
    <w:rsid w:val="00251890"/>
    <w:rsid w:val="0025278E"/>
    <w:rsid w:val="002634C4"/>
    <w:rsid w:val="0028754B"/>
    <w:rsid w:val="002928D3"/>
    <w:rsid w:val="00293C86"/>
    <w:rsid w:val="00295560"/>
    <w:rsid w:val="002A2E4F"/>
    <w:rsid w:val="002B208D"/>
    <w:rsid w:val="002C1554"/>
    <w:rsid w:val="002C38D8"/>
    <w:rsid w:val="002C74EB"/>
    <w:rsid w:val="002D0CCE"/>
    <w:rsid w:val="002E2F76"/>
    <w:rsid w:val="002F1FE6"/>
    <w:rsid w:val="002F4E68"/>
    <w:rsid w:val="00312F7F"/>
    <w:rsid w:val="00317670"/>
    <w:rsid w:val="00335EC1"/>
    <w:rsid w:val="00342677"/>
    <w:rsid w:val="00347330"/>
    <w:rsid w:val="00357985"/>
    <w:rsid w:val="00361450"/>
    <w:rsid w:val="003673CF"/>
    <w:rsid w:val="003845C1"/>
    <w:rsid w:val="003A6F89"/>
    <w:rsid w:val="003B19FC"/>
    <w:rsid w:val="003B38C1"/>
    <w:rsid w:val="003C4E97"/>
    <w:rsid w:val="003E0D9F"/>
    <w:rsid w:val="004052E1"/>
    <w:rsid w:val="004067BD"/>
    <w:rsid w:val="00411FB2"/>
    <w:rsid w:val="00413908"/>
    <w:rsid w:val="00414A9E"/>
    <w:rsid w:val="00423E3E"/>
    <w:rsid w:val="00427AF4"/>
    <w:rsid w:val="004478C3"/>
    <w:rsid w:val="004630B4"/>
    <w:rsid w:val="004647DA"/>
    <w:rsid w:val="00467CF6"/>
    <w:rsid w:val="0047006A"/>
    <w:rsid w:val="00473CFB"/>
    <w:rsid w:val="00474062"/>
    <w:rsid w:val="00477D6B"/>
    <w:rsid w:val="00477EF9"/>
    <w:rsid w:val="004936FC"/>
    <w:rsid w:val="004947C5"/>
    <w:rsid w:val="00496CCF"/>
    <w:rsid w:val="004A2ABE"/>
    <w:rsid w:val="004B0093"/>
    <w:rsid w:val="004B336C"/>
    <w:rsid w:val="004E4B19"/>
    <w:rsid w:val="004F5A30"/>
    <w:rsid w:val="005019FF"/>
    <w:rsid w:val="005243B1"/>
    <w:rsid w:val="0053057A"/>
    <w:rsid w:val="0054277A"/>
    <w:rsid w:val="00546473"/>
    <w:rsid w:val="00546A94"/>
    <w:rsid w:val="00560A29"/>
    <w:rsid w:val="005710ED"/>
    <w:rsid w:val="0057681E"/>
    <w:rsid w:val="0058570B"/>
    <w:rsid w:val="005868B8"/>
    <w:rsid w:val="005C6649"/>
    <w:rsid w:val="005F2F3B"/>
    <w:rsid w:val="00605827"/>
    <w:rsid w:val="00644AA2"/>
    <w:rsid w:val="00646050"/>
    <w:rsid w:val="00647B0C"/>
    <w:rsid w:val="00654AE9"/>
    <w:rsid w:val="00663D91"/>
    <w:rsid w:val="006659A7"/>
    <w:rsid w:val="006713CA"/>
    <w:rsid w:val="00674ABA"/>
    <w:rsid w:val="00676C5C"/>
    <w:rsid w:val="0068464E"/>
    <w:rsid w:val="00684699"/>
    <w:rsid w:val="006956D1"/>
    <w:rsid w:val="006A56EF"/>
    <w:rsid w:val="006C15FB"/>
    <w:rsid w:val="006F3270"/>
    <w:rsid w:val="00725FF6"/>
    <w:rsid w:val="00740DC1"/>
    <w:rsid w:val="00767C4D"/>
    <w:rsid w:val="00773CE3"/>
    <w:rsid w:val="00775EBD"/>
    <w:rsid w:val="00790A94"/>
    <w:rsid w:val="007A3CCA"/>
    <w:rsid w:val="007B7F73"/>
    <w:rsid w:val="007C3E9B"/>
    <w:rsid w:val="007D1613"/>
    <w:rsid w:val="007D250A"/>
    <w:rsid w:val="007E1FCB"/>
    <w:rsid w:val="007F4D09"/>
    <w:rsid w:val="00804EC4"/>
    <w:rsid w:val="00840826"/>
    <w:rsid w:val="00853FA8"/>
    <w:rsid w:val="00854071"/>
    <w:rsid w:val="00875C15"/>
    <w:rsid w:val="00885618"/>
    <w:rsid w:val="008948BE"/>
    <w:rsid w:val="008977D0"/>
    <w:rsid w:val="008B2CC1"/>
    <w:rsid w:val="008B5502"/>
    <w:rsid w:val="008B60B2"/>
    <w:rsid w:val="008B707B"/>
    <w:rsid w:val="008C19D7"/>
    <w:rsid w:val="008C2D2F"/>
    <w:rsid w:val="008C2FE6"/>
    <w:rsid w:val="008C3C1D"/>
    <w:rsid w:val="008F1F70"/>
    <w:rsid w:val="008F7675"/>
    <w:rsid w:val="0090731E"/>
    <w:rsid w:val="0091220F"/>
    <w:rsid w:val="00916EE2"/>
    <w:rsid w:val="00922789"/>
    <w:rsid w:val="009378BE"/>
    <w:rsid w:val="00940793"/>
    <w:rsid w:val="00965EC2"/>
    <w:rsid w:val="00966A22"/>
    <w:rsid w:val="0096722F"/>
    <w:rsid w:val="00980843"/>
    <w:rsid w:val="009820CB"/>
    <w:rsid w:val="0098282D"/>
    <w:rsid w:val="0099133C"/>
    <w:rsid w:val="00997AAD"/>
    <w:rsid w:val="009A591F"/>
    <w:rsid w:val="009B13ED"/>
    <w:rsid w:val="009B590E"/>
    <w:rsid w:val="009C0C04"/>
    <w:rsid w:val="009D0249"/>
    <w:rsid w:val="009E2791"/>
    <w:rsid w:val="009E3F6F"/>
    <w:rsid w:val="009E5F9F"/>
    <w:rsid w:val="009F2A14"/>
    <w:rsid w:val="009F499F"/>
    <w:rsid w:val="009F7B95"/>
    <w:rsid w:val="00A21684"/>
    <w:rsid w:val="00A25430"/>
    <w:rsid w:val="00A353ED"/>
    <w:rsid w:val="00A3669C"/>
    <w:rsid w:val="00A42DAF"/>
    <w:rsid w:val="00A45BD8"/>
    <w:rsid w:val="00A869B7"/>
    <w:rsid w:val="00AA1EEF"/>
    <w:rsid w:val="00AC1FD1"/>
    <w:rsid w:val="00AC205C"/>
    <w:rsid w:val="00AD38EE"/>
    <w:rsid w:val="00AF0A6B"/>
    <w:rsid w:val="00AF5108"/>
    <w:rsid w:val="00B05A69"/>
    <w:rsid w:val="00B21387"/>
    <w:rsid w:val="00B2247B"/>
    <w:rsid w:val="00B2488A"/>
    <w:rsid w:val="00B36ABA"/>
    <w:rsid w:val="00B46B7E"/>
    <w:rsid w:val="00B46D7E"/>
    <w:rsid w:val="00B54D7D"/>
    <w:rsid w:val="00B83157"/>
    <w:rsid w:val="00B83FD6"/>
    <w:rsid w:val="00B9734B"/>
    <w:rsid w:val="00B97A85"/>
    <w:rsid w:val="00BA59F8"/>
    <w:rsid w:val="00BA5E47"/>
    <w:rsid w:val="00BA63F6"/>
    <w:rsid w:val="00BA6DE5"/>
    <w:rsid w:val="00BB1430"/>
    <w:rsid w:val="00BB266C"/>
    <w:rsid w:val="00BB30F3"/>
    <w:rsid w:val="00BB78C7"/>
    <w:rsid w:val="00BD4190"/>
    <w:rsid w:val="00BE55D6"/>
    <w:rsid w:val="00BE5857"/>
    <w:rsid w:val="00C11BFE"/>
    <w:rsid w:val="00C1296A"/>
    <w:rsid w:val="00C21565"/>
    <w:rsid w:val="00C21EEC"/>
    <w:rsid w:val="00C32F61"/>
    <w:rsid w:val="00C45642"/>
    <w:rsid w:val="00C46049"/>
    <w:rsid w:val="00C47421"/>
    <w:rsid w:val="00C53171"/>
    <w:rsid w:val="00C556FE"/>
    <w:rsid w:val="00C66F71"/>
    <w:rsid w:val="00C72A44"/>
    <w:rsid w:val="00C75303"/>
    <w:rsid w:val="00C977DB"/>
    <w:rsid w:val="00CB132F"/>
    <w:rsid w:val="00CB6962"/>
    <w:rsid w:val="00CC5016"/>
    <w:rsid w:val="00CE0A51"/>
    <w:rsid w:val="00CE0F4D"/>
    <w:rsid w:val="00CE6390"/>
    <w:rsid w:val="00CE763A"/>
    <w:rsid w:val="00CF4536"/>
    <w:rsid w:val="00D22BD4"/>
    <w:rsid w:val="00D2344D"/>
    <w:rsid w:val="00D30CC7"/>
    <w:rsid w:val="00D31C2F"/>
    <w:rsid w:val="00D40A98"/>
    <w:rsid w:val="00D424EC"/>
    <w:rsid w:val="00D45252"/>
    <w:rsid w:val="00D5076E"/>
    <w:rsid w:val="00D57F87"/>
    <w:rsid w:val="00D57F90"/>
    <w:rsid w:val="00D71B4D"/>
    <w:rsid w:val="00D76F38"/>
    <w:rsid w:val="00D90EE5"/>
    <w:rsid w:val="00D93D55"/>
    <w:rsid w:val="00DB42CB"/>
    <w:rsid w:val="00DC3E50"/>
    <w:rsid w:val="00E102D6"/>
    <w:rsid w:val="00E335FE"/>
    <w:rsid w:val="00E42572"/>
    <w:rsid w:val="00E42B9A"/>
    <w:rsid w:val="00E532DC"/>
    <w:rsid w:val="00E66C2C"/>
    <w:rsid w:val="00E9722E"/>
    <w:rsid w:val="00EA46DD"/>
    <w:rsid w:val="00EC23FC"/>
    <w:rsid w:val="00EC4E49"/>
    <w:rsid w:val="00ED4C4F"/>
    <w:rsid w:val="00ED77FB"/>
    <w:rsid w:val="00EE45FA"/>
    <w:rsid w:val="00EE5748"/>
    <w:rsid w:val="00EF0146"/>
    <w:rsid w:val="00F0720F"/>
    <w:rsid w:val="00F17F84"/>
    <w:rsid w:val="00F201C4"/>
    <w:rsid w:val="00F55FB2"/>
    <w:rsid w:val="00F561E7"/>
    <w:rsid w:val="00F66152"/>
    <w:rsid w:val="00F734CA"/>
    <w:rsid w:val="00F76ED7"/>
    <w:rsid w:val="00F7721F"/>
    <w:rsid w:val="00F906E8"/>
    <w:rsid w:val="00F94A0D"/>
    <w:rsid w:val="00FA2C4C"/>
    <w:rsid w:val="00FC3D36"/>
    <w:rsid w:val="00FC4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table" w:styleId="TableGrid">
    <w:name w:val="Table Grid"/>
    <w:basedOn w:val="TableNormal"/>
    <w:rsid w:val="00C2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F17F84"/>
    <w:rPr>
      <w:vertAlign w:val="superscript"/>
    </w:rPr>
  </w:style>
  <w:style w:type="paragraph" w:styleId="ListParagraph">
    <w:name w:val="List Paragraph"/>
    <w:basedOn w:val="Normal"/>
    <w:uiPriority w:val="34"/>
    <w:qFormat/>
    <w:rsid w:val="001A67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table" w:styleId="TableGrid">
    <w:name w:val="Table Grid"/>
    <w:basedOn w:val="TableNormal"/>
    <w:rsid w:val="00C2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F17F84"/>
    <w:rPr>
      <w:vertAlign w:val="superscript"/>
    </w:rPr>
  </w:style>
  <w:style w:type="paragraph" w:styleId="ListParagraph">
    <w:name w:val="List Paragraph"/>
    <w:basedOn w:val="Normal"/>
    <w:uiPriority w:val="34"/>
    <w:qFormat/>
    <w:rsid w:val="001A6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459EF-5E37-4813-9033-9776D8A38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9</cp:revision>
  <cp:lastPrinted>2016-03-10T09:19:00Z</cp:lastPrinted>
  <dcterms:created xsi:type="dcterms:W3CDTF">2016-03-10T08:56:00Z</dcterms:created>
  <dcterms:modified xsi:type="dcterms:W3CDTF">2016-03-22T14:49:00Z</dcterms:modified>
</cp:coreProperties>
</file>