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D409DF" w:rsidTr="00563C83">
        <w:tc>
          <w:tcPr>
            <w:tcW w:w="4513" w:type="dxa"/>
            <w:tcBorders>
              <w:bottom w:val="single" w:sz="4" w:space="0" w:color="auto"/>
            </w:tcBorders>
            <w:shd w:val="clear" w:color="auto" w:fill="auto"/>
            <w:tcMar>
              <w:bottom w:w="170" w:type="dxa"/>
            </w:tcMar>
          </w:tcPr>
          <w:p w:rsidR="00EC4E49" w:rsidRPr="00D409DF" w:rsidRDefault="00EC4E49" w:rsidP="00CD330E"/>
        </w:tc>
        <w:tc>
          <w:tcPr>
            <w:tcW w:w="4337" w:type="dxa"/>
            <w:tcBorders>
              <w:bottom w:val="single" w:sz="4" w:space="0" w:color="auto"/>
            </w:tcBorders>
            <w:shd w:val="clear" w:color="auto" w:fill="auto"/>
            <w:tcMar>
              <w:left w:w="0" w:type="dxa"/>
              <w:right w:w="0" w:type="dxa"/>
            </w:tcMar>
          </w:tcPr>
          <w:p w:rsidR="00EC4E49" w:rsidRPr="00D409DF" w:rsidRDefault="00A1570B" w:rsidP="00CD330E">
            <w:r w:rsidRPr="00D409DF">
              <w:rPr>
                <w:noProof/>
                <w:lang w:eastAsia="en-US"/>
              </w:rPr>
              <w:drawing>
                <wp:inline distT="0" distB="0" distL="0" distR="0" wp14:anchorId="1931447F" wp14:editId="121D8DE4">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D409DF" w:rsidRDefault="00EC4E49" w:rsidP="00CD330E">
            <w:pPr>
              <w:jc w:val="right"/>
            </w:pPr>
          </w:p>
        </w:tc>
      </w:tr>
      <w:tr w:rsidR="00D409DF" w:rsidRPr="00D409DF"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D409DF" w:rsidRDefault="008B2CC1" w:rsidP="00CD330E">
            <w:pPr>
              <w:jc w:val="right"/>
              <w:rPr>
                <w:rFonts w:ascii="Arial Black" w:hAnsi="Arial Black"/>
                <w:caps/>
                <w:sz w:val="15"/>
              </w:rPr>
            </w:pPr>
            <w:bookmarkStart w:id="0" w:name="Original"/>
            <w:bookmarkEnd w:id="0"/>
          </w:p>
        </w:tc>
      </w:tr>
      <w:tr w:rsidR="00D409DF" w:rsidRPr="00D409DF" w:rsidTr="00B27CB2">
        <w:trPr>
          <w:trHeight w:hRule="exact" w:val="198"/>
        </w:trPr>
        <w:tc>
          <w:tcPr>
            <w:tcW w:w="9356" w:type="dxa"/>
            <w:gridSpan w:val="3"/>
            <w:shd w:val="clear" w:color="auto" w:fill="auto"/>
            <w:tcMar>
              <w:left w:w="0" w:type="dxa"/>
              <w:right w:w="0" w:type="dxa"/>
            </w:tcMar>
          </w:tcPr>
          <w:p w:rsidR="008B23F7" w:rsidRPr="00D409DF" w:rsidRDefault="008B23F7" w:rsidP="001C2C13">
            <w:pPr>
              <w:jc w:val="right"/>
            </w:pPr>
            <w:r w:rsidRPr="00D409DF">
              <w:rPr>
                <w:rFonts w:ascii="Arial Black" w:hAnsi="Arial Black"/>
                <w:caps/>
                <w:sz w:val="15"/>
              </w:rPr>
              <w:t xml:space="preserve">INFORMATION NOTICE NO. </w:t>
            </w:r>
            <w:r w:rsidR="00B04722">
              <w:rPr>
                <w:rFonts w:ascii="Arial Black" w:hAnsi="Arial Black"/>
                <w:caps/>
                <w:sz w:val="15"/>
              </w:rPr>
              <w:t>17</w:t>
            </w:r>
            <w:r w:rsidRPr="00D409DF">
              <w:rPr>
                <w:rFonts w:ascii="Arial Black" w:hAnsi="Arial Black"/>
                <w:caps/>
                <w:sz w:val="15"/>
              </w:rPr>
              <w:t>/2014</w:t>
            </w:r>
          </w:p>
        </w:tc>
      </w:tr>
    </w:tbl>
    <w:p w:rsidR="008B2CC1" w:rsidRPr="00D409DF" w:rsidRDefault="008B2CC1" w:rsidP="00CD330E"/>
    <w:p w:rsidR="008B2CC1" w:rsidRPr="00D409DF" w:rsidRDefault="008B2CC1" w:rsidP="00CD330E"/>
    <w:p w:rsidR="008B2CC1" w:rsidRPr="00D409DF" w:rsidRDefault="008B2CC1" w:rsidP="00CD330E"/>
    <w:p w:rsidR="00CC5016" w:rsidRPr="00D409DF" w:rsidRDefault="00CC5016" w:rsidP="00CD330E"/>
    <w:p w:rsidR="00CC5016" w:rsidRPr="00D409DF" w:rsidRDefault="00CC5016" w:rsidP="00CD330E"/>
    <w:p w:rsidR="00CC5016" w:rsidRPr="00D409DF" w:rsidRDefault="0007206B" w:rsidP="00CD330E">
      <w:pPr>
        <w:autoSpaceDE w:val="0"/>
        <w:autoSpaceDN w:val="0"/>
        <w:adjustRightInd w:val="0"/>
        <w:rPr>
          <w:b/>
          <w:bCs/>
          <w:sz w:val="28"/>
          <w:szCs w:val="28"/>
        </w:rPr>
      </w:pPr>
      <w:r>
        <w:rPr>
          <w:b/>
          <w:bCs/>
          <w:sz w:val="28"/>
          <w:szCs w:val="28"/>
        </w:rPr>
        <w:t xml:space="preserve">Madrid </w:t>
      </w:r>
      <w:r w:rsidR="00CC5016" w:rsidRPr="00D409DF">
        <w:rPr>
          <w:b/>
          <w:bCs/>
          <w:sz w:val="28"/>
          <w:szCs w:val="28"/>
        </w:rPr>
        <w:t>Protocol Concerning the International Registration of Marks</w:t>
      </w: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CC5016" w:rsidRPr="00D409DF" w:rsidRDefault="00CC5016" w:rsidP="00CD330E">
      <w:pPr>
        <w:autoSpaceDE w:val="0"/>
        <w:autoSpaceDN w:val="0"/>
        <w:adjustRightInd w:val="0"/>
        <w:rPr>
          <w:bCs/>
          <w:szCs w:val="22"/>
        </w:rPr>
      </w:pPr>
    </w:p>
    <w:p w:rsidR="00B5093B" w:rsidRPr="0062346F" w:rsidRDefault="00B5093B" w:rsidP="00B5093B">
      <w:pPr>
        <w:autoSpaceDE w:val="0"/>
        <w:autoSpaceDN w:val="0"/>
        <w:adjustRightInd w:val="0"/>
        <w:rPr>
          <w:b/>
          <w:bCs/>
          <w:sz w:val="24"/>
          <w:szCs w:val="24"/>
        </w:rPr>
      </w:pPr>
      <w:r w:rsidRPr="0062346F">
        <w:rPr>
          <w:b/>
          <w:bCs/>
          <w:sz w:val="24"/>
          <w:szCs w:val="24"/>
        </w:rPr>
        <w:t>Change in examination of international registration</w:t>
      </w:r>
      <w:r>
        <w:rPr>
          <w:b/>
          <w:bCs/>
          <w:sz w:val="24"/>
          <w:szCs w:val="24"/>
        </w:rPr>
        <w:t>s</w:t>
      </w:r>
      <w:r w:rsidRPr="0062346F">
        <w:rPr>
          <w:b/>
          <w:bCs/>
          <w:sz w:val="24"/>
          <w:szCs w:val="24"/>
        </w:rPr>
        <w:t xml:space="preserve"> designating the European Union</w:t>
      </w:r>
    </w:p>
    <w:p w:rsidR="000E73ED" w:rsidRPr="00D409DF" w:rsidRDefault="000E73ED" w:rsidP="00CD330E">
      <w:bookmarkStart w:id="1" w:name="_GoBack"/>
      <w:bookmarkEnd w:id="1"/>
    </w:p>
    <w:p w:rsidR="00C06B49" w:rsidRPr="00C06B49" w:rsidRDefault="00C06B49" w:rsidP="00C06B49"/>
    <w:p w:rsidR="00B5093B" w:rsidRDefault="00B5093B" w:rsidP="00B5093B">
      <w:pPr>
        <w:numPr>
          <w:ilvl w:val="0"/>
          <w:numId w:val="5"/>
        </w:numPr>
      </w:pPr>
      <w:r w:rsidRPr="00B5093B">
        <w:t>The International Bureau of the World Intellectual Property Organization (WIPO) would like to bring to the attention of applicants, holders, Offices of the Contracting Parties and users of the Madrid System at large, that, as from October</w:t>
      </w:r>
      <w:r>
        <w:t> </w:t>
      </w:r>
      <w:r w:rsidRPr="00B5093B">
        <w:t>1,</w:t>
      </w:r>
      <w:r>
        <w:t> </w:t>
      </w:r>
      <w:r w:rsidRPr="00B5093B">
        <w:t>2014, the Office for Harmonization in the Internal Market (Trade Marks and Designs) (OHIM) examin</w:t>
      </w:r>
      <w:r w:rsidR="00420BD0">
        <w:t>es</w:t>
      </w:r>
      <w:r w:rsidRPr="00B5093B">
        <w:t xml:space="preserve"> the indication of goods and services as listed in international registrations where the European Union has been designated (either in an international application or subsequent designation), for vague terms.</w:t>
      </w:r>
      <w:r>
        <w:t xml:space="preserve">  </w:t>
      </w:r>
    </w:p>
    <w:p w:rsidR="00B5093B" w:rsidRPr="00B5093B" w:rsidRDefault="00B5093B" w:rsidP="00B5093B"/>
    <w:p w:rsidR="00B5093B" w:rsidRDefault="00B5093B" w:rsidP="008804B5">
      <w:pPr>
        <w:pStyle w:val="ONUME"/>
        <w:spacing w:after="0"/>
      </w:pPr>
      <w:r w:rsidRPr="00B5093B">
        <w:t>This chan</w:t>
      </w:r>
      <w:r w:rsidR="007C1F92">
        <w:t>ge brings the OHIM practice in</w:t>
      </w:r>
      <w:r w:rsidRPr="00B5093B">
        <w:t xml:space="preserve"> line with that of the European Union national and regional I</w:t>
      </w:r>
      <w:r>
        <w:t xml:space="preserve">ntellectual </w:t>
      </w:r>
      <w:r w:rsidRPr="00B5093B">
        <w:t>P</w:t>
      </w:r>
      <w:r>
        <w:t>roperty</w:t>
      </w:r>
      <w:r w:rsidRPr="00B5093B">
        <w:t xml:space="preserve"> Offices, as previously outlined in the Common Communicatio</w:t>
      </w:r>
      <w:r w:rsidR="00931BB2">
        <w:t xml:space="preserve">n </w:t>
      </w:r>
      <w:r w:rsidR="008D147D" w:rsidRPr="008D147D">
        <w:t xml:space="preserve">on the </w:t>
      </w:r>
      <w:r w:rsidR="00123B4E" w:rsidRPr="00123B4E">
        <w:t xml:space="preserve">implementation of “IP Translator” </w:t>
      </w:r>
      <w:r w:rsidRPr="00B5093B">
        <w:t>dated February</w:t>
      </w:r>
      <w:r>
        <w:t> </w:t>
      </w:r>
      <w:r w:rsidRPr="00B5093B">
        <w:t>20,</w:t>
      </w:r>
      <w:r>
        <w:t> </w:t>
      </w:r>
      <w:r w:rsidRPr="00B5093B">
        <w:t xml:space="preserve">2014 (available on the OHIM website, at the following address: </w:t>
      </w:r>
      <w:r>
        <w:t xml:space="preserve"> </w:t>
      </w:r>
      <w:r w:rsidR="006327F2" w:rsidRPr="006327F2">
        <w:t>https://oami.europa.eu/tunnel-web/secure/webdav/guest/document_library/contentPdfs/about_ohim/who_we_are/common_communication/common_communication1_en.pdf</w:t>
      </w:r>
      <w:r w:rsidRPr="00B5093B">
        <w:t>).</w:t>
      </w:r>
      <w:r>
        <w:t xml:space="preserve">  </w:t>
      </w:r>
    </w:p>
    <w:p w:rsidR="00B5093B" w:rsidRPr="00B5093B" w:rsidRDefault="00B5093B" w:rsidP="00B5093B"/>
    <w:p w:rsidR="00B5093B" w:rsidRDefault="00B5093B" w:rsidP="00B5093B">
      <w:pPr>
        <w:numPr>
          <w:ilvl w:val="0"/>
          <w:numId w:val="5"/>
        </w:numPr>
      </w:pPr>
      <w:r w:rsidRPr="00B5093B">
        <w:t>The change in practice affect</w:t>
      </w:r>
      <w:r w:rsidR="00420BD0">
        <w:t>s</w:t>
      </w:r>
      <w:r w:rsidRPr="00B5093B">
        <w:t xml:space="preserve"> all international registrations</w:t>
      </w:r>
      <w:r w:rsidR="008C7057">
        <w:t>,</w:t>
      </w:r>
      <w:r w:rsidRPr="00B5093B">
        <w:t xml:space="preserve"> where the European Union has been designated (either in an international application or subsequent designation)</w:t>
      </w:r>
      <w:r w:rsidR="008C7057">
        <w:t>,</w:t>
      </w:r>
      <w:r w:rsidRPr="00B5093B">
        <w:t xml:space="preserve"> notified by </w:t>
      </w:r>
      <w:r>
        <w:t>the International Bureau</w:t>
      </w:r>
      <w:r w:rsidR="008C7057">
        <w:t xml:space="preserve"> of</w:t>
      </w:r>
      <w:r>
        <w:t xml:space="preserve"> </w:t>
      </w:r>
      <w:r w:rsidRPr="00B5093B">
        <w:t>WIPO to OHIM on or after October</w:t>
      </w:r>
      <w:r>
        <w:t> </w:t>
      </w:r>
      <w:r w:rsidRPr="00B5093B">
        <w:t>1,</w:t>
      </w:r>
      <w:r>
        <w:t> </w:t>
      </w:r>
      <w:r w:rsidRPr="00B5093B">
        <w:t>2014.</w:t>
      </w:r>
      <w:r>
        <w:t xml:space="preserve">  </w:t>
      </w:r>
    </w:p>
    <w:p w:rsidR="00B5093B" w:rsidRPr="00B5093B" w:rsidRDefault="00B5093B" w:rsidP="00B5093B"/>
    <w:p w:rsidR="00B5093B" w:rsidRPr="00B5093B" w:rsidRDefault="00B5093B" w:rsidP="00B5093B">
      <w:pPr>
        <w:numPr>
          <w:ilvl w:val="0"/>
          <w:numId w:val="5"/>
        </w:numPr>
      </w:pPr>
      <w:r w:rsidRPr="00B5093B">
        <w:t>As a result, if a term, used in a list of goods and services covered by an</w:t>
      </w:r>
      <w:r w:rsidRPr="00B5093B">
        <w:rPr>
          <w:b/>
          <w:bCs/>
        </w:rPr>
        <w:t xml:space="preserve"> </w:t>
      </w:r>
      <w:r w:rsidRPr="00B5093B">
        <w:rPr>
          <w:bCs/>
        </w:rPr>
        <w:t>international registration where the European Union</w:t>
      </w:r>
      <w:r w:rsidRPr="00B5093B">
        <w:t xml:space="preserve"> </w:t>
      </w:r>
      <w:r w:rsidRPr="00B5093B">
        <w:rPr>
          <w:bCs/>
        </w:rPr>
        <w:t>has been designated (either in an international application or subsequent designation),</w:t>
      </w:r>
      <w:r w:rsidRPr="00B5093B">
        <w:t xml:space="preserve"> is considered by OHIM as being too broad or too vague, and lacking clarity and precision, </w:t>
      </w:r>
      <w:r w:rsidRPr="00B5093B">
        <w:rPr>
          <w:bCs/>
        </w:rPr>
        <w:t>OHIM may issue a notification of provisional refusal with respect to the said registration.</w:t>
      </w:r>
      <w:r>
        <w:rPr>
          <w:bCs/>
        </w:rPr>
        <w:t xml:space="preserve">  </w:t>
      </w:r>
    </w:p>
    <w:p w:rsidR="00B5093B" w:rsidRPr="00B5093B" w:rsidRDefault="00B5093B" w:rsidP="00B5093B"/>
    <w:p w:rsidR="00B5093B" w:rsidRDefault="00B5093B" w:rsidP="00B5093B">
      <w:pPr>
        <w:numPr>
          <w:ilvl w:val="0"/>
          <w:numId w:val="5"/>
        </w:numPr>
      </w:pPr>
      <w:r w:rsidRPr="00B5093B">
        <w:t>A list of 11</w:t>
      </w:r>
      <w:r>
        <w:t> </w:t>
      </w:r>
      <w:r w:rsidRPr="00B5093B">
        <w:t xml:space="preserve">terms </w:t>
      </w:r>
      <w:r>
        <w:t xml:space="preserve">considered by </w:t>
      </w:r>
      <w:r w:rsidRPr="00B5093B">
        <w:t>OHIM as being too broad or too vague, and lacking clarity and precision, is reproduced in the Annex hereafter.</w:t>
      </w:r>
      <w:r>
        <w:t xml:space="preserve">  </w:t>
      </w:r>
    </w:p>
    <w:p w:rsidR="00B5093B" w:rsidRPr="00B5093B" w:rsidRDefault="00B5093B" w:rsidP="00B5093B"/>
    <w:p w:rsidR="00B5093B" w:rsidRPr="00B32F50" w:rsidRDefault="00B32F50" w:rsidP="00B5093B">
      <w:pPr>
        <w:numPr>
          <w:ilvl w:val="0"/>
          <w:numId w:val="5"/>
        </w:numPr>
      </w:pPr>
      <w:r>
        <w:br w:type="page"/>
      </w:r>
      <w:r w:rsidR="00B5093B" w:rsidRPr="00B5093B">
        <w:lastRenderedPageBreak/>
        <w:t xml:space="preserve">For further information on </w:t>
      </w:r>
      <w:r w:rsidR="00B5093B" w:rsidRPr="00B32F50">
        <w:rPr>
          <w:lang w:val="en"/>
        </w:rPr>
        <w:t>this change in practice, please contact directly OHIM (http://www.wipo.int/madrid/en/members/profiles/em.html)</w:t>
      </w:r>
      <w:r w:rsidR="00B5093B" w:rsidRPr="00B5093B">
        <w:t xml:space="preserve"> </w:t>
      </w:r>
      <w:r w:rsidR="00B5093B" w:rsidRPr="00B32F50">
        <w:rPr>
          <w:lang w:val="en"/>
        </w:rPr>
        <w:t>or consult the Guidelines for Examination in OHIM o</w:t>
      </w:r>
      <w:r w:rsidR="00D025AA">
        <w:rPr>
          <w:lang w:val="en"/>
        </w:rPr>
        <w:t>n Community Trade Marks</w:t>
      </w:r>
      <w:r w:rsidR="0007174D">
        <w:rPr>
          <w:lang w:val="en"/>
        </w:rPr>
        <w:t>, Part M, International Marks</w:t>
      </w:r>
      <w:r w:rsidR="006B3A5B">
        <w:rPr>
          <w:lang w:val="en"/>
        </w:rPr>
        <w:t>,</w:t>
      </w:r>
      <w:r w:rsidR="00D025AA">
        <w:rPr>
          <w:lang w:val="en"/>
        </w:rPr>
        <w:t xml:space="preserve"> which are</w:t>
      </w:r>
      <w:r w:rsidR="00B5093B" w:rsidRPr="00B32F50">
        <w:rPr>
          <w:lang w:val="en"/>
        </w:rPr>
        <w:t xml:space="preserve"> </w:t>
      </w:r>
      <w:r w:rsidR="00B5093B" w:rsidRPr="00B5093B">
        <w:t xml:space="preserve">available on the OHIM website, at </w:t>
      </w:r>
      <w:r w:rsidR="00B5093B" w:rsidRPr="00B32F50">
        <w:t xml:space="preserve">the following address:  https://oami.europa.eu/tunnel-web/secure/webdav/guest/document_library/contentPdfs/law_and_practice/trade_marks_practice_manual/wp_2_2014/21_part_m_international_marks_fast_track_en.pdf.  </w:t>
      </w:r>
    </w:p>
    <w:p w:rsidR="001C2C13" w:rsidRPr="00B32F50" w:rsidRDefault="001C2C13" w:rsidP="001C2C13"/>
    <w:p w:rsidR="001C2C13" w:rsidRPr="001C2C13" w:rsidRDefault="001C2C13" w:rsidP="001C2C13"/>
    <w:p w:rsidR="00CE326E" w:rsidRPr="00D409DF" w:rsidRDefault="00CE326E" w:rsidP="00CE326E"/>
    <w:p w:rsidR="00CE326E" w:rsidRPr="00D409DF" w:rsidRDefault="007A7EA9" w:rsidP="00CE326E">
      <w:pPr>
        <w:pStyle w:val="Endofdocument-Annex"/>
      </w:pPr>
      <w:r>
        <w:t>Novem</w:t>
      </w:r>
      <w:r w:rsidR="00420BD0">
        <w:t>ber</w:t>
      </w:r>
      <w:r w:rsidR="007D5747">
        <w:t xml:space="preserve"> 6</w:t>
      </w:r>
      <w:r w:rsidR="00CE326E" w:rsidRPr="00D409DF">
        <w:t>, 2014</w:t>
      </w:r>
    </w:p>
    <w:p w:rsidR="00CE326E" w:rsidRDefault="00CE326E" w:rsidP="001C2C13">
      <w:pPr>
        <w:sectPr w:rsidR="00CE326E" w:rsidSect="000C03DD">
          <w:headerReference w:type="default" r:id="rId10"/>
          <w:endnotePr>
            <w:numFmt w:val="decimal"/>
          </w:endnotePr>
          <w:pgSz w:w="11907" w:h="16840" w:code="9"/>
          <w:pgMar w:top="567" w:right="1134" w:bottom="709" w:left="1418" w:header="510" w:footer="1021" w:gutter="0"/>
          <w:cols w:space="720"/>
          <w:titlePg/>
        </w:sectPr>
      </w:pPr>
    </w:p>
    <w:p w:rsidR="00B32F50" w:rsidRDefault="00B32F50" w:rsidP="00B32F50">
      <w:pPr>
        <w:pStyle w:val="Heading1"/>
        <w:rPr>
          <w:szCs w:val="22"/>
        </w:rPr>
      </w:pPr>
      <w:r w:rsidRPr="00B32F50">
        <w:lastRenderedPageBreak/>
        <w:t>The 11 terms considered by OHIM as being too broad or too vague, and lacking clarity and precision</w:t>
      </w:r>
      <w:r w:rsidRPr="00B32F50">
        <w:rPr>
          <w:szCs w:val="22"/>
          <w:vertAlign w:val="superscript"/>
        </w:rPr>
        <w:footnoteReference w:id="2"/>
      </w:r>
    </w:p>
    <w:p w:rsidR="00B32F50" w:rsidRPr="00B32F50" w:rsidRDefault="00B32F50" w:rsidP="00B32F50"/>
    <w:p w:rsidR="00B32F50" w:rsidRDefault="00B32F50" w:rsidP="00B32F50">
      <w:pPr>
        <w:spacing w:after="220"/>
        <w:rPr>
          <w:rFonts w:eastAsia="Times New Roman"/>
          <w:szCs w:val="22"/>
        </w:rPr>
      </w:pPr>
      <w:proofErr w:type="gramStart"/>
      <w:r>
        <w:rPr>
          <w:szCs w:val="22"/>
        </w:rPr>
        <w:t>A</w:t>
      </w:r>
      <w:r w:rsidRPr="00B32F50">
        <w:rPr>
          <w:szCs w:val="22"/>
        </w:rPr>
        <w:t xml:space="preserve">ccording to the information available on the </w:t>
      </w:r>
      <w:r w:rsidRPr="00B32F50">
        <w:rPr>
          <w:rFonts w:eastAsia="Times New Roman"/>
          <w:szCs w:val="22"/>
        </w:rPr>
        <w:t>OHIM website, at the following address</w:t>
      </w:r>
      <w:r>
        <w:rPr>
          <w:rFonts w:eastAsia="Times New Roman"/>
          <w:szCs w:val="22"/>
        </w:rPr>
        <w:t>:</w:t>
      </w:r>
      <w:r w:rsidRPr="00B32F50">
        <w:rPr>
          <w:rFonts w:eastAsia="Times New Roman"/>
          <w:szCs w:val="22"/>
        </w:rPr>
        <w:t xml:space="preserve"> </w:t>
      </w:r>
      <w:r>
        <w:rPr>
          <w:rFonts w:eastAsia="Times New Roman"/>
          <w:szCs w:val="22"/>
        </w:rPr>
        <w:t xml:space="preserve"> </w:t>
      </w:r>
      <w:r w:rsidRPr="00B32F50">
        <w:rPr>
          <w:rFonts w:eastAsia="Times New Roman"/>
          <w:szCs w:val="22"/>
        </w:rPr>
        <w:t>https://oami.europa.eu/tunnel-web/secure/webdav/guest/document_library/contentPdfs/about_ohim/who_we_are/common_communication/common_communication3_en.pdf</w:t>
      </w:r>
      <w:r>
        <w:rPr>
          <w:rFonts w:eastAsia="Times New Roman"/>
          <w:szCs w:val="22"/>
        </w:rPr>
        <w:t>.</w:t>
      </w:r>
      <w:proofErr w:type="gramEnd"/>
      <w:r>
        <w:rPr>
          <w:rFonts w:eastAsia="Times New Roman"/>
          <w:szCs w:val="22"/>
        </w:rPr>
        <w:t xml:space="preserve">  </w:t>
      </w:r>
    </w:p>
    <w:p w:rsidR="00B32F50" w:rsidRDefault="00B32F50" w:rsidP="00B32F50">
      <w:pPr>
        <w:spacing w:after="220"/>
        <w:rPr>
          <w:rFonts w:eastAsia="Times New Roman"/>
          <w:szCs w:val="22"/>
        </w:rPr>
      </w:pPr>
    </w:p>
    <w:tbl>
      <w:tblPr>
        <w:tblStyle w:val="TableGrid"/>
        <w:tblW w:w="0" w:type="auto"/>
        <w:tblLook w:val="04A0" w:firstRow="1" w:lastRow="0" w:firstColumn="1" w:lastColumn="0" w:noHBand="0" w:noVBand="1"/>
      </w:tblPr>
      <w:tblGrid>
        <w:gridCol w:w="4785"/>
        <w:gridCol w:w="4786"/>
      </w:tblGrid>
      <w:tr w:rsidR="00B32F50" w:rsidRPr="00B32F50" w:rsidTr="00D32696">
        <w:tc>
          <w:tcPr>
            <w:tcW w:w="4785" w:type="dxa"/>
          </w:tcPr>
          <w:p w:rsidR="00B32F50" w:rsidRPr="00B32F50" w:rsidRDefault="00B32F50" w:rsidP="00B32F50">
            <w:pPr>
              <w:pStyle w:val="Heading2"/>
            </w:pPr>
            <w:r w:rsidRPr="00B32F50">
              <w:t xml:space="preserve">Term too broad or too vague, and lacking clarity and precision </w:t>
            </w:r>
          </w:p>
        </w:tc>
        <w:tc>
          <w:tcPr>
            <w:tcW w:w="4786" w:type="dxa"/>
          </w:tcPr>
          <w:p w:rsidR="00B32F50" w:rsidRDefault="00B32F50" w:rsidP="00B32F50">
            <w:pPr>
              <w:pStyle w:val="Heading2"/>
            </w:pPr>
            <w:r w:rsidRPr="00B32F50">
              <w:t xml:space="preserve">Proposals / possible solutions: </w:t>
            </w:r>
            <w:r>
              <w:t xml:space="preserve"> </w:t>
            </w:r>
            <w:r w:rsidR="00A937C9">
              <w:t>(examples from harmoniZ</w:t>
            </w:r>
            <w:r w:rsidRPr="00B32F50">
              <w:t>ed database)</w:t>
            </w:r>
          </w:p>
          <w:p w:rsidR="00C63D3C" w:rsidRPr="00C63D3C" w:rsidRDefault="00C63D3C" w:rsidP="00C63D3C"/>
        </w:tc>
      </w:tr>
      <w:tr w:rsidR="002A1453" w:rsidRPr="00B32F50" w:rsidTr="00D32696">
        <w:tc>
          <w:tcPr>
            <w:tcW w:w="4785" w:type="dxa"/>
            <w:vMerge w:val="restart"/>
          </w:tcPr>
          <w:p w:rsidR="002A1453" w:rsidRDefault="002A1453" w:rsidP="00B32F50"/>
          <w:p w:rsidR="002A1453" w:rsidRPr="00B32F50" w:rsidRDefault="002A1453" w:rsidP="00B32F50">
            <w:r w:rsidRPr="00B32F50">
              <w:t xml:space="preserve">Goods of common metal not included in other classes (class 6) </w:t>
            </w:r>
          </w:p>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 xml:space="preserve">Construction elements of metal (class 6) </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Building materials of metal (class 6)</w:t>
            </w:r>
          </w:p>
          <w:p w:rsidR="002A1453" w:rsidRPr="00B32F50" w:rsidRDefault="002A1453" w:rsidP="00B32F50"/>
        </w:tc>
      </w:tr>
      <w:tr w:rsidR="002A1453" w:rsidRPr="00B32F50" w:rsidTr="00D32696">
        <w:tc>
          <w:tcPr>
            <w:tcW w:w="4785" w:type="dxa"/>
            <w:vMerge w:val="restart"/>
          </w:tcPr>
          <w:p w:rsidR="002A1453" w:rsidRPr="00B32F50" w:rsidRDefault="002A1453" w:rsidP="00B32F50"/>
          <w:p w:rsidR="002A1453" w:rsidRPr="00B32F50" w:rsidRDefault="002A1453" w:rsidP="00B32F50">
            <w:r w:rsidRPr="00B32F50">
              <w:t>Machines (class 7)</w:t>
            </w:r>
          </w:p>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Agricultural machines (class 7)</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Machines for processing plastics (class 7)</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Milking machines (class 7)</w:t>
            </w:r>
          </w:p>
          <w:p w:rsidR="002A1453" w:rsidRPr="00B32F50" w:rsidRDefault="002A1453" w:rsidP="00B32F50"/>
        </w:tc>
      </w:tr>
      <w:tr w:rsidR="00B32F50" w:rsidRPr="00B32F50" w:rsidTr="00D32696">
        <w:tc>
          <w:tcPr>
            <w:tcW w:w="4785" w:type="dxa"/>
          </w:tcPr>
          <w:p w:rsidR="00B32F50" w:rsidRPr="00B32F50" w:rsidRDefault="00B32F50" w:rsidP="00B32F50"/>
          <w:p w:rsidR="00B32F50" w:rsidRPr="00B32F50" w:rsidRDefault="00B32F50" w:rsidP="00B32F50">
            <w:r w:rsidRPr="00B32F50">
              <w:t>Goods in precious metals or coated therewith (class 14)</w:t>
            </w:r>
          </w:p>
          <w:p w:rsidR="00B32F50" w:rsidRPr="00B32F50" w:rsidRDefault="00B32F50" w:rsidP="00B32F50"/>
        </w:tc>
        <w:tc>
          <w:tcPr>
            <w:tcW w:w="4786" w:type="dxa"/>
          </w:tcPr>
          <w:p w:rsidR="00B32F50" w:rsidRPr="00B32F50" w:rsidRDefault="00B32F50" w:rsidP="00B32F50"/>
          <w:p w:rsidR="00B32F50" w:rsidRPr="00B32F50" w:rsidRDefault="00B32F50" w:rsidP="00B32F50">
            <w:r w:rsidRPr="00B32F50">
              <w:t>Works of art of precious metal (class 14)</w:t>
            </w:r>
          </w:p>
          <w:p w:rsidR="00B32F50" w:rsidRPr="00B32F50" w:rsidRDefault="00B32F50" w:rsidP="00B32F50"/>
        </w:tc>
      </w:tr>
      <w:tr w:rsidR="00B32F50" w:rsidRPr="00B32F50" w:rsidTr="00D32696">
        <w:tc>
          <w:tcPr>
            <w:tcW w:w="4785" w:type="dxa"/>
          </w:tcPr>
          <w:p w:rsidR="00B32F50" w:rsidRPr="00B32F50" w:rsidRDefault="00B32F50" w:rsidP="00B32F50"/>
          <w:p w:rsidR="00B32F50" w:rsidRPr="00B32F50" w:rsidRDefault="00B32F50" w:rsidP="00B32F50">
            <w:r w:rsidRPr="00B32F50">
              <w:t>Goods made from paper and cardboard (cl</w:t>
            </w:r>
            <w:r w:rsidR="002A1453">
              <w:t>ass </w:t>
            </w:r>
            <w:r w:rsidRPr="00B32F50">
              <w:t>16)</w:t>
            </w:r>
          </w:p>
          <w:p w:rsidR="00B32F50" w:rsidRPr="00B32F50" w:rsidRDefault="00B32F50" w:rsidP="00B32F50"/>
        </w:tc>
        <w:tc>
          <w:tcPr>
            <w:tcW w:w="4786" w:type="dxa"/>
          </w:tcPr>
          <w:p w:rsidR="00B32F50" w:rsidRPr="00B32F50" w:rsidRDefault="00B32F50" w:rsidP="00B32F50"/>
          <w:p w:rsidR="00B32F50" w:rsidRPr="00B32F50" w:rsidRDefault="00B32F50" w:rsidP="002A1453">
            <w:r w:rsidRPr="00B32F50">
              <w:t>Filtering materials of paper (cl</w:t>
            </w:r>
            <w:r w:rsidR="002A1453">
              <w:t>ass </w:t>
            </w:r>
            <w:r w:rsidRPr="00B32F50">
              <w:t>16)</w:t>
            </w:r>
          </w:p>
        </w:tc>
      </w:tr>
      <w:tr w:rsidR="00B32F50" w:rsidRPr="00B32F50" w:rsidTr="00D32696">
        <w:tc>
          <w:tcPr>
            <w:tcW w:w="4785" w:type="dxa"/>
          </w:tcPr>
          <w:p w:rsidR="00B32F50" w:rsidRPr="00B32F50" w:rsidRDefault="00B32F50" w:rsidP="00B32F50"/>
          <w:p w:rsidR="00B32F50" w:rsidRPr="00B32F50" w:rsidRDefault="00B32F50" w:rsidP="00B32F50">
            <w:r w:rsidRPr="00B32F50">
              <w:t>Goods made from rubber, gutta-percha, gum, asbestos and mica (class 17)</w:t>
            </w:r>
          </w:p>
          <w:p w:rsidR="00B32F50" w:rsidRPr="00B32F50" w:rsidRDefault="00B32F50" w:rsidP="00B32F50"/>
        </w:tc>
        <w:tc>
          <w:tcPr>
            <w:tcW w:w="4786" w:type="dxa"/>
          </w:tcPr>
          <w:p w:rsidR="00B32F50" w:rsidRPr="00B32F50" w:rsidRDefault="00B32F50" w:rsidP="00B32F50"/>
          <w:p w:rsidR="00B32F50" w:rsidRPr="00B32F50" w:rsidRDefault="00B32F50" w:rsidP="00B32F50">
            <w:r w:rsidRPr="00B32F50">
              <w:t>Rings of rubber (class 17)</w:t>
            </w:r>
          </w:p>
        </w:tc>
      </w:tr>
      <w:tr w:rsidR="00B32F50" w:rsidRPr="00B32F50" w:rsidTr="00D32696">
        <w:tc>
          <w:tcPr>
            <w:tcW w:w="4785" w:type="dxa"/>
          </w:tcPr>
          <w:p w:rsidR="00B32F50" w:rsidRPr="00B32F50" w:rsidRDefault="00B32F50" w:rsidP="00B32F50"/>
          <w:p w:rsidR="00B32F50" w:rsidRPr="00B32F50" w:rsidRDefault="00B32F50" w:rsidP="00B32F50">
            <w:r w:rsidRPr="00B32F50">
              <w:t>Goods made of these materials [leather and imitations of leather] (class 18)</w:t>
            </w:r>
          </w:p>
          <w:p w:rsidR="00B32F50" w:rsidRPr="00B32F50" w:rsidRDefault="00B32F50" w:rsidP="00B32F50"/>
        </w:tc>
        <w:tc>
          <w:tcPr>
            <w:tcW w:w="4786" w:type="dxa"/>
          </w:tcPr>
          <w:p w:rsidR="00B32F50" w:rsidRPr="00B32F50" w:rsidRDefault="00B32F50" w:rsidP="00B32F50"/>
          <w:p w:rsidR="00B32F50" w:rsidRPr="00B32F50" w:rsidRDefault="00B32F50" w:rsidP="00B32F50">
            <w:r w:rsidRPr="00B32F50">
              <w:t>Briefcases [leather goods] (class 18)</w:t>
            </w:r>
          </w:p>
        </w:tc>
      </w:tr>
      <w:tr w:rsidR="002A1453" w:rsidRPr="00B32F50" w:rsidTr="00D32696">
        <w:tc>
          <w:tcPr>
            <w:tcW w:w="4785" w:type="dxa"/>
            <w:vMerge w:val="restart"/>
          </w:tcPr>
          <w:p w:rsidR="002A1453" w:rsidRPr="00B32F50" w:rsidRDefault="002A1453" w:rsidP="00B32F50"/>
          <w:p w:rsidR="002A1453" w:rsidRPr="00B32F50" w:rsidRDefault="002A1453" w:rsidP="00B32F50">
            <w:r w:rsidRPr="00B32F50">
              <w:t>Goods (not included in other classes) of wood, cork, reed, cane, wicker, horn, bone, ivory, whalebone, shell, amber, mother-of-pearl, meerschaum and substitutes for all these materials, or of plastics (class 20)</w:t>
            </w:r>
          </w:p>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Door fittings, made of plastics (class 20)</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Figurines of wood (class 20)</w:t>
            </w:r>
          </w:p>
          <w:p w:rsidR="002A1453" w:rsidRPr="00B32F50" w:rsidRDefault="002A1453" w:rsidP="00B32F50"/>
        </w:tc>
      </w:tr>
      <w:tr w:rsidR="002A1453" w:rsidRPr="00B32F50" w:rsidTr="00D32696">
        <w:tc>
          <w:tcPr>
            <w:tcW w:w="4785" w:type="dxa"/>
            <w:vMerge w:val="restart"/>
          </w:tcPr>
          <w:p w:rsidR="002A1453" w:rsidRPr="00B32F50" w:rsidRDefault="002A1453" w:rsidP="002A1453">
            <w:pPr>
              <w:keepNext/>
            </w:pPr>
          </w:p>
          <w:p w:rsidR="002A1453" w:rsidRPr="00B32F50" w:rsidRDefault="002A1453" w:rsidP="002A1453">
            <w:pPr>
              <w:keepNext/>
            </w:pPr>
            <w:r w:rsidRPr="00B32F50">
              <w:t>Repair (class 37)</w:t>
            </w:r>
          </w:p>
          <w:p w:rsidR="002A1453" w:rsidRPr="00B32F50" w:rsidRDefault="002A1453" w:rsidP="002A1453">
            <w:pPr>
              <w:keepNext/>
            </w:pPr>
          </w:p>
        </w:tc>
        <w:tc>
          <w:tcPr>
            <w:tcW w:w="4786" w:type="dxa"/>
          </w:tcPr>
          <w:p w:rsidR="002A1453" w:rsidRPr="00B32F50" w:rsidRDefault="002A1453" w:rsidP="002A1453">
            <w:pPr>
              <w:keepNext/>
            </w:pPr>
          </w:p>
          <w:p w:rsidR="002A1453" w:rsidRPr="00B32F50" w:rsidRDefault="002A1453" w:rsidP="002A1453">
            <w:pPr>
              <w:keepNext/>
            </w:pPr>
            <w:r w:rsidRPr="00B32F50">
              <w:t>Shoe repair (class 37)</w:t>
            </w:r>
          </w:p>
          <w:p w:rsidR="002A1453" w:rsidRPr="00B32F50" w:rsidRDefault="002A1453" w:rsidP="002A1453">
            <w:pPr>
              <w:keepNext/>
            </w:pPr>
          </w:p>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Repair of computer hardware (class 37)</w:t>
            </w:r>
          </w:p>
          <w:p w:rsidR="002A1453" w:rsidRPr="00B32F50" w:rsidRDefault="002A1453" w:rsidP="00B32F50"/>
        </w:tc>
      </w:tr>
      <w:tr w:rsidR="002A1453" w:rsidRPr="00B32F50" w:rsidTr="00D32696">
        <w:tc>
          <w:tcPr>
            <w:tcW w:w="4785" w:type="dxa"/>
            <w:vMerge w:val="restart"/>
          </w:tcPr>
          <w:p w:rsidR="002A1453" w:rsidRPr="00B32F50" w:rsidRDefault="002A1453" w:rsidP="00B32F50"/>
          <w:p w:rsidR="002A1453" w:rsidRPr="00B32F50" w:rsidRDefault="002A1453" w:rsidP="00B32F50">
            <w:r w:rsidRPr="00B32F50">
              <w:t>Installation services (class 37)</w:t>
            </w:r>
          </w:p>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Installation of doors and windows (class 37)</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Installation of burglar alarms (class 37)</w:t>
            </w:r>
          </w:p>
          <w:p w:rsidR="002A1453" w:rsidRPr="00B32F50" w:rsidRDefault="002A1453" w:rsidP="00B32F50"/>
        </w:tc>
      </w:tr>
      <w:tr w:rsidR="002A1453" w:rsidRPr="00B32F50" w:rsidTr="00D32696">
        <w:tc>
          <w:tcPr>
            <w:tcW w:w="4785" w:type="dxa"/>
            <w:vMerge w:val="restart"/>
          </w:tcPr>
          <w:p w:rsidR="002A1453" w:rsidRPr="00B32F50" w:rsidRDefault="002A1453" w:rsidP="00B32F50"/>
          <w:p w:rsidR="002A1453" w:rsidRPr="00B32F50" w:rsidRDefault="002A1453" w:rsidP="00B32F50">
            <w:r w:rsidRPr="00B32F50">
              <w:t>Treatment of materials (class 40)</w:t>
            </w:r>
          </w:p>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Treatment of toxic waste (class 40)</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Air purification (class 40)</w:t>
            </w:r>
          </w:p>
          <w:p w:rsidR="002A1453" w:rsidRPr="00B32F50" w:rsidRDefault="002A1453" w:rsidP="00B32F50"/>
        </w:tc>
      </w:tr>
      <w:tr w:rsidR="002A1453" w:rsidRPr="00B32F50" w:rsidTr="00D32696">
        <w:tc>
          <w:tcPr>
            <w:tcW w:w="4785" w:type="dxa"/>
            <w:vMerge w:val="restart"/>
          </w:tcPr>
          <w:p w:rsidR="002A1453" w:rsidRPr="00B32F50" w:rsidRDefault="002A1453" w:rsidP="00B32F50"/>
          <w:p w:rsidR="002A1453" w:rsidRPr="00B32F50" w:rsidRDefault="002A1453" w:rsidP="00B32F50">
            <w:r w:rsidRPr="00B32F50">
              <w:t>Personal and social services rendered by others to meet the needs of individuals (class</w:t>
            </w:r>
            <w:r>
              <w:t> </w:t>
            </w:r>
            <w:r w:rsidRPr="00B32F50">
              <w:t>45)</w:t>
            </w:r>
          </w:p>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Personal background investigations (class 45)</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Personal shopping for others (class 45)</w:t>
            </w:r>
          </w:p>
          <w:p w:rsidR="002A1453" w:rsidRPr="00B32F50" w:rsidRDefault="002A1453" w:rsidP="00B32F50"/>
        </w:tc>
      </w:tr>
      <w:tr w:rsidR="002A1453" w:rsidRPr="00B32F50" w:rsidTr="00D32696">
        <w:tc>
          <w:tcPr>
            <w:tcW w:w="4785" w:type="dxa"/>
            <w:vMerge/>
          </w:tcPr>
          <w:p w:rsidR="002A1453" w:rsidRPr="00B32F50" w:rsidRDefault="002A1453" w:rsidP="00B32F50"/>
        </w:tc>
        <w:tc>
          <w:tcPr>
            <w:tcW w:w="4786" w:type="dxa"/>
          </w:tcPr>
          <w:p w:rsidR="002A1453" w:rsidRPr="00B32F50" w:rsidRDefault="002A1453" w:rsidP="00B32F50"/>
          <w:p w:rsidR="002A1453" w:rsidRPr="00B32F50" w:rsidRDefault="002A1453" w:rsidP="00B32F50">
            <w:r w:rsidRPr="00B32F50">
              <w:t>Adoption agency services (class 45)</w:t>
            </w:r>
          </w:p>
          <w:p w:rsidR="002A1453" w:rsidRPr="00B32F50" w:rsidRDefault="002A1453" w:rsidP="00B32F50"/>
        </w:tc>
      </w:tr>
    </w:tbl>
    <w:p w:rsidR="001C2C13" w:rsidRPr="001C2C13" w:rsidRDefault="001C2C13" w:rsidP="001C2C13"/>
    <w:p w:rsidR="00C946C9" w:rsidRDefault="00C946C9" w:rsidP="00CD330E"/>
    <w:p w:rsidR="00C946C9" w:rsidRDefault="00C946C9" w:rsidP="00CD330E"/>
    <w:p w:rsidR="00C946C9" w:rsidRPr="00D409DF" w:rsidRDefault="00C946C9" w:rsidP="00C946C9">
      <w:pPr>
        <w:pStyle w:val="Endofdocument-Annex"/>
      </w:pPr>
      <w:r>
        <w:t>[End of Annex]</w:t>
      </w:r>
    </w:p>
    <w:p w:rsidR="00C946C9" w:rsidRDefault="00C946C9" w:rsidP="00CD330E"/>
    <w:sectPr w:rsidR="00C946C9" w:rsidSect="00420BD0">
      <w:headerReference w:type="default" r:id="rId11"/>
      <w:headerReference w:type="first" r:id="rId12"/>
      <w:footnotePr>
        <w:numFmt w:val="chicago"/>
        <w:numRestart w:val="eachSect"/>
      </w:footnotePr>
      <w:endnotePr>
        <w:numFmt w:val="decimal"/>
      </w:endnotePr>
      <w:pgSz w:w="11907" w:h="16840" w:code="9"/>
      <w:pgMar w:top="567" w:right="1134" w:bottom="709" w:left="1418" w:header="510"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39" w:rsidRDefault="00EB6B39">
      <w:r>
        <w:separator/>
      </w:r>
    </w:p>
  </w:endnote>
  <w:endnote w:type="continuationSeparator" w:id="0">
    <w:p w:rsidR="00EB6B39" w:rsidRDefault="00EB6B39" w:rsidP="003B38C1">
      <w:r>
        <w:separator/>
      </w:r>
    </w:p>
    <w:p w:rsidR="00EB6B39" w:rsidRPr="003B38C1" w:rsidRDefault="00EB6B39" w:rsidP="003B38C1">
      <w:pPr>
        <w:spacing w:after="60"/>
        <w:rPr>
          <w:sz w:val="17"/>
        </w:rPr>
      </w:pPr>
      <w:r>
        <w:rPr>
          <w:sz w:val="17"/>
        </w:rPr>
        <w:t>[Endnote continued from previous page]</w:t>
      </w:r>
    </w:p>
  </w:endnote>
  <w:endnote w:type="continuationNotice" w:id="1">
    <w:p w:rsidR="00EB6B39" w:rsidRPr="003B38C1" w:rsidRDefault="00EB6B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39" w:rsidRDefault="00EB6B39">
      <w:r>
        <w:separator/>
      </w:r>
    </w:p>
  </w:footnote>
  <w:footnote w:type="continuationSeparator" w:id="0">
    <w:p w:rsidR="00EB6B39" w:rsidRDefault="00EB6B39" w:rsidP="008B60B2">
      <w:r>
        <w:separator/>
      </w:r>
    </w:p>
    <w:p w:rsidR="00EB6B39" w:rsidRPr="00ED77FB" w:rsidRDefault="00EB6B39" w:rsidP="008B60B2">
      <w:pPr>
        <w:spacing w:after="60"/>
        <w:rPr>
          <w:sz w:val="17"/>
          <w:szCs w:val="17"/>
        </w:rPr>
      </w:pPr>
      <w:r w:rsidRPr="00ED77FB">
        <w:rPr>
          <w:sz w:val="17"/>
          <w:szCs w:val="17"/>
        </w:rPr>
        <w:t>[Footnote continued from previous page]</w:t>
      </w:r>
    </w:p>
  </w:footnote>
  <w:footnote w:type="continuationNotice" w:id="1">
    <w:p w:rsidR="00EB6B39" w:rsidRPr="00ED77FB" w:rsidRDefault="00EB6B39" w:rsidP="008B60B2">
      <w:pPr>
        <w:spacing w:before="60"/>
        <w:jc w:val="right"/>
        <w:rPr>
          <w:sz w:val="17"/>
          <w:szCs w:val="17"/>
        </w:rPr>
      </w:pPr>
      <w:r w:rsidRPr="00ED77FB">
        <w:rPr>
          <w:sz w:val="17"/>
          <w:szCs w:val="17"/>
        </w:rPr>
        <w:t>[Footnote continued on next page]</w:t>
      </w:r>
    </w:p>
  </w:footnote>
  <w:footnote w:id="2">
    <w:p w:rsidR="00B32F50" w:rsidRPr="00620AF1" w:rsidRDefault="00B32F50" w:rsidP="00B32F50">
      <w:pPr>
        <w:pStyle w:val="FootnoteText"/>
      </w:pPr>
      <w:r>
        <w:rPr>
          <w:rStyle w:val="FootnoteReference"/>
        </w:rPr>
        <w:footnoteRef/>
      </w:r>
      <w:r>
        <w:tab/>
      </w:r>
      <w:r w:rsidRPr="00CB6064">
        <w:rPr>
          <w:szCs w:val="22"/>
        </w:rPr>
        <w:t>This list is only an indicative, non-binding list for information purposes.</w:t>
      </w:r>
      <w:r>
        <w:rPr>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4F" w:rsidRDefault="002A2E4F" w:rsidP="00477D6B">
    <w:pPr>
      <w:jc w:val="right"/>
    </w:pPr>
    <w:bookmarkStart w:id="2" w:name="Code2"/>
    <w:bookmarkEnd w:id="2"/>
  </w:p>
  <w:p w:rsidR="002A2E4F" w:rsidRDefault="002A2E4F" w:rsidP="00477D6B">
    <w:pPr>
      <w:jc w:val="right"/>
    </w:pPr>
    <w:proofErr w:type="gramStart"/>
    <w:r>
      <w:t>page</w:t>
    </w:r>
    <w:proofErr w:type="gramEnd"/>
    <w:r>
      <w:t xml:space="preserve"> </w:t>
    </w:r>
    <w:r>
      <w:fldChar w:fldCharType="begin"/>
    </w:r>
    <w:r>
      <w:instrText xml:space="preserve"> PAGE  \* MERGEFORMAT </w:instrText>
    </w:r>
    <w:r>
      <w:fldChar w:fldCharType="separate"/>
    </w:r>
    <w:r w:rsidR="00734918">
      <w:rPr>
        <w:noProof/>
      </w:rPr>
      <w:t>2</w:t>
    </w:r>
    <w:r>
      <w:fldChar w:fldCharType="end"/>
    </w:r>
  </w:p>
  <w:p w:rsidR="002A2E4F" w:rsidRDefault="002A2E4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2F0" w:rsidRDefault="007302F0" w:rsidP="00477D6B">
    <w:pPr>
      <w:jc w:val="right"/>
    </w:pPr>
    <w:r>
      <w:t>Annex</w:t>
    </w:r>
  </w:p>
  <w:p w:rsidR="007302F0" w:rsidRDefault="007302F0" w:rsidP="00477D6B">
    <w:pPr>
      <w:jc w:val="right"/>
    </w:pPr>
    <w:proofErr w:type="gramStart"/>
    <w:r>
      <w:t>page</w:t>
    </w:r>
    <w:proofErr w:type="gramEnd"/>
    <w:r>
      <w:t xml:space="preserve"> </w:t>
    </w:r>
    <w:r>
      <w:fldChar w:fldCharType="begin"/>
    </w:r>
    <w:r>
      <w:instrText xml:space="preserve"> PAGE  \* MERGEFORMAT </w:instrText>
    </w:r>
    <w:r>
      <w:fldChar w:fldCharType="separate"/>
    </w:r>
    <w:r w:rsidR="00734918">
      <w:rPr>
        <w:noProof/>
      </w:rPr>
      <w:t>2</w:t>
    </w:r>
    <w:r>
      <w:fldChar w:fldCharType="end"/>
    </w:r>
  </w:p>
  <w:p w:rsidR="007302F0" w:rsidRDefault="007302F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26E" w:rsidRDefault="00CE326E" w:rsidP="00CE326E">
    <w:pPr>
      <w:pStyle w:val="Header"/>
      <w:jc w:val="right"/>
    </w:pPr>
    <w:r>
      <w:t>ANNEX</w:t>
    </w:r>
  </w:p>
  <w:p w:rsidR="00CE326E" w:rsidRDefault="00CE326E" w:rsidP="00CE326E">
    <w:pPr>
      <w:pStyle w:val="Header"/>
      <w:jc w:val="right"/>
    </w:pPr>
  </w:p>
  <w:p w:rsidR="00CE326E" w:rsidRDefault="00CE326E" w:rsidP="00CE326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47D5"/>
    <w:rsid w:val="00005CFF"/>
    <w:rsid w:val="000123A6"/>
    <w:rsid w:val="000150FC"/>
    <w:rsid w:val="00042E33"/>
    <w:rsid w:val="00043313"/>
    <w:rsid w:val="00043CAA"/>
    <w:rsid w:val="00065151"/>
    <w:rsid w:val="0007174D"/>
    <w:rsid w:val="0007206B"/>
    <w:rsid w:val="000728FF"/>
    <w:rsid w:val="00075432"/>
    <w:rsid w:val="000968ED"/>
    <w:rsid w:val="000A525D"/>
    <w:rsid w:val="000C03DD"/>
    <w:rsid w:val="000C69E2"/>
    <w:rsid w:val="000D3921"/>
    <w:rsid w:val="000E73ED"/>
    <w:rsid w:val="000F5E56"/>
    <w:rsid w:val="00123B4E"/>
    <w:rsid w:val="001272E3"/>
    <w:rsid w:val="00131BD8"/>
    <w:rsid w:val="00133F53"/>
    <w:rsid w:val="001362EE"/>
    <w:rsid w:val="0015037D"/>
    <w:rsid w:val="00166299"/>
    <w:rsid w:val="00177186"/>
    <w:rsid w:val="001809F6"/>
    <w:rsid w:val="00182AAC"/>
    <w:rsid w:val="001832A6"/>
    <w:rsid w:val="00185E31"/>
    <w:rsid w:val="00186DE1"/>
    <w:rsid w:val="001C2C13"/>
    <w:rsid w:val="001C2D7E"/>
    <w:rsid w:val="001E3850"/>
    <w:rsid w:val="001F1B95"/>
    <w:rsid w:val="001F717F"/>
    <w:rsid w:val="0020551F"/>
    <w:rsid w:val="00215F5E"/>
    <w:rsid w:val="0022493E"/>
    <w:rsid w:val="00224A8A"/>
    <w:rsid w:val="00251890"/>
    <w:rsid w:val="0025278E"/>
    <w:rsid w:val="002617BC"/>
    <w:rsid w:val="002634C4"/>
    <w:rsid w:val="00271540"/>
    <w:rsid w:val="002928D3"/>
    <w:rsid w:val="002A1453"/>
    <w:rsid w:val="002A2E4F"/>
    <w:rsid w:val="002B6590"/>
    <w:rsid w:val="002C1554"/>
    <w:rsid w:val="002C168C"/>
    <w:rsid w:val="002C38D8"/>
    <w:rsid w:val="002F1FE6"/>
    <w:rsid w:val="002F4E68"/>
    <w:rsid w:val="003071B6"/>
    <w:rsid w:val="00312F7F"/>
    <w:rsid w:val="00317670"/>
    <w:rsid w:val="00335EC1"/>
    <w:rsid w:val="00347330"/>
    <w:rsid w:val="00357985"/>
    <w:rsid w:val="00361450"/>
    <w:rsid w:val="00365541"/>
    <w:rsid w:val="003673CF"/>
    <w:rsid w:val="003845C1"/>
    <w:rsid w:val="003A6F89"/>
    <w:rsid w:val="003B38C1"/>
    <w:rsid w:val="003C2450"/>
    <w:rsid w:val="003E0D9F"/>
    <w:rsid w:val="003F5644"/>
    <w:rsid w:val="004052E1"/>
    <w:rsid w:val="00411FB2"/>
    <w:rsid w:val="00414A9E"/>
    <w:rsid w:val="00420BD0"/>
    <w:rsid w:val="00421469"/>
    <w:rsid w:val="00423E3E"/>
    <w:rsid w:val="00427AF4"/>
    <w:rsid w:val="0046160D"/>
    <w:rsid w:val="004630B4"/>
    <w:rsid w:val="004647DA"/>
    <w:rsid w:val="0047006A"/>
    <w:rsid w:val="00474062"/>
    <w:rsid w:val="00477D6B"/>
    <w:rsid w:val="00477EF9"/>
    <w:rsid w:val="004863B0"/>
    <w:rsid w:val="004936FC"/>
    <w:rsid w:val="004947C5"/>
    <w:rsid w:val="004B0093"/>
    <w:rsid w:val="004B2ACB"/>
    <w:rsid w:val="004B336C"/>
    <w:rsid w:val="004C7C7E"/>
    <w:rsid w:val="004F5A30"/>
    <w:rsid w:val="005019FF"/>
    <w:rsid w:val="005243B1"/>
    <w:rsid w:val="0053057A"/>
    <w:rsid w:val="00540ABC"/>
    <w:rsid w:val="00546473"/>
    <w:rsid w:val="00546A94"/>
    <w:rsid w:val="00553F8F"/>
    <w:rsid w:val="00560A29"/>
    <w:rsid w:val="00563C83"/>
    <w:rsid w:val="005868B8"/>
    <w:rsid w:val="005A192B"/>
    <w:rsid w:val="005B20BE"/>
    <w:rsid w:val="005B5479"/>
    <w:rsid w:val="005C6649"/>
    <w:rsid w:val="005E6213"/>
    <w:rsid w:val="005E74CD"/>
    <w:rsid w:val="005F2F3B"/>
    <w:rsid w:val="00605827"/>
    <w:rsid w:val="00621A19"/>
    <w:rsid w:val="006327F2"/>
    <w:rsid w:val="00644AA2"/>
    <w:rsid w:val="00646050"/>
    <w:rsid w:val="00647B0C"/>
    <w:rsid w:val="00654AE9"/>
    <w:rsid w:val="00663BB3"/>
    <w:rsid w:val="006659A7"/>
    <w:rsid w:val="006713CA"/>
    <w:rsid w:val="00674ABA"/>
    <w:rsid w:val="00676C5C"/>
    <w:rsid w:val="00684699"/>
    <w:rsid w:val="006B3A5B"/>
    <w:rsid w:val="006D529E"/>
    <w:rsid w:val="006D6FDC"/>
    <w:rsid w:val="006F073B"/>
    <w:rsid w:val="006F33FF"/>
    <w:rsid w:val="007227A5"/>
    <w:rsid w:val="007302F0"/>
    <w:rsid w:val="00734918"/>
    <w:rsid w:val="00767C4D"/>
    <w:rsid w:val="00773CE3"/>
    <w:rsid w:val="00775EBD"/>
    <w:rsid w:val="00786644"/>
    <w:rsid w:val="00790A94"/>
    <w:rsid w:val="007A7EA9"/>
    <w:rsid w:val="007B766E"/>
    <w:rsid w:val="007B7F73"/>
    <w:rsid w:val="007C1F92"/>
    <w:rsid w:val="007C3E9B"/>
    <w:rsid w:val="007D1613"/>
    <w:rsid w:val="007D250A"/>
    <w:rsid w:val="007D5747"/>
    <w:rsid w:val="007E3259"/>
    <w:rsid w:val="007F4D09"/>
    <w:rsid w:val="007F62D1"/>
    <w:rsid w:val="00804EC4"/>
    <w:rsid w:val="008429A9"/>
    <w:rsid w:val="00853FA8"/>
    <w:rsid w:val="00854071"/>
    <w:rsid w:val="008804B5"/>
    <w:rsid w:val="00885618"/>
    <w:rsid w:val="008948BE"/>
    <w:rsid w:val="008977D0"/>
    <w:rsid w:val="008B23F7"/>
    <w:rsid w:val="008B2CC1"/>
    <w:rsid w:val="008B60B2"/>
    <w:rsid w:val="008C2D2F"/>
    <w:rsid w:val="008C2FE6"/>
    <w:rsid w:val="008C7057"/>
    <w:rsid w:val="008D147D"/>
    <w:rsid w:val="008F1F70"/>
    <w:rsid w:val="00906C66"/>
    <w:rsid w:val="0090731E"/>
    <w:rsid w:val="00913309"/>
    <w:rsid w:val="00916EE2"/>
    <w:rsid w:val="00922789"/>
    <w:rsid w:val="00931BB2"/>
    <w:rsid w:val="00933DE8"/>
    <w:rsid w:val="009378BE"/>
    <w:rsid w:val="00940793"/>
    <w:rsid w:val="009449F2"/>
    <w:rsid w:val="00965EC2"/>
    <w:rsid w:val="00966A22"/>
    <w:rsid w:val="0096722F"/>
    <w:rsid w:val="00980843"/>
    <w:rsid w:val="009820CB"/>
    <w:rsid w:val="00982202"/>
    <w:rsid w:val="00982CAB"/>
    <w:rsid w:val="00987E9A"/>
    <w:rsid w:val="00997AAD"/>
    <w:rsid w:val="009A4CF3"/>
    <w:rsid w:val="009A591F"/>
    <w:rsid w:val="009B2765"/>
    <w:rsid w:val="009C0C04"/>
    <w:rsid w:val="009E2791"/>
    <w:rsid w:val="009E3F6F"/>
    <w:rsid w:val="009E5F9F"/>
    <w:rsid w:val="009F2A14"/>
    <w:rsid w:val="009F499F"/>
    <w:rsid w:val="00A04B6E"/>
    <w:rsid w:val="00A1570B"/>
    <w:rsid w:val="00A21684"/>
    <w:rsid w:val="00A22C6B"/>
    <w:rsid w:val="00A25430"/>
    <w:rsid w:val="00A353ED"/>
    <w:rsid w:val="00A42DAF"/>
    <w:rsid w:val="00A456E7"/>
    <w:rsid w:val="00A45BD8"/>
    <w:rsid w:val="00A869B7"/>
    <w:rsid w:val="00A937C9"/>
    <w:rsid w:val="00AA1EEF"/>
    <w:rsid w:val="00AC205C"/>
    <w:rsid w:val="00AD38EE"/>
    <w:rsid w:val="00AE5A89"/>
    <w:rsid w:val="00AF0A6B"/>
    <w:rsid w:val="00AF5108"/>
    <w:rsid w:val="00B04722"/>
    <w:rsid w:val="00B05A69"/>
    <w:rsid w:val="00B068BD"/>
    <w:rsid w:val="00B1322D"/>
    <w:rsid w:val="00B21387"/>
    <w:rsid w:val="00B2247B"/>
    <w:rsid w:val="00B32F50"/>
    <w:rsid w:val="00B46D7E"/>
    <w:rsid w:val="00B5093B"/>
    <w:rsid w:val="00B54D7D"/>
    <w:rsid w:val="00B83157"/>
    <w:rsid w:val="00B85937"/>
    <w:rsid w:val="00B9734B"/>
    <w:rsid w:val="00B97A85"/>
    <w:rsid w:val="00BA59F8"/>
    <w:rsid w:val="00BA63F6"/>
    <w:rsid w:val="00BA6DE5"/>
    <w:rsid w:val="00BB30F3"/>
    <w:rsid w:val="00BB4EDF"/>
    <w:rsid w:val="00BB78C7"/>
    <w:rsid w:val="00BE2619"/>
    <w:rsid w:val="00BE55D6"/>
    <w:rsid w:val="00BE5857"/>
    <w:rsid w:val="00C06B49"/>
    <w:rsid w:val="00C11BFE"/>
    <w:rsid w:val="00C146FC"/>
    <w:rsid w:val="00C32F61"/>
    <w:rsid w:val="00C45642"/>
    <w:rsid w:val="00C46447"/>
    <w:rsid w:val="00C47421"/>
    <w:rsid w:val="00C556FE"/>
    <w:rsid w:val="00C634D0"/>
    <w:rsid w:val="00C63D3C"/>
    <w:rsid w:val="00C67841"/>
    <w:rsid w:val="00C771EA"/>
    <w:rsid w:val="00C946C9"/>
    <w:rsid w:val="00C977DB"/>
    <w:rsid w:val="00CB132F"/>
    <w:rsid w:val="00CB13CA"/>
    <w:rsid w:val="00CC5016"/>
    <w:rsid w:val="00CD330E"/>
    <w:rsid w:val="00CE0A51"/>
    <w:rsid w:val="00CE0F4D"/>
    <w:rsid w:val="00CE326E"/>
    <w:rsid w:val="00CE6390"/>
    <w:rsid w:val="00CF4536"/>
    <w:rsid w:val="00D025AA"/>
    <w:rsid w:val="00D22BD4"/>
    <w:rsid w:val="00D30CC7"/>
    <w:rsid w:val="00D31C2F"/>
    <w:rsid w:val="00D40064"/>
    <w:rsid w:val="00D409DF"/>
    <w:rsid w:val="00D40A98"/>
    <w:rsid w:val="00D424EC"/>
    <w:rsid w:val="00D45252"/>
    <w:rsid w:val="00D57F87"/>
    <w:rsid w:val="00D57F90"/>
    <w:rsid w:val="00D71B4D"/>
    <w:rsid w:val="00D76F38"/>
    <w:rsid w:val="00D90EE5"/>
    <w:rsid w:val="00D93D55"/>
    <w:rsid w:val="00DB42CB"/>
    <w:rsid w:val="00DC3E50"/>
    <w:rsid w:val="00E06002"/>
    <w:rsid w:val="00E213EE"/>
    <w:rsid w:val="00E335FE"/>
    <w:rsid w:val="00E42B9A"/>
    <w:rsid w:val="00E532DC"/>
    <w:rsid w:val="00E55177"/>
    <w:rsid w:val="00E55BFC"/>
    <w:rsid w:val="00E66C2C"/>
    <w:rsid w:val="00E84EF2"/>
    <w:rsid w:val="00EB50E5"/>
    <w:rsid w:val="00EB6B39"/>
    <w:rsid w:val="00EC23FC"/>
    <w:rsid w:val="00EC4E49"/>
    <w:rsid w:val="00ED4C4F"/>
    <w:rsid w:val="00ED77FB"/>
    <w:rsid w:val="00EE45FA"/>
    <w:rsid w:val="00EE5748"/>
    <w:rsid w:val="00EE63AB"/>
    <w:rsid w:val="00EF0146"/>
    <w:rsid w:val="00EF5275"/>
    <w:rsid w:val="00F0720F"/>
    <w:rsid w:val="00F201C4"/>
    <w:rsid w:val="00F52AC0"/>
    <w:rsid w:val="00F5701D"/>
    <w:rsid w:val="00F66152"/>
    <w:rsid w:val="00F7721F"/>
    <w:rsid w:val="00FA704A"/>
    <w:rsid w:val="00FC3D36"/>
    <w:rsid w:val="00FC4C8A"/>
    <w:rsid w:val="00FD502F"/>
    <w:rsid w:val="00FE3A6D"/>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FootnoteTextChar">
    <w:name w:val="Footnote Text Char"/>
    <w:basedOn w:val="DefaultParagraphFont"/>
    <w:link w:val="FootnoteText"/>
    <w:semiHidden/>
    <w:rsid w:val="00B32F50"/>
    <w:rPr>
      <w:rFonts w:ascii="Arial" w:eastAsia="SimSun" w:hAnsi="Arial" w:cs="Arial"/>
      <w:sz w:val="18"/>
      <w:lang w:eastAsia="zh-CN"/>
    </w:rPr>
  </w:style>
  <w:style w:type="table" w:styleId="TableGrid">
    <w:name w:val="Table Grid"/>
    <w:basedOn w:val="TableNormal"/>
    <w:rsid w:val="00B32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FootnoteTextChar">
    <w:name w:val="Footnote Text Char"/>
    <w:basedOn w:val="DefaultParagraphFont"/>
    <w:link w:val="FootnoteText"/>
    <w:semiHidden/>
    <w:rsid w:val="00B32F50"/>
    <w:rPr>
      <w:rFonts w:ascii="Arial" w:eastAsia="SimSun" w:hAnsi="Arial" w:cs="Arial"/>
      <w:sz w:val="18"/>
      <w:lang w:eastAsia="zh-CN"/>
    </w:rPr>
  </w:style>
  <w:style w:type="table" w:styleId="TableGrid">
    <w:name w:val="Table Grid"/>
    <w:basedOn w:val="TableNormal"/>
    <w:rsid w:val="00B32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907EC-2939-4F3F-BED0-2C625516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606</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35</cp:revision>
  <cp:lastPrinted>2014-11-05T08:21:00Z</cp:lastPrinted>
  <dcterms:created xsi:type="dcterms:W3CDTF">2014-09-18T07:37:00Z</dcterms:created>
  <dcterms:modified xsi:type="dcterms:W3CDTF">2014-11-05T08:21:00Z</dcterms:modified>
</cp:coreProperties>
</file>