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409DF" w:rsidRPr="00D409DF" w:rsidTr="00563C83"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EC4E49" w:rsidRPr="00D409DF" w:rsidRDefault="00EC4E49" w:rsidP="00CD330E"/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D409DF" w:rsidRDefault="00A1570B" w:rsidP="00CD330E">
            <w:r w:rsidRPr="00D409DF">
              <w:rPr>
                <w:noProof/>
                <w:lang w:eastAsia="en-US"/>
              </w:rPr>
              <w:drawing>
                <wp:inline distT="0" distB="0" distL="0" distR="0" wp14:anchorId="1931447F" wp14:editId="121D8DE4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D409DF" w:rsidRDefault="00EC4E49" w:rsidP="00CD330E">
            <w:pPr>
              <w:jc w:val="right"/>
            </w:pPr>
          </w:p>
        </w:tc>
      </w:tr>
      <w:tr w:rsidR="00D409DF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8B2CC1" w:rsidRPr="00D409DF" w:rsidRDefault="008B2CC1" w:rsidP="00CD330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D409DF" w:rsidRPr="00D409DF" w:rsidTr="00B27CB2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B23F7" w:rsidRPr="00D409DF" w:rsidRDefault="008B23F7" w:rsidP="00786644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86644">
              <w:rPr>
                <w:rFonts w:ascii="Arial Black" w:hAnsi="Arial Black"/>
                <w:caps/>
                <w:sz w:val="15"/>
              </w:rPr>
              <w:t>13</w:t>
            </w:r>
            <w:r w:rsidRPr="00D409DF">
              <w:rPr>
                <w:rFonts w:ascii="Arial Black" w:hAnsi="Arial Black"/>
                <w:caps/>
                <w:sz w:val="15"/>
              </w:rPr>
              <w:t>/2014</w:t>
            </w:r>
          </w:p>
        </w:tc>
      </w:tr>
    </w:tbl>
    <w:p w:rsidR="008B2CC1" w:rsidRPr="00D409DF" w:rsidRDefault="008B2CC1" w:rsidP="00CD330E"/>
    <w:p w:rsidR="008B2CC1" w:rsidRPr="00D409DF" w:rsidRDefault="008B2CC1" w:rsidP="00CD330E"/>
    <w:p w:rsidR="008B2CC1" w:rsidRPr="00D409DF" w:rsidRDefault="008B2CC1" w:rsidP="00CD330E"/>
    <w:p w:rsidR="00CC5016" w:rsidRPr="00D409DF" w:rsidRDefault="00CC5016" w:rsidP="00CD330E"/>
    <w:p w:rsidR="00CC5016" w:rsidRPr="00D409DF" w:rsidRDefault="00CC5016" w:rsidP="00CD330E"/>
    <w:p w:rsidR="00CC5016" w:rsidRPr="00D409DF" w:rsidRDefault="00CC5016" w:rsidP="00CD330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 xml:space="preserve">Madrid </w:t>
      </w:r>
      <w:r w:rsidR="00EF0146" w:rsidRPr="00D409DF">
        <w:rPr>
          <w:b/>
          <w:bCs/>
          <w:sz w:val="28"/>
          <w:szCs w:val="28"/>
        </w:rPr>
        <w:t xml:space="preserve">Agreement and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CC5016" w:rsidRPr="00D409DF" w:rsidRDefault="00CC5016" w:rsidP="00CD330E">
      <w:pPr>
        <w:autoSpaceDE w:val="0"/>
        <w:autoSpaceDN w:val="0"/>
        <w:adjustRightInd w:val="0"/>
        <w:rPr>
          <w:bCs/>
          <w:szCs w:val="22"/>
        </w:rPr>
      </w:pPr>
    </w:p>
    <w:p w:rsidR="00CC5016" w:rsidRPr="00D409DF" w:rsidRDefault="00CC5016" w:rsidP="00CD330E">
      <w:pPr>
        <w:autoSpaceDE w:val="0"/>
        <w:autoSpaceDN w:val="0"/>
        <w:adjustRightInd w:val="0"/>
        <w:rPr>
          <w:bCs/>
          <w:szCs w:val="22"/>
        </w:rPr>
      </w:pPr>
    </w:p>
    <w:p w:rsidR="00CC5016" w:rsidRPr="00D409DF" w:rsidRDefault="00CC5016" w:rsidP="00CD330E">
      <w:pPr>
        <w:autoSpaceDE w:val="0"/>
        <w:autoSpaceDN w:val="0"/>
        <w:adjustRightInd w:val="0"/>
        <w:rPr>
          <w:bCs/>
          <w:szCs w:val="22"/>
        </w:rPr>
      </w:pPr>
    </w:p>
    <w:p w:rsidR="00A04B6E" w:rsidRPr="00663BB3" w:rsidRDefault="00E55177" w:rsidP="00CD330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E55177">
        <w:rPr>
          <w:b/>
          <w:bCs/>
          <w:i/>
          <w:sz w:val="24"/>
          <w:szCs w:val="24"/>
        </w:rPr>
        <w:t>E-subsequent designation</w:t>
      </w:r>
      <w:r w:rsidR="00663BB3">
        <w:rPr>
          <w:b/>
          <w:bCs/>
          <w:sz w:val="24"/>
          <w:szCs w:val="24"/>
        </w:rPr>
        <w:t xml:space="preserve"> is now available</w:t>
      </w:r>
    </w:p>
    <w:p w:rsidR="00A04B6E" w:rsidRPr="00D409DF" w:rsidRDefault="00A04B6E" w:rsidP="00CD330E">
      <w:pPr>
        <w:autoSpaceDE w:val="0"/>
        <w:autoSpaceDN w:val="0"/>
        <w:adjustRightInd w:val="0"/>
        <w:rPr>
          <w:szCs w:val="22"/>
        </w:rPr>
      </w:pPr>
    </w:p>
    <w:p w:rsidR="000E73ED" w:rsidRPr="00D409DF" w:rsidRDefault="000E73ED" w:rsidP="00CD330E"/>
    <w:p w:rsidR="00663BB3" w:rsidRPr="00663BB3" w:rsidRDefault="00663BB3" w:rsidP="00663BB3">
      <w:pPr>
        <w:pStyle w:val="ONUME"/>
      </w:pPr>
      <w:r w:rsidRPr="00663BB3">
        <w:rPr>
          <w:i/>
        </w:rPr>
        <w:t>E-subsequent designation</w:t>
      </w:r>
      <w:r w:rsidRPr="00663BB3">
        <w:t xml:space="preserve"> is a new web based tool that responds to the needs of users of the Madrid </w:t>
      </w:r>
      <w:r w:rsidR="00786644">
        <w:t>S</w:t>
      </w:r>
      <w:r w:rsidRPr="00663BB3">
        <w:t xml:space="preserve">ystem.  </w:t>
      </w:r>
      <w:r w:rsidR="00FE3A6D">
        <w:t xml:space="preserve">It </w:t>
      </w:r>
      <w:r w:rsidRPr="00663BB3">
        <w:t xml:space="preserve">is based upon a </w:t>
      </w:r>
      <w:r w:rsidRPr="00663BB3">
        <w:rPr>
          <w:i/>
        </w:rPr>
        <w:t>smart</w:t>
      </w:r>
      <w:r w:rsidRPr="00663BB3">
        <w:t xml:space="preserve"> form approach, where most</w:t>
      </w:r>
      <w:r w:rsidR="00042E33">
        <w:t xml:space="preserve"> </w:t>
      </w:r>
      <w:r w:rsidRPr="00663BB3">
        <w:t xml:space="preserve">mandatory data elements are provided automatically by the system. </w:t>
      </w:r>
      <w:r>
        <w:t xml:space="preserve"> </w:t>
      </w:r>
    </w:p>
    <w:p w:rsidR="00663BB3" w:rsidRPr="00663BB3" w:rsidRDefault="00663BB3" w:rsidP="00663BB3">
      <w:pPr>
        <w:pStyle w:val="ONUME"/>
      </w:pPr>
      <w:r w:rsidRPr="00663BB3">
        <w:t xml:space="preserve">It is easy to use </w:t>
      </w:r>
      <w:r>
        <w:rPr>
          <w:i/>
        </w:rPr>
        <w:t>e-s</w:t>
      </w:r>
      <w:r w:rsidRPr="00663BB3">
        <w:rPr>
          <w:i/>
        </w:rPr>
        <w:t xml:space="preserve">ubsequent </w:t>
      </w:r>
      <w:r>
        <w:rPr>
          <w:i/>
        </w:rPr>
        <w:t>d</w:t>
      </w:r>
      <w:r w:rsidRPr="00663BB3">
        <w:rPr>
          <w:i/>
        </w:rPr>
        <w:t>esignation</w:t>
      </w:r>
      <w:proofErr w:type="gramStart"/>
      <w:r w:rsidRPr="00663BB3">
        <w:t>;</w:t>
      </w:r>
      <w:r w:rsidR="005E6213">
        <w:t xml:space="preserve"> </w:t>
      </w:r>
      <w:r w:rsidRPr="00663BB3">
        <w:t xml:space="preserve"> all</w:t>
      </w:r>
      <w:proofErr w:type="gramEnd"/>
      <w:r w:rsidRPr="00663BB3">
        <w:t xml:space="preserve"> that is needed </w:t>
      </w:r>
      <w:r>
        <w:t xml:space="preserve">is </w:t>
      </w:r>
      <w:r w:rsidRPr="00663BB3">
        <w:t xml:space="preserve">to enter an international registration number, select the Contracting Party or Parties subject of the subsequent designation, indicate the goods and services (all or some </w:t>
      </w:r>
      <w:r w:rsidR="00177186" w:rsidRPr="00663BB3">
        <w:t xml:space="preserve">only </w:t>
      </w:r>
      <w:r w:rsidRPr="00663BB3">
        <w:t>of the goods and services covered by the international registration) and pay the fee online</w:t>
      </w:r>
      <w:r w:rsidR="00177186">
        <w:t>,</w:t>
      </w:r>
      <w:r w:rsidRPr="00663BB3">
        <w:t xml:space="preserve"> by credit card or through a WIPO current account. </w:t>
      </w:r>
      <w:r>
        <w:t xml:space="preserve"> </w:t>
      </w:r>
    </w:p>
    <w:p w:rsidR="00663BB3" w:rsidRPr="00663BB3" w:rsidRDefault="00663BB3" w:rsidP="00663BB3">
      <w:pPr>
        <w:pStyle w:val="ONUME"/>
      </w:pPr>
      <w:r w:rsidRPr="00663BB3">
        <w:t xml:space="preserve">When submitting the </w:t>
      </w:r>
      <w:r w:rsidRPr="00663BB3">
        <w:rPr>
          <w:i/>
        </w:rPr>
        <w:t>e-subsequent designation</w:t>
      </w:r>
      <w:r w:rsidRPr="00663BB3">
        <w:t xml:space="preserve"> form to WIPO, users will receive immediately an acknowledgement</w:t>
      </w:r>
      <w:r w:rsidR="00D40064">
        <w:t xml:space="preserve"> of receipt</w:t>
      </w:r>
      <w:r w:rsidRPr="00663BB3">
        <w:t>, through a confirmation screen which is followed by an e</w:t>
      </w:r>
      <w:r>
        <w:noBreakHyphen/>
      </w:r>
      <w:r w:rsidRPr="00663BB3">
        <w:t xml:space="preserve">mail. </w:t>
      </w:r>
      <w:r>
        <w:t xml:space="preserve"> </w:t>
      </w:r>
    </w:p>
    <w:p w:rsidR="00663BB3" w:rsidRPr="00663BB3" w:rsidRDefault="00663BB3" w:rsidP="00663BB3">
      <w:pPr>
        <w:pStyle w:val="ONUME"/>
      </w:pPr>
      <w:r w:rsidRPr="00663BB3">
        <w:t xml:space="preserve">Please note that it </w:t>
      </w:r>
      <w:r w:rsidR="009A4CF3">
        <w:t>is</w:t>
      </w:r>
      <w:r w:rsidR="009A4CF3" w:rsidRPr="00663BB3">
        <w:t xml:space="preserve"> </w:t>
      </w:r>
      <w:r w:rsidRPr="00663BB3">
        <w:t>still necessary to use the paper form MM4</w:t>
      </w:r>
      <w:r w:rsidR="00177186">
        <w:t>,</w:t>
      </w:r>
      <w:r w:rsidR="00D40064">
        <w:t xml:space="preserve"> </w:t>
      </w:r>
      <w:r w:rsidR="00D40064" w:rsidRPr="00D40064">
        <w:rPr>
          <w:i/>
        </w:rPr>
        <w:t xml:space="preserve">Designation </w:t>
      </w:r>
      <w:r w:rsidR="00D40064">
        <w:rPr>
          <w:i/>
        </w:rPr>
        <w:t>S</w:t>
      </w:r>
      <w:r w:rsidR="00D40064" w:rsidRPr="00D40064">
        <w:rPr>
          <w:i/>
        </w:rPr>
        <w:t xml:space="preserve">ubsequent to the </w:t>
      </w:r>
      <w:r w:rsidR="00D40064">
        <w:rPr>
          <w:i/>
        </w:rPr>
        <w:t>I</w:t>
      </w:r>
      <w:r w:rsidR="00D40064" w:rsidRPr="00D40064">
        <w:rPr>
          <w:i/>
        </w:rPr>
        <w:t xml:space="preserve">nternational </w:t>
      </w:r>
      <w:r w:rsidR="00D40064">
        <w:rPr>
          <w:i/>
        </w:rPr>
        <w:t>R</w:t>
      </w:r>
      <w:r w:rsidR="00D40064" w:rsidRPr="00D40064">
        <w:rPr>
          <w:i/>
        </w:rPr>
        <w:t>egistration</w:t>
      </w:r>
      <w:r w:rsidRPr="00663BB3">
        <w:t xml:space="preserve">, </w:t>
      </w:r>
      <w:r w:rsidR="00177186">
        <w:t>where</w:t>
      </w:r>
      <w:r w:rsidR="006D6FDC">
        <w:t xml:space="preserve"> the holder</w:t>
      </w:r>
      <w:r w:rsidR="00786644">
        <w:t xml:space="preserve"> or his </w:t>
      </w:r>
      <w:bookmarkStart w:id="1" w:name="_GoBack"/>
      <w:bookmarkEnd w:id="1"/>
      <w:r w:rsidR="00786644">
        <w:t>representative</w:t>
      </w:r>
      <w:r w:rsidRPr="00663BB3">
        <w:t xml:space="preserve">: </w:t>
      </w:r>
      <w:r w:rsidR="00D40064">
        <w:t xml:space="preserve"> </w:t>
      </w:r>
    </w:p>
    <w:p w:rsidR="00663BB3" w:rsidRPr="00663BB3" w:rsidRDefault="00663BB3" w:rsidP="00663BB3">
      <w:pPr>
        <w:ind w:left="1134" w:hanging="567"/>
      </w:pPr>
      <w:r>
        <w:t>–</w:t>
      </w:r>
      <w:r>
        <w:tab/>
      </w:r>
      <w:proofErr w:type="gramStart"/>
      <w:r w:rsidR="00177186">
        <w:t>wishes</w:t>
      </w:r>
      <w:proofErr w:type="gramEnd"/>
      <w:r w:rsidRPr="00663BB3">
        <w:t xml:space="preserve"> to</w:t>
      </w:r>
      <w:r w:rsidR="00042E33">
        <w:t xml:space="preserve"> </w:t>
      </w:r>
      <w:r w:rsidR="00FE3A6D">
        <w:t>include</w:t>
      </w:r>
      <w:r w:rsidRPr="00663BB3">
        <w:t xml:space="preserve"> certain miscellaneous indications</w:t>
      </w:r>
      <w:r w:rsidR="006D6FDC">
        <w:t xml:space="preserve"> that were not provided</w:t>
      </w:r>
      <w:r w:rsidR="006D6FDC" w:rsidRPr="00663BB3">
        <w:t xml:space="preserve"> in the international application</w:t>
      </w:r>
      <w:r w:rsidRPr="00663BB3">
        <w:t xml:space="preserve">, such as the legal nature of </w:t>
      </w:r>
      <w:r w:rsidR="00177186">
        <w:t>an</w:t>
      </w:r>
      <w:r w:rsidR="00177186" w:rsidRPr="00663BB3">
        <w:t xml:space="preserve"> </w:t>
      </w:r>
      <w:r w:rsidRPr="00663BB3">
        <w:t>entity or a translation of the mark;</w:t>
      </w:r>
      <w:r w:rsidR="00D40064">
        <w:t xml:space="preserve">  </w:t>
      </w:r>
    </w:p>
    <w:p w:rsidR="00663BB3" w:rsidRPr="00663BB3" w:rsidRDefault="00663BB3" w:rsidP="00663BB3"/>
    <w:p w:rsidR="00663BB3" w:rsidRPr="00663BB3" w:rsidRDefault="00663BB3" w:rsidP="00663BB3">
      <w:pPr>
        <w:ind w:left="1134" w:hanging="567"/>
      </w:pPr>
      <w:r>
        <w:t>–</w:t>
      </w:r>
      <w:r>
        <w:tab/>
      </w:r>
      <w:r w:rsidR="006D6FDC">
        <w:t xml:space="preserve">requests that </w:t>
      </w:r>
      <w:r w:rsidRPr="00663BB3">
        <w:t xml:space="preserve">the subsequent designation be recorded only after the recording of a renewal or </w:t>
      </w:r>
      <w:r w:rsidR="007E3259">
        <w:t>a</w:t>
      </w:r>
      <w:r w:rsidR="007E3259" w:rsidRPr="00663BB3">
        <w:t xml:space="preserve"> change, </w:t>
      </w:r>
      <w:r w:rsidR="007E3259">
        <w:t>such as</w:t>
      </w:r>
      <w:r w:rsidR="007E3259" w:rsidRPr="00663BB3">
        <w:t xml:space="preserve"> </w:t>
      </w:r>
      <w:r w:rsidRPr="00663BB3">
        <w:t>a partial cancellation;</w:t>
      </w:r>
      <w:r w:rsidR="00D40064">
        <w:t xml:space="preserve">  </w:t>
      </w:r>
    </w:p>
    <w:p w:rsidR="00663BB3" w:rsidRPr="00663BB3" w:rsidRDefault="00663BB3" w:rsidP="00663BB3"/>
    <w:p w:rsidR="00663BB3" w:rsidRPr="00663BB3" w:rsidRDefault="00663BB3" w:rsidP="00663BB3">
      <w:pPr>
        <w:ind w:left="1134" w:hanging="567"/>
      </w:pPr>
      <w:r>
        <w:t>–</w:t>
      </w:r>
      <w:r>
        <w:tab/>
      </w:r>
      <w:r w:rsidR="006D6FDC">
        <w:t xml:space="preserve">wants, </w:t>
      </w:r>
      <w:r w:rsidR="00177186">
        <w:t>at the same time,</w:t>
      </w:r>
      <w:r w:rsidRPr="00663BB3">
        <w:t xml:space="preserve"> to appoint a representative </w:t>
      </w:r>
      <w:r w:rsidR="00D40064">
        <w:t>or to subscribe to e</w:t>
      </w:r>
      <w:r w:rsidR="005E6213">
        <w:noBreakHyphen/>
      </w:r>
      <w:r w:rsidR="00D40064">
        <w:t>c</w:t>
      </w:r>
      <w:r w:rsidRPr="00663BB3">
        <w:t>ommunications;</w:t>
      </w:r>
      <w:r w:rsidR="00D40064">
        <w:t xml:space="preserve">  </w:t>
      </w:r>
    </w:p>
    <w:p w:rsidR="00663BB3" w:rsidRPr="00663BB3" w:rsidRDefault="00663BB3" w:rsidP="00663BB3"/>
    <w:p w:rsidR="00663BB3" w:rsidRPr="00042E33" w:rsidRDefault="00663BB3" w:rsidP="00663BB3">
      <w:pPr>
        <w:ind w:left="1134" w:hanging="567"/>
        <w:rPr>
          <w:color w:val="000000" w:themeColor="text1"/>
        </w:rPr>
      </w:pPr>
      <w:r>
        <w:t>–</w:t>
      </w:r>
      <w:r>
        <w:tab/>
      </w:r>
      <w:r w:rsidR="006D6FDC">
        <w:t>must</w:t>
      </w:r>
      <w:r w:rsidRPr="00663BB3">
        <w:t xml:space="preserve"> present the subsequent designation through </w:t>
      </w:r>
      <w:r w:rsidR="000150FC">
        <w:t>the Office of the Contracting Party of the holder</w:t>
      </w:r>
      <w:r w:rsidRPr="00663BB3">
        <w:t xml:space="preserve"> (where Algeria is subsequently designated </w:t>
      </w:r>
      <w:r w:rsidRPr="00042E33">
        <w:rPr>
          <w:color w:val="000000" w:themeColor="text1"/>
        </w:rPr>
        <w:t xml:space="preserve">or is the Office of the Contracting Party of </w:t>
      </w:r>
      <w:r w:rsidR="00786644">
        <w:rPr>
          <w:color w:val="000000" w:themeColor="text1"/>
        </w:rPr>
        <w:t>the holder).</w:t>
      </w:r>
      <w:r w:rsidR="00D40064" w:rsidRPr="00042E33">
        <w:rPr>
          <w:color w:val="000000" w:themeColor="text1"/>
        </w:rPr>
        <w:t xml:space="preserve">  </w:t>
      </w:r>
    </w:p>
    <w:p w:rsidR="00663BB3" w:rsidRPr="00663BB3" w:rsidRDefault="00663BB3" w:rsidP="00663BB3"/>
    <w:p w:rsidR="00663BB3" w:rsidRPr="00663BB3" w:rsidRDefault="00177186" w:rsidP="00663BB3">
      <w:pPr>
        <w:pStyle w:val="ONUME"/>
      </w:pPr>
      <w:r>
        <w:t xml:space="preserve">Moreover, where </w:t>
      </w:r>
      <w:r w:rsidR="00663BB3" w:rsidRPr="00663BB3">
        <w:t xml:space="preserve">the subsequent designation results from conversion, it </w:t>
      </w:r>
      <w:r w:rsidR="009A4CF3">
        <w:t xml:space="preserve">is </w:t>
      </w:r>
      <w:r w:rsidR="006D6FDC">
        <w:t xml:space="preserve">still </w:t>
      </w:r>
      <w:r w:rsidR="00663BB3" w:rsidRPr="00663BB3">
        <w:t xml:space="preserve">necessary to use </w:t>
      </w:r>
      <w:r w:rsidR="005E6213">
        <w:t xml:space="preserve">the </w:t>
      </w:r>
      <w:r w:rsidR="00663BB3" w:rsidRPr="00663BB3">
        <w:t>paper form MM16</w:t>
      </w:r>
      <w:r w:rsidR="00D40064">
        <w:t xml:space="preserve"> </w:t>
      </w:r>
      <w:r w:rsidR="00D40064" w:rsidRPr="005E6213">
        <w:rPr>
          <w:i/>
        </w:rPr>
        <w:t>Subsequent Designation Resulting from Conversion (European Union)</w:t>
      </w:r>
      <w:r w:rsidR="00663BB3" w:rsidRPr="00D40064">
        <w:t>.</w:t>
      </w:r>
      <w:r w:rsidR="00D40064">
        <w:t xml:space="preserve">  </w:t>
      </w:r>
    </w:p>
    <w:p w:rsidR="00663BB3" w:rsidRPr="00663BB3" w:rsidRDefault="00663BB3" w:rsidP="005E6213">
      <w:pPr>
        <w:pStyle w:val="ONUME"/>
        <w:keepNext/>
      </w:pPr>
      <w:r w:rsidRPr="00663BB3">
        <w:lastRenderedPageBreak/>
        <w:t xml:space="preserve">A video tutorial presenting </w:t>
      </w:r>
      <w:r w:rsidRPr="00D40064">
        <w:rPr>
          <w:i/>
        </w:rPr>
        <w:t>e-</w:t>
      </w:r>
      <w:r w:rsidR="00D40064" w:rsidRPr="00D40064">
        <w:rPr>
          <w:i/>
        </w:rPr>
        <w:t>subsequent d</w:t>
      </w:r>
      <w:r w:rsidRPr="00D40064">
        <w:rPr>
          <w:i/>
        </w:rPr>
        <w:t>esignation</w:t>
      </w:r>
      <w:r w:rsidRPr="00663BB3">
        <w:t xml:space="preserve"> is available at the following address: </w:t>
      </w:r>
      <w:r w:rsidR="00D40064">
        <w:t xml:space="preserve"> </w:t>
      </w:r>
      <w:r w:rsidR="00D40064" w:rsidRPr="00D40064">
        <w:rPr>
          <w:i/>
        </w:rPr>
        <w:t>http://www.wipo.int/madrid/en/video/osd.html</w:t>
      </w:r>
      <w:r w:rsidR="00D40064">
        <w:t xml:space="preserve">.  </w:t>
      </w:r>
    </w:p>
    <w:p w:rsidR="00663BB3" w:rsidRDefault="009A4CF3" w:rsidP="00D40064">
      <w:pPr>
        <w:pStyle w:val="ONUME"/>
      </w:pPr>
      <w:r>
        <w:t xml:space="preserve">E-subsequent designation is available </w:t>
      </w:r>
      <w:r w:rsidR="00663BB3" w:rsidRPr="00663BB3">
        <w:t xml:space="preserve">at the following address: </w:t>
      </w:r>
      <w:r w:rsidR="00D40064">
        <w:t xml:space="preserve"> </w:t>
      </w:r>
      <w:hyperlink r:id="rId10" w:history="1">
        <w:r w:rsidRPr="005E6213">
          <w:rPr>
            <w:rStyle w:val="Hyperlink"/>
            <w:i/>
            <w:color w:val="auto"/>
            <w:u w:val="none"/>
          </w:rPr>
          <w:t>https://www3.wipo.int/osd/</w:t>
        </w:r>
      </w:hyperlink>
      <w:r w:rsidR="007E3259">
        <w:rPr>
          <w:i/>
        </w:rPr>
        <w:t xml:space="preserve">. </w:t>
      </w:r>
      <w:r>
        <w:t xml:space="preserve"> </w:t>
      </w:r>
      <w:r w:rsidR="007E3259">
        <w:t xml:space="preserve">It is also available </w:t>
      </w:r>
      <w:r w:rsidRPr="00663BB3">
        <w:t xml:space="preserve">through the Madrid Portfolio Manager (MPM) </w:t>
      </w:r>
      <w:r>
        <w:t>(</w:t>
      </w:r>
      <w:r w:rsidR="00BB4EDF" w:rsidRPr="00BB4EDF">
        <w:rPr>
          <w:i/>
        </w:rPr>
        <w:t>https://www3.wipo.int/login/en/mpm/index.jspand</w:t>
      </w:r>
      <w:r>
        <w:t>)</w:t>
      </w:r>
      <w:r w:rsidR="00BB4EDF">
        <w:t xml:space="preserve">.  </w:t>
      </w:r>
    </w:p>
    <w:p w:rsidR="003C2450" w:rsidRPr="00D409DF" w:rsidRDefault="003C2450" w:rsidP="00CD330E"/>
    <w:p w:rsidR="006D529E" w:rsidRPr="00D409DF" w:rsidRDefault="006D529E" w:rsidP="00CD330E"/>
    <w:p w:rsidR="004936FC" w:rsidRPr="00D409DF" w:rsidRDefault="00786644" w:rsidP="00CD330E">
      <w:pPr>
        <w:pStyle w:val="Endofdocument-Annex"/>
      </w:pPr>
      <w:r>
        <w:t>July 8</w:t>
      </w:r>
      <w:r w:rsidR="006F33FF" w:rsidRPr="00D409DF">
        <w:t>, 2014</w:t>
      </w:r>
    </w:p>
    <w:sectPr w:rsidR="004936FC" w:rsidRPr="00D409DF" w:rsidSect="003C2450">
      <w:headerReference w:type="default" r:id="rId11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39" w:rsidRDefault="00EB6B39">
      <w:r>
        <w:separator/>
      </w:r>
    </w:p>
  </w:endnote>
  <w:endnote w:type="continuationSeparator" w:id="0">
    <w:p w:rsidR="00EB6B39" w:rsidRDefault="00EB6B39" w:rsidP="003B38C1">
      <w:r>
        <w:separator/>
      </w:r>
    </w:p>
    <w:p w:rsidR="00EB6B39" w:rsidRPr="003B38C1" w:rsidRDefault="00EB6B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B6B39" w:rsidRPr="003B38C1" w:rsidRDefault="00EB6B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39" w:rsidRDefault="00EB6B39">
      <w:r>
        <w:separator/>
      </w:r>
    </w:p>
  </w:footnote>
  <w:footnote w:type="continuationSeparator" w:id="0">
    <w:p w:rsidR="00EB6B39" w:rsidRDefault="00EB6B39" w:rsidP="008B60B2">
      <w:r>
        <w:separator/>
      </w:r>
    </w:p>
    <w:p w:rsidR="00EB6B39" w:rsidRPr="00ED77FB" w:rsidRDefault="00EB6B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B6B39" w:rsidRPr="00ED77FB" w:rsidRDefault="00EB6B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2" w:name="Code2"/>
    <w:bookmarkEnd w:id="2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15F5E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EA0C5A"/>
    <w:multiLevelType w:val="hybridMultilevel"/>
    <w:tmpl w:val="EC669194"/>
    <w:lvl w:ilvl="0" w:tplc="C892308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47D5"/>
    <w:rsid w:val="00005CFF"/>
    <w:rsid w:val="000123A6"/>
    <w:rsid w:val="000150FC"/>
    <w:rsid w:val="00042E33"/>
    <w:rsid w:val="00043313"/>
    <w:rsid w:val="00043CAA"/>
    <w:rsid w:val="00065151"/>
    <w:rsid w:val="000728FF"/>
    <w:rsid w:val="00075432"/>
    <w:rsid w:val="000968ED"/>
    <w:rsid w:val="000A525D"/>
    <w:rsid w:val="000C69E2"/>
    <w:rsid w:val="000D3921"/>
    <w:rsid w:val="000E73ED"/>
    <w:rsid w:val="000F5E56"/>
    <w:rsid w:val="001272E3"/>
    <w:rsid w:val="00131BD8"/>
    <w:rsid w:val="00133F53"/>
    <w:rsid w:val="001362EE"/>
    <w:rsid w:val="0015037D"/>
    <w:rsid w:val="00166299"/>
    <w:rsid w:val="00177186"/>
    <w:rsid w:val="001809F6"/>
    <w:rsid w:val="00182AAC"/>
    <w:rsid w:val="001832A6"/>
    <w:rsid w:val="00185E31"/>
    <w:rsid w:val="00186DE1"/>
    <w:rsid w:val="001C2D7E"/>
    <w:rsid w:val="001E3850"/>
    <w:rsid w:val="001F1B95"/>
    <w:rsid w:val="001F717F"/>
    <w:rsid w:val="0020551F"/>
    <w:rsid w:val="00215F5E"/>
    <w:rsid w:val="0022493E"/>
    <w:rsid w:val="00224A8A"/>
    <w:rsid w:val="00251890"/>
    <w:rsid w:val="0025278E"/>
    <w:rsid w:val="002634C4"/>
    <w:rsid w:val="00271540"/>
    <w:rsid w:val="002928D3"/>
    <w:rsid w:val="002A2E4F"/>
    <w:rsid w:val="002B6590"/>
    <w:rsid w:val="002C1554"/>
    <w:rsid w:val="002C168C"/>
    <w:rsid w:val="002C38D8"/>
    <w:rsid w:val="002F1FE6"/>
    <w:rsid w:val="002F4E68"/>
    <w:rsid w:val="003071B6"/>
    <w:rsid w:val="00312F7F"/>
    <w:rsid w:val="00317670"/>
    <w:rsid w:val="00335EC1"/>
    <w:rsid w:val="00347330"/>
    <w:rsid w:val="00357985"/>
    <w:rsid w:val="00361450"/>
    <w:rsid w:val="00365541"/>
    <w:rsid w:val="003673CF"/>
    <w:rsid w:val="003845C1"/>
    <w:rsid w:val="003A6F89"/>
    <w:rsid w:val="003B38C1"/>
    <w:rsid w:val="003C2450"/>
    <w:rsid w:val="003E0D9F"/>
    <w:rsid w:val="004052E1"/>
    <w:rsid w:val="00411FB2"/>
    <w:rsid w:val="00414A9E"/>
    <w:rsid w:val="00421469"/>
    <w:rsid w:val="00423E3E"/>
    <w:rsid w:val="00427AF4"/>
    <w:rsid w:val="0046160D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40ABC"/>
    <w:rsid w:val="00546473"/>
    <w:rsid w:val="00546A94"/>
    <w:rsid w:val="00560A29"/>
    <w:rsid w:val="00563C83"/>
    <w:rsid w:val="005868B8"/>
    <w:rsid w:val="005A192B"/>
    <w:rsid w:val="005B20BE"/>
    <w:rsid w:val="005B5479"/>
    <w:rsid w:val="005C6649"/>
    <w:rsid w:val="005E6213"/>
    <w:rsid w:val="005F2F3B"/>
    <w:rsid w:val="00605827"/>
    <w:rsid w:val="00621A19"/>
    <w:rsid w:val="00644AA2"/>
    <w:rsid w:val="00646050"/>
    <w:rsid w:val="00647B0C"/>
    <w:rsid w:val="00654AE9"/>
    <w:rsid w:val="00663BB3"/>
    <w:rsid w:val="006659A7"/>
    <w:rsid w:val="006713CA"/>
    <w:rsid w:val="00674ABA"/>
    <w:rsid w:val="00676C5C"/>
    <w:rsid w:val="00684699"/>
    <w:rsid w:val="006D529E"/>
    <w:rsid w:val="006D6FDC"/>
    <w:rsid w:val="006F073B"/>
    <w:rsid w:val="006F33FF"/>
    <w:rsid w:val="007227A5"/>
    <w:rsid w:val="00767C4D"/>
    <w:rsid w:val="00773CE3"/>
    <w:rsid w:val="00775EBD"/>
    <w:rsid w:val="00786644"/>
    <w:rsid w:val="00790A94"/>
    <w:rsid w:val="007B7F73"/>
    <w:rsid w:val="007C3E9B"/>
    <w:rsid w:val="007D1613"/>
    <w:rsid w:val="007D250A"/>
    <w:rsid w:val="007E3259"/>
    <w:rsid w:val="007F4D09"/>
    <w:rsid w:val="007F62D1"/>
    <w:rsid w:val="00804EC4"/>
    <w:rsid w:val="008429A9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906C66"/>
    <w:rsid w:val="0090731E"/>
    <w:rsid w:val="00916EE2"/>
    <w:rsid w:val="00922789"/>
    <w:rsid w:val="009378BE"/>
    <w:rsid w:val="00940793"/>
    <w:rsid w:val="009449F2"/>
    <w:rsid w:val="00965EC2"/>
    <w:rsid w:val="00966A22"/>
    <w:rsid w:val="0096722F"/>
    <w:rsid w:val="00980843"/>
    <w:rsid w:val="009820CB"/>
    <w:rsid w:val="00987E9A"/>
    <w:rsid w:val="00997AAD"/>
    <w:rsid w:val="009A4CF3"/>
    <w:rsid w:val="009A591F"/>
    <w:rsid w:val="009B2765"/>
    <w:rsid w:val="009C0C04"/>
    <w:rsid w:val="009E2791"/>
    <w:rsid w:val="009E3F6F"/>
    <w:rsid w:val="009E5F9F"/>
    <w:rsid w:val="009F2A14"/>
    <w:rsid w:val="009F499F"/>
    <w:rsid w:val="00A04B6E"/>
    <w:rsid w:val="00A1570B"/>
    <w:rsid w:val="00A21684"/>
    <w:rsid w:val="00A25430"/>
    <w:rsid w:val="00A353ED"/>
    <w:rsid w:val="00A42DAF"/>
    <w:rsid w:val="00A456E7"/>
    <w:rsid w:val="00A45BD8"/>
    <w:rsid w:val="00A869B7"/>
    <w:rsid w:val="00AA1EEF"/>
    <w:rsid w:val="00AC205C"/>
    <w:rsid w:val="00AD38EE"/>
    <w:rsid w:val="00AE5A89"/>
    <w:rsid w:val="00AF0A6B"/>
    <w:rsid w:val="00AF5108"/>
    <w:rsid w:val="00B05A69"/>
    <w:rsid w:val="00B1322D"/>
    <w:rsid w:val="00B21387"/>
    <w:rsid w:val="00B2247B"/>
    <w:rsid w:val="00B46D7E"/>
    <w:rsid w:val="00B54D7D"/>
    <w:rsid w:val="00B83157"/>
    <w:rsid w:val="00B85937"/>
    <w:rsid w:val="00B9734B"/>
    <w:rsid w:val="00B97A85"/>
    <w:rsid w:val="00BA59F8"/>
    <w:rsid w:val="00BA63F6"/>
    <w:rsid w:val="00BA6DE5"/>
    <w:rsid w:val="00BB30F3"/>
    <w:rsid w:val="00BB4EDF"/>
    <w:rsid w:val="00BB78C7"/>
    <w:rsid w:val="00BE2619"/>
    <w:rsid w:val="00BE55D6"/>
    <w:rsid w:val="00BE5857"/>
    <w:rsid w:val="00C11BFE"/>
    <w:rsid w:val="00C146FC"/>
    <w:rsid w:val="00C32F61"/>
    <w:rsid w:val="00C45642"/>
    <w:rsid w:val="00C46447"/>
    <w:rsid w:val="00C47421"/>
    <w:rsid w:val="00C556FE"/>
    <w:rsid w:val="00C634D0"/>
    <w:rsid w:val="00C67841"/>
    <w:rsid w:val="00C771EA"/>
    <w:rsid w:val="00C977DB"/>
    <w:rsid w:val="00CB132F"/>
    <w:rsid w:val="00CB13CA"/>
    <w:rsid w:val="00CC5016"/>
    <w:rsid w:val="00CD330E"/>
    <w:rsid w:val="00CE0A51"/>
    <w:rsid w:val="00CE0F4D"/>
    <w:rsid w:val="00CE6390"/>
    <w:rsid w:val="00CF4536"/>
    <w:rsid w:val="00D22BD4"/>
    <w:rsid w:val="00D30CC7"/>
    <w:rsid w:val="00D31C2F"/>
    <w:rsid w:val="00D40064"/>
    <w:rsid w:val="00D409DF"/>
    <w:rsid w:val="00D40A98"/>
    <w:rsid w:val="00D424EC"/>
    <w:rsid w:val="00D45252"/>
    <w:rsid w:val="00D57F87"/>
    <w:rsid w:val="00D57F90"/>
    <w:rsid w:val="00D71B4D"/>
    <w:rsid w:val="00D76F38"/>
    <w:rsid w:val="00D90EE5"/>
    <w:rsid w:val="00D93D55"/>
    <w:rsid w:val="00DB42CB"/>
    <w:rsid w:val="00DC3E50"/>
    <w:rsid w:val="00E06002"/>
    <w:rsid w:val="00E213EE"/>
    <w:rsid w:val="00E335FE"/>
    <w:rsid w:val="00E42B9A"/>
    <w:rsid w:val="00E532DC"/>
    <w:rsid w:val="00E55177"/>
    <w:rsid w:val="00E55BFC"/>
    <w:rsid w:val="00E66C2C"/>
    <w:rsid w:val="00EB50E5"/>
    <w:rsid w:val="00EB6B39"/>
    <w:rsid w:val="00EC23FC"/>
    <w:rsid w:val="00EC4E49"/>
    <w:rsid w:val="00ED4C4F"/>
    <w:rsid w:val="00ED77FB"/>
    <w:rsid w:val="00EE45FA"/>
    <w:rsid w:val="00EE5748"/>
    <w:rsid w:val="00EF0146"/>
    <w:rsid w:val="00F0720F"/>
    <w:rsid w:val="00F201C4"/>
    <w:rsid w:val="00F52AC0"/>
    <w:rsid w:val="00F66152"/>
    <w:rsid w:val="00F7721F"/>
    <w:rsid w:val="00FC3D36"/>
    <w:rsid w:val="00FC4C8A"/>
    <w:rsid w:val="00FD502F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3.wipo.int/osd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C298-0274-4080-A29B-56BDF29F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7</cp:revision>
  <cp:lastPrinted>2014-05-28T06:13:00Z</cp:lastPrinted>
  <dcterms:created xsi:type="dcterms:W3CDTF">2014-05-21T08:21:00Z</dcterms:created>
  <dcterms:modified xsi:type="dcterms:W3CDTF">2014-07-07T09:32:00Z</dcterms:modified>
</cp:coreProperties>
</file>